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png" ContentType="image/pn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13.png" ContentType="image/png"/>
  <Override PartName="/word/media/image9.jpeg" ContentType="image/jpeg"/>
  <Override PartName="/word/media/image11.jpeg" ContentType="image/jpeg"/>
  <Override PartName="/word/media/image7.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 SECURITIES AND EXCHANGE COMMISSION</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288" w:before="24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10-K</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0"/>
        <w:jc w:val="left"/>
        <w:rPr/>
      </w:pPr>
      <w:r>
        <w:rPr>
          <w:rFonts w:ascii="Times New Roman;sans-serif" w:hAnsi="Times New Roman;sans-serif"/>
          <w:b/>
          <w:color w:val="000000"/>
          <w:sz w:val="20"/>
          <w:shd w:fill="FFFFFF" w:val="clear"/>
        </w:rPr>
        <w:t xml:space="preserve">For the fiscal year ended </w:t>
      </w:r>
      <w:r>
        <w:rPr>
          <w:rFonts w:ascii="Times New Roman;sans-serif" w:hAnsi="Times New Roman;sans-serif"/>
          <w:b/>
          <w:color w:val="000000"/>
          <w:sz w:val="20"/>
        </w:rPr>
        <w:t>December 31, 2023</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transition period from _________ to _____________</w:t>
      </w:r>
    </w:p>
    <w:p>
      <w:pPr>
        <w:pStyle w:val="TextBody"/>
        <w:bidi w:val="0"/>
        <w:spacing w:lineRule="auto" w:line="288" w:before="240" w:after="283"/>
        <w:jc w:val="center"/>
        <w:rPr/>
      </w:pPr>
      <w:r>
        <w:rPr>
          <w:rFonts w:ascii="Times New Roman;sans-serif" w:hAnsi="Times New Roman;sans-serif"/>
          <w:b w:val="false"/>
          <w:i/>
          <w:color w:val="000000"/>
          <w:sz w:val="20"/>
          <w:shd w:fill="FFFFFF" w:val="clear"/>
        </w:rPr>
        <w:t>Commission file number:</w:t>
      </w:r>
      <w:r>
        <w:rPr>
          <w:color w:val="000000"/>
          <w:shd w:fill="FFFFFF" w:val="clear"/>
        </w:rPr>
        <w:t xml:space="preserve"> </w:t>
      </w:r>
      <w:r>
        <w:rPr>
          <w:rFonts w:ascii="Times New Roman;sans-serif" w:hAnsi="Times New Roman;sans-serif"/>
          <w:b/>
          <w:color w:val="000000"/>
          <w:sz w:val="20"/>
          <w:shd w:fill="FFFFFF" w:val="clear"/>
        </w:rPr>
        <w:t>001-38273</w:t>
      </w:r>
    </w:p>
    <w:p>
      <w:pPr>
        <w:pStyle w:val="TextBody"/>
        <w:bidi w:val="0"/>
        <w:spacing w:before="240" w:after="283"/>
        <w:jc w:val="center"/>
        <w:rPr/>
      </w:pPr>
      <w:r>
        <w:rPr/>
        <w:drawing>
          <wp:inline distT="0" distB="0" distL="0" distR="0">
            <wp:extent cx="61912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 cy="4191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ACM Research, Inc.</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(Exact Name of Registrant as Specified in Its Charter)</w:t>
      </w:r>
    </w:p>
    <w:tbl>
      <w:tblPr>
        <w:tblW w:w="8218" w:type="dxa"/>
        <w:jc w:val="left"/>
        <w:tblInd w:w="0" w:type="dxa"/>
        <w:tblLayout w:type="fixed"/>
        <w:tblCellMar>
          <w:top w:w="28" w:type="dxa"/>
          <w:left w:w="28" w:type="dxa"/>
          <w:bottom w:w="28" w:type="dxa"/>
          <w:right w:w="28" w:type="dxa"/>
        </w:tblCellMar>
      </w:tblPr>
      <w:tblGrid>
        <w:gridCol w:w="1880"/>
        <w:gridCol w:w="1652"/>
        <w:gridCol w:w="1672"/>
        <w:gridCol w:w="881"/>
        <w:gridCol w:w="881"/>
        <w:gridCol w:w="1252"/>
      </w:tblGrid>
      <w:tr>
        <w:trP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94-3290283</w:t>
            </w:r>
          </w:p>
        </w:tc>
      </w:tr>
      <w:tr>
        <w:trPr/>
        <w:tc>
          <w:tcPr>
            <w:tcW w:w="5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(State or Other Jurisdiction of Incorporation or Organization)</w:t>
            </w:r>
          </w:p>
        </w:tc>
        <w:tc>
          <w:tcPr>
            <w:tcW w:w="30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(I.R.S. Employer Identification No.)</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42307 Osgood Road, Suite I, Fremont, California</w:t>
            </w:r>
          </w:p>
        </w:tc>
        <w:tc>
          <w:tcPr>
            <w:tcW w:w="301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94539</w:t>
            </w:r>
          </w:p>
        </w:tc>
      </w:tr>
      <w:tr>
        <w:trPr/>
        <w:tc>
          <w:tcPr>
            <w:tcW w:w="52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(Address of Principal Executive Offices)</w:t>
            </w:r>
          </w:p>
        </w:tc>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(Zip Code)</w:t>
            </w:r>
          </w:p>
        </w:tc>
      </w:tr>
    </w:tbl>
    <w:p>
      <w:pPr>
        <w:pStyle w:val="TextBody"/>
        <w:bidi w:val="0"/>
        <w:spacing w:lineRule="auto" w:line="288" w:before="120" w:after="283"/>
        <w:jc w:val="center"/>
        <w:rPr/>
      </w:pPr>
      <w:r>
        <w:rPr>
          <w:rFonts w:ascii="Times New Roman;sans-serif" w:hAnsi="Times New Roman;sans-serif"/>
          <w:b w:val="false"/>
          <w:i/>
          <w:color w:val="000000"/>
          <w:sz w:val="20"/>
          <w:shd w:fill="FFFFFF" w:val="clear"/>
        </w:rPr>
        <w:t>Registrant’s telephone number, including area code:</w:t>
      </w:r>
      <w:r>
        <w:rPr>
          <w:color w:val="000000"/>
          <w:shd w:fill="FFFFFF" w:val="clear"/>
        </w:rPr>
        <w:t xml:space="preserve"> </w:t>
      </w:r>
      <w:r>
        <w:rPr>
          <w:rFonts w:ascii="Times New Roman;sans-serif" w:hAnsi="Times New Roman;sans-serif"/>
          <w:b/>
          <w:color w:val="000000"/>
          <w:sz w:val="20"/>
          <w:shd w:fill="FFFFFF" w:val="clear"/>
        </w:rPr>
        <w:t>(510) 445-3700</w:t>
      </w:r>
    </w:p>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Securities registered pursuant to Section 12(b) of the Act:</w:t>
      </w:r>
    </w:p>
    <w:tbl>
      <w:tblPr>
        <w:tblW w:w="9621" w:type="dxa"/>
        <w:jc w:val="left"/>
        <w:tblInd w:w="0" w:type="dxa"/>
        <w:tblLayout w:type="fixed"/>
        <w:tblCellMar>
          <w:top w:w="28" w:type="dxa"/>
          <w:left w:w="28" w:type="dxa"/>
          <w:bottom w:w="28" w:type="dxa"/>
          <w:right w:w="28" w:type="dxa"/>
        </w:tblCellMar>
      </w:tblPr>
      <w:tblGrid>
        <w:gridCol w:w="1339"/>
        <w:gridCol w:w="1179"/>
        <w:gridCol w:w="1186"/>
        <w:gridCol w:w="109"/>
        <w:gridCol w:w="109"/>
        <w:gridCol w:w="109"/>
        <w:gridCol w:w="474"/>
        <w:gridCol w:w="474"/>
        <w:gridCol w:w="476"/>
        <w:gridCol w:w="109"/>
        <w:gridCol w:w="109"/>
        <w:gridCol w:w="109"/>
        <w:gridCol w:w="1124"/>
        <w:gridCol w:w="1124"/>
        <w:gridCol w:w="1591"/>
      </w:tblGrid>
      <w:tr>
        <w:trPr/>
        <w:tc>
          <w:tcPr>
            <w:tcW w:w="133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ACMR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20" w:after="283"/>
        <w:jc w:val="center"/>
        <w:rPr/>
      </w:pPr>
      <w:r>
        <w:rPr>
          <w:rFonts w:ascii="Times New Roman;sans-serif" w:hAnsi="Times New Roman;sans-serif"/>
          <w:b w:val="false"/>
          <w:i/>
          <w:color w:val="000000"/>
          <w:sz w:val="20"/>
          <w:shd w:fill="FFFFFF" w:val="clear"/>
        </w:rPr>
        <w:t xml:space="preserve">Securities registered pursuant to Section 12(g) of the Act: </w:t>
      </w:r>
      <w:r>
        <w:rPr>
          <w:rFonts w:ascii="Times New Roman;sans-serif" w:hAnsi="Times New Roman;sans-serif"/>
          <w:b/>
          <w:color w:val="000000"/>
          <w:sz w:val="20"/>
          <w:shd w:fill="FFFFFF" w:val="clear"/>
        </w:rPr>
        <w:t>None.</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if the registrant is a well-known seasoned issuer, as defined in Rule 405 of the Securities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color w:val="000000"/>
          <w:shd w:fill="FFFFFF" w:val="clear"/>
        </w:rPr>
        <w:t>☑</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if the registrant is not required to file reports pursuant to Section 13 or Section 15(d) of the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color w:val="000000"/>
          <w:shd w:fill="FFFFFF" w:val="clear"/>
        </w:rPr>
        <w:t>☑</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301"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r>
        <w:rPr>
          <w:color w:val="000000"/>
          <w:shd w:fill="FFFFFF" w:val="clear"/>
        </w:rPr>
        <w:t>☑</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shd w:fill="FFFFFF" w:val="clear"/>
        </w:rPr>
        <w:t>o</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whether the registrant is a shell company (as defined in Rule 12b-2 of the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color w:val="000000"/>
          <w:shd w:fill="FFFFFF" w:val="clear"/>
        </w:rPr>
        <w:t>☑</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 aggregate market value on June 30, 2023 (the last business day of the registrant’s most recently completed second quarter) of the voting common equity held by non-affiliates of the registrant, computed by reference to the </w:t>
      </w:r>
      <w:r>
        <w:rPr>
          <w:rFonts w:ascii="Times New Roman;sans-serif" w:hAnsi="Times New Roman;sans-serif"/>
          <w:b w:val="false"/>
          <w:color w:val="000000"/>
          <w:sz w:val="20"/>
        </w:rPr>
        <w:t xml:space="preserve">$13.08 closing price of the stock on that date, was $637.4 million. The registrant does </w:t>
      </w:r>
      <w:r>
        <w:rPr>
          <w:rFonts w:ascii="Times New Roman;sans-serif" w:hAnsi="Times New Roman;sans-serif"/>
          <w:b w:val="false"/>
          <w:color w:val="000000"/>
          <w:sz w:val="20"/>
          <w:shd w:fill="FFFFFF" w:val="clear"/>
        </w:rPr>
        <w:t>not have non-voting common equity outstanding.</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the number of shares outstanding of each of the registrant’s classes of common stock, as of the latest practicable date.</w:t>
      </w:r>
    </w:p>
    <w:tbl>
      <w:tblPr>
        <w:tblW w:w="8786" w:type="dxa"/>
        <w:jc w:val="left"/>
        <w:tblInd w:w="0" w:type="dxa"/>
        <w:tblLayout w:type="fixed"/>
        <w:tblCellMar>
          <w:top w:w="28" w:type="dxa"/>
          <w:left w:w="28" w:type="dxa"/>
          <w:bottom w:w="28" w:type="dxa"/>
          <w:right w:w="28" w:type="dxa"/>
        </w:tblCellMar>
      </w:tblPr>
      <w:tblGrid>
        <w:gridCol w:w="1336"/>
        <w:gridCol w:w="1176"/>
        <w:gridCol w:w="1192"/>
        <w:gridCol w:w="109"/>
        <w:gridCol w:w="109"/>
        <w:gridCol w:w="109"/>
        <w:gridCol w:w="1390"/>
        <w:gridCol w:w="1390"/>
        <w:gridCol w:w="1975"/>
      </w:tblGrid>
      <w:tr>
        <w:trPr/>
        <w:tc>
          <w:tcPr>
            <w:tcW w:w="133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Shares Outstanding</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color w:val="000000"/>
                <w:sz w:val="20"/>
              </w:rPr>
            </w:pPr>
            <w:r>
              <w:rPr>
                <w:rFonts w:ascii="Times New Roman;sans-serif" w:hAnsi="Times New Roman;sans-serif"/>
                <w:b/>
                <w:color w:val="000000"/>
                <w:sz w:val="20"/>
              </w:rPr>
              <w:t>56,073,205 shares outstanding as of February 23, 2024</w:t>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Class B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color w:val="000000"/>
                <w:sz w:val="20"/>
              </w:rPr>
            </w:pPr>
            <w:r>
              <w:rPr>
                <w:rFonts w:ascii="Times New Roman;sans-serif" w:hAnsi="Times New Roman;sans-serif"/>
                <w:b/>
                <w:color w:val="000000"/>
                <w:sz w:val="20"/>
              </w:rPr>
              <w:t>5,021,811 shares outstanding as of February 23, 2024</w:t>
            </w:r>
          </w:p>
        </w:tc>
      </w:tr>
    </w:tbl>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Documents Incorporated By Reference</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registrant intends to file a proxy statement pursuant to Regulation 14A within 120 days of the end of the fiscal year ended December 31, 2023. Portions of such proxy statement are incorporated by reference in Part III of this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2260"/>
                <wp:effectExtent l="0" t="0" r="0" b="0"/>
                <wp:wrapNone/>
                <wp:docPr id="2"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353"/>
        <w:gridCol w:w="310"/>
        <w:gridCol w:w="313"/>
        <w:gridCol w:w="2925"/>
        <w:gridCol w:w="2911"/>
        <w:gridCol w:w="2926"/>
        <w:gridCol w:w="136"/>
        <w:gridCol w:w="136"/>
        <w:gridCol w:w="195"/>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73" w:before="0" w:after="0"/>
              <w:jc w:val="center"/>
              <w:rPr/>
            </w:pPr>
            <w:hyperlink w:anchor="i331e2a52ea3c48e999a1ab1df704a5e6_13">
              <w:r>
                <w:rPr>
                  <w:rStyle w:val="InternetLink"/>
                  <w:rFonts w:ascii="Times New Roman;sans-serif" w:hAnsi="Times New Roman;sans-serif"/>
                  <w:b/>
                  <w:strike w:val="false"/>
                  <w:dstrike w:val="false"/>
                  <w:color w:val="000000"/>
                  <w:sz w:val="20"/>
                  <w:u w:val="none"/>
                  <w:effect w:val="none"/>
                </w:rPr>
                <w:t>PART I</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16">
              <w:r>
                <w:rPr>
                  <w:rStyle w:val="InternetLink"/>
                  <w:rFonts w:ascii="Times New Roman;sans-serif" w:hAnsi="Times New Roman;sans-serif"/>
                  <w:b w:val="false"/>
                  <w:strike w:val="false"/>
                  <w:dstrike w:val="false"/>
                  <w:color w:val="000000"/>
                  <w:sz w:val="20"/>
                  <w:u w:val="none"/>
                  <w:effect w:val="none"/>
                </w:rPr>
                <w:t>Item 1</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16">
              <w:r>
                <w:rPr>
                  <w:rStyle w:val="InternetLink"/>
                  <w:rFonts w:ascii="Times New Roman;sans-serif" w:hAnsi="Times New Roman;sans-serif"/>
                  <w:b w:val="false"/>
                  <w:color w:val="0000F1"/>
                  <w:sz w:val="20"/>
                  <w:u w:val="single"/>
                </w:rPr>
                <w:t>Business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16">
              <w:r>
                <w:rPr>
                  <w:rStyle w:val="InternetLink"/>
                  <w:rFonts w:ascii="Times New Roman;sans-serif" w:hAnsi="Times New Roman;sans-serif"/>
                  <w:b w:val="false"/>
                  <w:strike w:val="false"/>
                  <w:dstrike w:val="false"/>
                  <w:color w:val="000000"/>
                  <w:sz w:val="20"/>
                  <w:u w:val="none"/>
                  <w:effect w:val="none"/>
                </w:rPr>
                <w:t>7</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19">
              <w:r>
                <w:rPr>
                  <w:rStyle w:val="InternetLink"/>
                  <w:rFonts w:ascii="Times New Roman;sans-serif" w:hAnsi="Times New Roman;sans-serif"/>
                  <w:b w:val="false"/>
                  <w:strike w:val="false"/>
                  <w:dstrike w:val="false"/>
                  <w:color w:val="000000"/>
                  <w:sz w:val="20"/>
                  <w:u w:val="none"/>
                  <w:effect w:val="none"/>
                </w:rPr>
                <w:t>Item 1A</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19">
              <w:r>
                <w:rPr>
                  <w:rStyle w:val="InternetLink"/>
                  <w:rFonts w:ascii="Times New Roman;sans-serif" w:hAnsi="Times New Roman;sans-serif"/>
                  <w:b w:val="false"/>
                  <w:color w:val="0000F1"/>
                  <w:sz w:val="20"/>
                  <w:u w:val="single"/>
                </w:rPr>
                <w:t>Risk Factors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19">
              <w:r>
                <w:rPr>
                  <w:rStyle w:val="InternetLink"/>
                  <w:rFonts w:ascii="Times New Roman;sans-serif" w:hAnsi="Times New Roman;sans-serif"/>
                  <w:b w:val="false"/>
                  <w:strike w:val="false"/>
                  <w:dstrike w:val="false"/>
                  <w:color w:val="000000"/>
                  <w:sz w:val="20"/>
                  <w:u w:val="none"/>
                  <w:effect w:val="none"/>
                </w:rPr>
                <w:t>19</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2">
              <w:r>
                <w:rPr>
                  <w:rStyle w:val="InternetLink"/>
                  <w:rFonts w:ascii="Times New Roman;sans-serif" w:hAnsi="Times New Roman;sans-serif"/>
                  <w:b w:val="false"/>
                  <w:strike w:val="false"/>
                  <w:dstrike w:val="false"/>
                  <w:color w:val="000000"/>
                  <w:sz w:val="20"/>
                  <w:u w:val="none"/>
                  <w:effect w:val="none"/>
                </w:rPr>
                <w:t>Item 1B</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2">
              <w:r>
                <w:rPr>
                  <w:rStyle w:val="InternetLink"/>
                  <w:rFonts w:ascii="Times New Roman;sans-serif" w:hAnsi="Times New Roman;sans-serif"/>
                  <w:b w:val="false"/>
                  <w:color w:val="0000F1"/>
                  <w:sz w:val="20"/>
                  <w:u w:val="single"/>
                </w:rPr>
                <w:t>Unresolved Staff Comments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22">
              <w:r>
                <w:rPr>
                  <w:rStyle w:val="InternetLink"/>
                  <w:rFonts w:ascii="Times New Roman;sans-serif" w:hAnsi="Times New Roman;sans-serif"/>
                  <w:b w:val="false"/>
                  <w:strike w:val="false"/>
                  <w:dstrike w:val="false"/>
                  <w:color w:val="000000"/>
                  <w:sz w:val="20"/>
                  <w:u w:val="none"/>
                  <w:effect w:val="none"/>
                </w:rPr>
                <w:t>51</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F1"/>
                <w:sz w:val="20"/>
                <w:u w:val="single"/>
              </w:rPr>
            </w:pPr>
            <w:r>
              <w:rPr>
                <w:rFonts w:ascii="Times New Roman;sans-serif" w:hAnsi="Times New Roman;sans-serif"/>
                <w:b w:val="false"/>
                <w:color w:val="0000F1"/>
                <w:sz w:val="20"/>
                <w:u w:val="single"/>
              </w:rPr>
              <w:t>Cybersecurity</w:t>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5">
              <w:r>
                <w:rPr>
                  <w:rStyle w:val="InternetLink"/>
                  <w:rFonts w:ascii="Times New Roman;sans-serif" w:hAnsi="Times New Roman;sans-serif"/>
                  <w:b w:val="false"/>
                  <w:strike w:val="false"/>
                  <w:dstrike w:val="false"/>
                  <w:color w:val="000000"/>
                  <w:sz w:val="20"/>
                  <w:u w:val="none"/>
                  <w:effect w:val="none"/>
                </w:rPr>
                <w:t>Item 2</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5">
              <w:r>
                <w:rPr>
                  <w:rStyle w:val="InternetLink"/>
                  <w:rFonts w:ascii="Times New Roman;sans-serif" w:hAnsi="Times New Roman;sans-serif"/>
                  <w:b w:val="false"/>
                  <w:color w:val="0000F1"/>
                  <w:sz w:val="20"/>
                  <w:u w:val="single"/>
                </w:rPr>
                <w:t>Properties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25">
              <w:r>
                <w:rPr>
                  <w:rStyle w:val="InternetLink"/>
                  <w:rFonts w:ascii="Times New Roman;sans-serif" w:hAnsi="Times New Roman;sans-serif"/>
                  <w:b w:val="false"/>
                  <w:strike w:val="false"/>
                  <w:dstrike w:val="false"/>
                  <w:color w:val="000000"/>
                  <w:sz w:val="20"/>
                  <w:u w:val="none"/>
                  <w:effect w:val="none"/>
                </w:rPr>
                <w:t>52</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5">
              <w:r>
                <w:rPr>
                  <w:rStyle w:val="InternetLink"/>
                  <w:rFonts w:ascii="Times New Roman;sans-serif" w:hAnsi="Times New Roman;sans-serif"/>
                  <w:b w:val="false"/>
                  <w:strike w:val="false"/>
                  <w:dstrike w:val="false"/>
                  <w:color w:val="000000"/>
                  <w:sz w:val="20"/>
                  <w:u w:val="none"/>
                  <w:effect w:val="none"/>
                </w:rPr>
                <w:t>Item 3</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5">
              <w:r>
                <w:rPr>
                  <w:rStyle w:val="InternetLink"/>
                  <w:rFonts w:ascii="Times New Roman;sans-serif" w:hAnsi="Times New Roman;sans-serif"/>
                  <w:b w:val="false"/>
                  <w:color w:val="0000F1"/>
                  <w:sz w:val="20"/>
                  <w:u w:val="single"/>
                </w:rPr>
                <w:t>Legal Proceedings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28">
              <w:r>
                <w:rPr>
                  <w:rStyle w:val="InternetLink"/>
                  <w:rFonts w:ascii="Times New Roman;sans-serif" w:hAnsi="Times New Roman;sans-serif"/>
                  <w:b w:val="false"/>
                  <w:strike w:val="false"/>
                  <w:dstrike w:val="false"/>
                  <w:color w:val="000000"/>
                  <w:sz w:val="20"/>
                  <w:u w:val="none"/>
                  <w:effect w:val="none"/>
                </w:rPr>
                <w:t>53</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31">
              <w:r>
                <w:rPr>
                  <w:rStyle w:val="InternetLink"/>
                  <w:rFonts w:ascii="Times New Roman;sans-serif" w:hAnsi="Times New Roman;sans-serif"/>
                  <w:b w:val="false"/>
                  <w:strike w:val="false"/>
                  <w:dstrike w:val="false"/>
                  <w:color w:val="000000"/>
                  <w:sz w:val="20"/>
                  <w:u w:val="none"/>
                  <w:effect w:val="none"/>
                </w:rPr>
                <w:t>Item 4</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31">
              <w:r>
                <w:rPr>
                  <w:rStyle w:val="InternetLink"/>
                  <w:rFonts w:ascii="Times New Roman;sans-serif" w:hAnsi="Times New Roman;sans-serif"/>
                  <w:b w:val="false"/>
                  <w:color w:val="0000F1"/>
                  <w:sz w:val="20"/>
                  <w:u w:val="single"/>
                </w:rPr>
                <w:t>Mine Safety Disclosures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31">
              <w:r>
                <w:rPr>
                  <w:rStyle w:val="InternetLink"/>
                  <w:rFonts w:ascii="Times New Roman;sans-serif" w:hAnsi="Times New Roman;sans-serif"/>
                  <w:b w:val="false"/>
                  <w:strike w:val="false"/>
                  <w:dstrike w:val="false"/>
                  <w:color w:val="000000"/>
                  <w:sz w:val="20"/>
                  <w:u w:val="none"/>
                  <w:effect w:val="none"/>
                </w:rPr>
                <w:t>53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31e2a52ea3c48e999a1ab1df704a5e6_34">
              <w:r>
                <w:rPr>
                  <w:rStyle w:val="InternetLink"/>
                  <w:rFonts w:ascii="Times New Roman;sans-serif" w:hAnsi="Times New Roman;sans-serif"/>
                  <w:b/>
                  <w:strike w:val="false"/>
                  <w:dstrike w:val="false"/>
                  <w:color w:val="000000"/>
                  <w:sz w:val="20"/>
                  <w:u w:val="none"/>
                  <w:effect w:val="none"/>
                </w:rPr>
                <w:t>PART II</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37">
              <w:r>
                <w:rPr>
                  <w:rStyle w:val="InternetLink"/>
                  <w:rFonts w:ascii="Times New Roman;sans-serif" w:hAnsi="Times New Roman;sans-serif"/>
                  <w:b w:val="false"/>
                  <w:strike w:val="false"/>
                  <w:dstrike w:val="false"/>
                  <w:color w:val="000000"/>
                  <w:sz w:val="20"/>
                  <w:u w:val="none"/>
                  <w:effect w:val="none"/>
                </w:rPr>
                <w:t>Item 5</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37">
              <w:r>
                <w:rPr>
                  <w:rStyle w:val="InternetLink"/>
                  <w:rFonts w:ascii="Times New Roman;sans-serif" w:hAnsi="Times New Roman;sans-serif"/>
                  <w:b w:val="false"/>
                  <w:color w:val="0000F1"/>
                  <w:sz w:val="20"/>
                  <w:u w:val="single"/>
                </w:rPr>
                <w:t>Market for Registrant’s Common Equity, Related Stockholder Matters and Issuer Purchases of Equity Securities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37">
              <w:r>
                <w:rPr>
                  <w:rStyle w:val="InternetLink"/>
                  <w:rFonts w:ascii="Times New Roman;sans-serif" w:hAnsi="Times New Roman;sans-serif"/>
                  <w:b w:val="false"/>
                  <w:strike w:val="false"/>
                  <w:dstrike w:val="false"/>
                  <w:color w:val="000000"/>
                  <w:sz w:val="20"/>
                  <w:u w:val="none"/>
                  <w:effect w:val="none"/>
                </w:rPr>
                <w:t>53</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40">
              <w:r>
                <w:rPr>
                  <w:rStyle w:val="InternetLink"/>
                  <w:rFonts w:ascii="Times New Roman;sans-serif" w:hAnsi="Times New Roman;sans-serif"/>
                  <w:b w:val="false"/>
                  <w:strike w:val="false"/>
                  <w:dstrike w:val="false"/>
                  <w:color w:val="000000"/>
                  <w:sz w:val="20"/>
                  <w:u w:val="none"/>
                  <w:effect w:val="none"/>
                </w:rPr>
                <w:t>Item 6</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40">
              <w:r>
                <w:rPr>
                  <w:rStyle w:val="InternetLink"/>
                  <w:rFonts w:ascii="Times New Roman;sans-serif" w:hAnsi="Times New Roman;sans-serif"/>
                  <w:b w:val="false"/>
                  <w:color w:val="0000F1"/>
                  <w:sz w:val="20"/>
                  <w:u w:val="single"/>
                </w:rPr>
                <w:t>[Reserved]</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40">
              <w:r>
                <w:rPr>
                  <w:rStyle w:val="InternetLink"/>
                  <w:rFonts w:ascii="Times New Roman;sans-serif" w:hAnsi="Times New Roman;sans-serif"/>
                  <w:b w:val="false"/>
                  <w:strike w:val="false"/>
                  <w:dstrike w:val="false"/>
                  <w:color w:val="000000"/>
                  <w:sz w:val="20"/>
                  <w:u w:val="none"/>
                  <w:effect w:val="none"/>
                </w:rPr>
                <w:t>54</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43">
              <w:r>
                <w:rPr>
                  <w:rStyle w:val="InternetLink"/>
                  <w:rFonts w:ascii="Times New Roman;sans-serif" w:hAnsi="Times New Roman;sans-serif"/>
                  <w:b w:val="false"/>
                  <w:strike w:val="false"/>
                  <w:dstrike w:val="false"/>
                  <w:color w:val="000000"/>
                  <w:sz w:val="20"/>
                  <w:u w:val="none"/>
                  <w:effect w:val="none"/>
                </w:rPr>
                <w:t>Item 7</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43">
              <w:r>
                <w:rPr>
                  <w:rStyle w:val="InternetLink"/>
                  <w:rFonts w:ascii="Times New Roman;sans-serif" w:hAnsi="Times New Roman;sans-serif"/>
                  <w:b w:val="false"/>
                  <w:color w:val="0000F1"/>
                  <w:sz w:val="20"/>
                  <w:u w:val="single"/>
                </w:rPr>
                <w:t>Management’s Discussion and Analysis of Financial Condition and Results of Operations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43">
              <w:r>
                <w:rPr>
                  <w:rStyle w:val="InternetLink"/>
                  <w:rFonts w:ascii="Times New Roman;sans-serif" w:hAnsi="Times New Roman;sans-serif"/>
                  <w:b w:val="false"/>
                  <w:strike w:val="false"/>
                  <w:dstrike w:val="false"/>
                  <w:color w:val="000000"/>
                  <w:sz w:val="20"/>
                  <w:u w:val="none"/>
                  <w:effect w:val="none"/>
                </w:rPr>
                <w:t>54</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85">
              <w:r>
                <w:rPr>
                  <w:rStyle w:val="InternetLink"/>
                  <w:rFonts w:ascii="Times New Roman;sans-serif" w:hAnsi="Times New Roman;sans-serif"/>
                  <w:b w:val="false"/>
                  <w:strike w:val="false"/>
                  <w:dstrike w:val="false"/>
                  <w:color w:val="000000"/>
                  <w:sz w:val="20"/>
                  <w:u w:val="none"/>
                  <w:effect w:val="none"/>
                </w:rPr>
                <w:t>Item 7A</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85">
              <w:r>
                <w:rPr>
                  <w:rStyle w:val="InternetLink"/>
                  <w:rFonts w:ascii="Times New Roman;sans-serif" w:hAnsi="Times New Roman;sans-serif"/>
                  <w:b w:val="false"/>
                  <w:color w:val="0000F1"/>
                  <w:sz w:val="20"/>
                  <w:u w:val="single"/>
                </w:rPr>
                <w:t>Quantitative and Qualitative Disclosures About Market Risk</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85">
              <w:r>
                <w:rPr>
                  <w:rStyle w:val="InternetLink"/>
                  <w:rFonts w:ascii="Times New Roman;sans-serif" w:hAnsi="Times New Roman;sans-serif"/>
                  <w:b w:val="false"/>
                  <w:strike w:val="false"/>
                  <w:dstrike w:val="false"/>
                  <w:color w:val="000000"/>
                  <w:sz w:val="20"/>
                  <w:u w:val="none"/>
                  <w:effect w:val="none"/>
                </w:rPr>
                <w:t>81</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88">
              <w:r>
                <w:rPr>
                  <w:rStyle w:val="InternetLink"/>
                  <w:rFonts w:ascii="Times New Roman;sans-serif" w:hAnsi="Times New Roman;sans-serif"/>
                  <w:b w:val="false"/>
                  <w:strike w:val="false"/>
                  <w:dstrike w:val="false"/>
                  <w:color w:val="000000"/>
                  <w:sz w:val="20"/>
                  <w:u w:val="none"/>
                  <w:effect w:val="none"/>
                </w:rPr>
                <w:t>Item 8</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88">
              <w:r>
                <w:rPr>
                  <w:rStyle w:val="InternetLink"/>
                  <w:rFonts w:ascii="Times New Roman;sans-serif" w:hAnsi="Times New Roman;sans-serif"/>
                  <w:b w:val="false"/>
                  <w:color w:val="0000F1"/>
                  <w:sz w:val="20"/>
                  <w:u w:val="single"/>
                </w:rPr>
                <w:t>Financial Statements and Supplementary Data</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88">
              <w:r>
                <w:rPr>
                  <w:rStyle w:val="InternetLink"/>
                  <w:rFonts w:ascii="Times New Roman;sans-serif" w:hAnsi="Times New Roman;sans-serif"/>
                  <w:b w:val="false"/>
                  <w:strike w:val="false"/>
                  <w:dstrike w:val="false"/>
                  <w:color w:val="000000"/>
                  <w:sz w:val="20"/>
                  <w:u w:val="none"/>
                  <w:effect w:val="none"/>
                </w:rPr>
                <w:t>83</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196">
              <w:r>
                <w:rPr>
                  <w:rStyle w:val="InternetLink"/>
                  <w:rFonts w:ascii="Times New Roman;sans-serif" w:hAnsi="Times New Roman;sans-serif"/>
                  <w:b w:val="false"/>
                  <w:strike w:val="false"/>
                  <w:dstrike w:val="false"/>
                  <w:color w:val="000000"/>
                  <w:sz w:val="20"/>
                  <w:u w:val="none"/>
                  <w:effect w:val="none"/>
                </w:rPr>
                <w:t>Item 9</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196">
              <w:r>
                <w:rPr>
                  <w:rStyle w:val="InternetLink"/>
                  <w:rFonts w:ascii="Times New Roman;sans-serif" w:hAnsi="Times New Roman;sans-serif"/>
                  <w:b w:val="false"/>
                  <w:color w:val="0000F1"/>
                  <w:sz w:val="20"/>
                  <w:u w:val="single"/>
                </w:rPr>
                <w:t>Changes in and Disagreements with Accountants on Accounting and Financial Disclosure</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196">
              <w:r>
                <w:rPr>
                  <w:rStyle w:val="InternetLink"/>
                  <w:rFonts w:ascii="Times New Roman;sans-serif" w:hAnsi="Times New Roman;sans-serif"/>
                  <w:b w:val="false"/>
                  <w:strike w:val="false"/>
                  <w:dstrike w:val="false"/>
                  <w:color w:val="000000"/>
                  <w:sz w:val="20"/>
                  <w:u w:val="none"/>
                  <w:effect w:val="none"/>
                </w:rPr>
                <w:t>127</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199">
              <w:r>
                <w:rPr>
                  <w:rStyle w:val="InternetLink"/>
                  <w:rFonts w:ascii="Times New Roman;sans-serif" w:hAnsi="Times New Roman;sans-serif"/>
                  <w:b w:val="false"/>
                  <w:strike w:val="false"/>
                  <w:dstrike w:val="false"/>
                  <w:color w:val="000000"/>
                  <w:sz w:val="20"/>
                  <w:u w:val="none"/>
                  <w:effect w:val="none"/>
                </w:rPr>
                <w:t>Item 9A</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199">
              <w:r>
                <w:rPr>
                  <w:rStyle w:val="InternetLink"/>
                  <w:rFonts w:ascii="Times New Roman;sans-serif" w:hAnsi="Times New Roman;sans-serif"/>
                  <w:b w:val="false"/>
                  <w:color w:val="0000F1"/>
                  <w:sz w:val="20"/>
                  <w:u w:val="single"/>
                </w:rPr>
                <w:t>Controls and Procedures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199">
              <w:r>
                <w:rPr>
                  <w:rStyle w:val="InternetLink"/>
                  <w:rFonts w:ascii="Times New Roman;sans-serif" w:hAnsi="Times New Roman;sans-serif"/>
                  <w:b w:val="false"/>
                  <w:strike w:val="false"/>
                  <w:dstrike w:val="false"/>
                  <w:color w:val="000000"/>
                  <w:sz w:val="20"/>
                  <w:u w:val="none"/>
                  <w:effect w:val="none"/>
                </w:rPr>
                <w:t>128</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02">
              <w:r>
                <w:rPr>
                  <w:rStyle w:val="InternetLink"/>
                  <w:rFonts w:ascii="Times New Roman;sans-serif" w:hAnsi="Times New Roman;sans-serif"/>
                  <w:b w:val="false"/>
                  <w:strike w:val="false"/>
                  <w:dstrike w:val="false"/>
                  <w:color w:val="000000"/>
                  <w:sz w:val="20"/>
                  <w:u w:val="none"/>
                  <w:effect w:val="none"/>
                </w:rPr>
                <w:t>Item 9B</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02">
              <w:r>
                <w:rPr>
                  <w:rStyle w:val="InternetLink"/>
                  <w:rFonts w:ascii="Times New Roman;sans-serif" w:hAnsi="Times New Roman;sans-serif"/>
                  <w:b w:val="false"/>
                  <w:color w:val="0000F1"/>
                  <w:sz w:val="20"/>
                  <w:u w:val="single"/>
                </w:rPr>
                <w:t>Other Information</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202">
              <w:r>
                <w:rPr>
                  <w:rStyle w:val="InternetLink"/>
                  <w:rFonts w:ascii="Times New Roman;sans-serif" w:hAnsi="Times New Roman;sans-serif"/>
                  <w:b w:val="false"/>
                  <w:strike w:val="false"/>
                  <w:dstrike w:val="false"/>
                  <w:color w:val="000000"/>
                  <w:sz w:val="20"/>
                  <w:u w:val="none"/>
                  <w:effect w:val="none"/>
                </w:rPr>
                <w:t>130</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05">
              <w:r>
                <w:rPr>
                  <w:rStyle w:val="InternetLink"/>
                  <w:rFonts w:ascii="Times New Roman;sans-serif" w:hAnsi="Times New Roman;sans-serif"/>
                  <w:b w:val="false"/>
                  <w:strike w:val="false"/>
                  <w:dstrike w:val="false"/>
                  <w:color w:val="000000"/>
                  <w:sz w:val="20"/>
                  <w:u w:val="none"/>
                  <w:effect w:val="none"/>
                </w:rPr>
                <w:t>Item 9C</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05">
              <w:r>
                <w:rPr>
                  <w:rStyle w:val="InternetLink"/>
                  <w:rFonts w:ascii="Times New Roman;sans-serif" w:hAnsi="Times New Roman;sans-serif"/>
                  <w:b w:val="false"/>
                  <w:color w:val="0000F1"/>
                  <w:sz w:val="20"/>
                  <w:u w:val="single"/>
                </w:rPr>
                <w:t>Disclosure Regarding Foreign Jurisdictions that Prevent Inspections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205">
              <w:r>
                <w:rPr>
                  <w:rStyle w:val="InternetLink"/>
                  <w:rFonts w:ascii="Times New Roman;sans-serif" w:hAnsi="Times New Roman;sans-serif"/>
                  <w:b w:val="false"/>
                  <w:strike w:val="false"/>
                  <w:dstrike w:val="false"/>
                  <w:color w:val="000000"/>
                  <w:sz w:val="20"/>
                  <w:u w:val="none"/>
                  <w:effect w:val="none"/>
                </w:rPr>
                <w:t>130</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331e2a52ea3c48e999a1ab1df704a5e6_208">
              <w:r>
                <w:rPr>
                  <w:rStyle w:val="InternetLink"/>
                  <w:rFonts w:ascii="Times New Roman;sans-serif" w:hAnsi="Times New Roman;sans-serif"/>
                  <w:b/>
                  <w:strike w:val="false"/>
                  <w:dstrike w:val="false"/>
                  <w:color w:val="000000"/>
                  <w:sz w:val="20"/>
                  <w:u w:val="none"/>
                  <w:effect w:val="none"/>
                </w:rPr>
                <w:t>PART III</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11">
              <w:r>
                <w:rPr>
                  <w:rStyle w:val="InternetLink"/>
                  <w:rFonts w:ascii="Times New Roman;sans-serif" w:hAnsi="Times New Roman;sans-serif"/>
                  <w:b w:val="false"/>
                  <w:strike w:val="false"/>
                  <w:dstrike w:val="false"/>
                  <w:color w:val="000000"/>
                  <w:sz w:val="20"/>
                  <w:u w:val="none"/>
                  <w:effect w:val="none"/>
                </w:rPr>
                <w:t>Item 10</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11">
              <w:r>
                <w:rPr>
                  <w:rStyle w:val="InternetLink"/>
                  <w:rFonts w:ascii="Times New Roman;sans-serif" w:hAnsi="Times New Roman;sans-serif"/>
                  <w:b w:val="false"/>
                  <w:color w:val="0000F1"/>
                  <w:sz w:val="20"/>
                  <w:u w:val="single"/>
                </w:rPr>
                <w:t>Directors, Executive Officers and Corporate Governance</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211">
              <w:r>
                <w:rPr>
                  <w:rStyle w:val="InternetLink"/>
                  <w:rFonts w:ascii="Times New Roman;sans-serif" w:hAnsi="Times New Roman;sans-serif"/>
                  <w:b w:val="false"/>
                  <w:strike w:val="false"/>
                  <w:dstrike w:val="false"/>
                  <w:color w:val="000000"/>
                  <w:sz w:val="20"/>
                  <w:u w:val="none"/>
                  <w:effect w:val="none"/>
                </w:rPr>
                <w:t>130</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14">
              <w:r>
                <w:rPr>
                  <w:rStyle w:val="InternetLink"/>
                  <w:rFonts w:ascii="Times New Roman;sans-serif" w:hAnsi="Times New Roman;sans-serif"/>
                  <w:b w:val="false"/>
                  <w:strike w:val="false"/>
                  <w:dstrike w:val="false"/>
                  <w:color w:val="000000"/>
                  <w:sz w:val="20"/>
                  <w:u w:val="none"/>
                  <w:effect w:val="none"/>
                </w:rPr>
                <w:t>Item 11</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14">
              <w:r>
                <w:rPr>
                  <w:rStyle w:val="InternetLink"/>
                  <w:rFonts w:ascii="Times New Roman;sans-serif" w:hAnsi="Times New Roman;sans-serif"/>
                  <w:b w:val="false"/>
                  <w:color w:val="0000F1"/>
                  <w:sz w:val="20"/>
                  <w:u w:val="single"/>
                </w:rPr>
                <w:t>Executive Compensation</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214">
              <w:r>
                <w:rPr>
                  <w:rStyle w:val="InternetLink"/>
                  <w:rFonts w:ascii="Times New Roman;sans-serif" w:hAnsi="Times New Roman;sans-serif"/>
                  <w:b w:val="false"/>
                  <w:strike w:val="false"/>
                  <w:dstrike w:val="false"/>
                  <w:color w:val="000000"/>
                  <w:sz w:val="20"/>
                  <w:u w:val="none"/>
                  <w:effect w:val="none"/>
                </w:rPr>
                <w:t>130</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17">
              <w:r>
                <w:rPr>
                  <w:rStyle w:val="InternetLink"/>
                  <w:rFonts w:ascii="Times New Roman;sans-serif" w:hAnsi="Times New Roman;sans-serif"/>
                  <w:b w:val="false"/>
                  <w:strike w:val="false"/>
                  <w:dstrike w:val="false"/>
                  <w:color w:val="000000"/>
                  <w:sz w:val="20"/>
                  <w:u w:val="none"/>
                  <w:effect w:val="none"/>
                </w:rPr>
                <w:t>Item 12</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17">
              <w:r>
                <w:rPr>
                  <w:rStyle w:val="InternetLink"/>
                  <w:rFonts w:ascii="Times New Roman;sans-serif" w:hAnsi="Times New Roman;sans-serif"/>
                  <w:b w:val="false"/>
                  <w:color w:val="0000F1"/>
                  <w:sz w:val="20"/>
                  <w:u w:val="single"/>
                </w:rPr>
                <w:t>Security Ownership of Certain Beneficial Owners and Management and Related Stockholder Matters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217">
              <w:r>
                <w:rPr>
                  <w:rStyle w:val="InternetLink"/>
                  <w:rFonts w:ascii="Times New Roman;sans-serif" w:hAnsi="Times New Roman;sans-serif"/>
                  <w:b w:val="false"/>
                  <w:strike w:val="false"/>
                  <w:dstrike w:val="false"/>
                  <w:color w:val="000000"/>
                  <w:sz w:val="20"/>
                  <w:u w:val="none"/>
                  <w:effect w:val="none"/>
                </w:rPr>
                <w:t>131</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20">
              <w:r>
                <w:rPr>
                  <w:rStyle w:val="InternetLink"/>
                  <w:rFonts w:ascii="Times New Roman;sans-serif" w:hAnsi="Times New Roman;sans-serif"/>
                  <w:b w:val="false"/>
                  <w:strike w:val="false"/>
                  <w:dstrike w:val="false"/>
                  <w:color w:val="000000"/>
                  <w:sz w:val="20"/>
                  <w:u w:val="none"/>
                  <w:effect w:val="none"/>
                </w:rPr>
                <w:t>Item 13</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20">
              <w:r>
                <w:rPr>
                  <w:rStyle w:val="InternetLink"/>
                  <w:rFonts w:ascii="Times New Roman;sans-serif" w:hAnsi="Times New Roman;sans-serif"/>
                  <w:b w:val="false"/>
                  <w:color w:val="0000F1"/>
                  <w:sz w:val="20"/>
                  <w:u w:val="single"/>
                </w:rPr>
                <w:t>Certain Relationships and Related Transactions, and Director Independence</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220">
              <w:r>
                <w:rPr>
                  <w:rStyle w:val="InternetLink"/>
                  <w:rFonts w:ascii="Times New Roman;sans-serif" w:hAnsi="Times New Roman;sans-serif"/>
                  <w:b w:val="false"/>
                  <w:strike w:val="false"/>
                  <w:dstrike w:val="false"/>
                  <w:color w:val="000000"/>
                  <w:sz w:val="20"/>
                  <w:u w:val="none"/>
                  <w:effect w:val="none"/>
                </w:rPr>
                <w:t>131</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23">
              <w:r>
                <w:rPr>
                  <w:rStyle w:val="InternetLink"/>
                  <w:rFonts w:ascii="Times New Roman;sans-serif" w:hAnsi="Times New Roman;sans-serif"/>
                  <w:b w:val="false"/>
                  <w:strike w:val="false"/>
                  <w:dstrike w:val="false"/>
                  <w:color w:val="000000"/>
                  <w:sz w:val="20"/>
                  <w:u w:val="none"/>
                  <w:effect w:val="none"/>
                </w:rPr>
                <w:t>Item 14</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23">
              <w:r>
                <w:rPr>
                  <w:rStyle w:val="InternetLink"/>
                  <w:rFonts w:ascii="Times New Roman;sans-serif" w:hAnsi="Times New Roman;sans-serif"/>
                  <w:b w:val="false"/>
                  <w:color w:val="0000F1"/>
                  <w:sz w:val="20"/>
                  <w:u w:val="single"/>
                </w:rPr>
                <w:t>Principal Accountant Fees and Services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223">
              <w:r>
                <w:rPr>
                  <w:rStyle w:val="InternetLink"/>
                  <w:rFonts w:ascii="Times New Roman;sans-serif" w:hAnsi="Times New Roman;sans-serif"/>
                  <w:b w:val="false"/>
                  <w:strike w:val="false"/>
                  <w:dstrike w:val="false"/>
                  <w:color w:val="000000"/>
                  <w:sz w:val="20"/>
                  <w:u w:val="none"/>
                  <w:effect w:val="none"/>
                </w:rPr>
                <w:t>131</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331e2a52ea3c48e999a1ab1df704a5e6_226">
              <w:r>
                <w:rPr>
                  <w:rStyle w:val="InternetLink"/>
                  <w:rFonts w:ascii="Times New Roman;sans-serif" w:hAnsi="Times New Roman;sans-serif"/>
                  <w:b/>
                  <w:strike w:val="false"/>
                  <w:dstrike w:val="false"/>
                  <w:color w:val="000000"/>
                  <w:sz w:val="20"/>
                  <w:u w:val="none"/>
                  <w:effect w:val="none"/>
                </w:rPr>
                <w:t>PART IV</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29">
              <w:r>
                <w:rPr>
                  <w:rStyle w:val="InternetLink"/>
                  <w:rFonts w:ascii="Times New Roman;sans-serif" w:hAnsi="Times New Roman;sans-serif"/>
                  <w:b w:val="false"/>
                  <w:strike w:val="false"/>
                  <w:dstrike w:val="false"/>
                  <w:color w:val="000000"/>
                  <w:sz w:val="20"/>
                  <w:u w:val="none"/>
                  <w:effect w:val="none"/>
                </w:rPr>
                <w:t>Item 15</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29">
              <w:r>
                <w:rPr>
                  <w:rStyle w:val="InternetLink"/>
                  <w:rFonts w:ascii="Times New Roman;sans-serif" w:hAnsi="Times New Roman;sans-serif"/>
                  <w:b w:val="false"/>
                  <w:color w:val="0000F1"/>
                  <w:sz w:val="20"/>
                  <w:u w:val="single"/>
                </w:rPr>
                <w:t>Exhibits and Financial Statement Schedules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229">
              <w:r>
                <w:rPr>
                  <w:rStyle w:val="InternetLink"/>
                  <w:rFonts w:ascii="Times New Roman;sans-serif" w:hAnsi="Times New Roman;sans-serif"/>
                  <w:b w:val="false"/>
                  <w:strike w:val="false"/>
                  <w:dstrike w:val="false"/>
                  <w:color w:val="000000"/>
                  <w:sz w:val="20"/>
                  <w:u w:val="none"/>
                  <w:effect w:val="none"/>
                </w:rPr>
                <w:t>131</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32">
              <w:r>
                <w:rPr>
                  <w:rStyle w:val="InternetLink"/>
                  <w:rFonts w:ascii="Times New Roman;sans-serif" w:hAnsi="Times New Roman;sans-serif"/>
                  <w:b w:val="false"/>
                  <w:strike w:val="false"/>
                  <w:dstrike w:val="false"/>
                  <w:color w:val="000000"/>
                  <w:sz w:val="20"/>
                  <w:u w:val="none"/>
                  <w:effect w:val="none"/>
                </w:rPr>
                <w:t>Item 16</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32">
              <w:r>
                <w:rPr>
                  <w:rStyle w:val="InternetLink"/>
                  <w:rFonts w:ascii="Times New Roman;sans-serif" w:hAnsi="Times New Roman;sans-serif"/>
                  <w:b w:val="false"/>
                  <w:color w:val="0000F1"/>
                  <w:sz w:val="20"/>
                  <w:u w:val="single"/>
                </w:rPr>
                <w:t>Form 10-K Summary</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232">
              <w:r>
                <w:rPr>
                  <w:rStyle w:val="InternetLink"/>
                  <w:rFonts w:ascii="Times New Roman;sans-serif" w:hAnsi="Times New Roman;sans-serif"/>
                  <w:b w:val="false"/>
                  <w:strike w:val="false"/>
                  <w:dstrike w:val="false"/>
                  <w:color w:val="000000"/>
                  <w:sz w:val="20"/>
                  <w:u w:val="none"/>
                  <w:effect w:val="none"/>
                </w:rPr>
                <w:t>135</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31e2a52ea3c48e999a1ab1df704a5e6_235">
              <w:r>
                <w:rPr>
                  <w:rStyle w:val="InternetLink"/>
                  <w:rFonts w:ascii="Times New Roman;sans-serif" w:hAnsi="Times New Roman;sans-serif"/>
                  <w:b w:val="false"/>
                  <w:color w:val="0000F1"/>
                  <w:sz w:val="20"/>
                  <w:u w:val="single"/>
                </w:rPr>
                <w:t>Signatures</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31e2a52ea3c48e999a1ab1df704a5e6_235">
              <w:r>
                <w:rPr>
                  <w:rStyle w:val="InternetLink"/>
                  <w:rFonts w:ascii="Times New Roman;sans-serif" w:hAnsi="Times New Roman;sans-serif"/>
                  <w:b w:val="false"/>
                  <w:strike w:val="false"/>
                  <w:dstrike w:val="false"/>
                  <w:color w:val="000000"/>
                  <w:sz w:val="20"/>
                  <w:u w:val="none"/>
                  <w:effect w:val="none"/>
                </w:rPr>
                <w:t>136</w:t>
              </w:r>
            </w:hyperlink>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mainland China, in 2005. Unless the context requires otherwise, references in this report to “our company,” “our,” “us,” “we” and similar terms refer to ACM Research, Inc. and its subsidiaries, including ACM Shanghai, collectively.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principal corporate office is located in Fremont, California. We conduct a substantial majority of our product development, manufacturing, support and services in mainland China through ACM Shanghai. We perform, through a subsidiary of ACM Shanghai, additional product development and subsystem production in Korea, and we conduct, through ACM Research, sales and marketing activities focused on sales of ACM Shanghai products in North America, Europe and certain regions in Asia outside mainland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3"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pPr>
      <w:r>
        <w:rPr>
          <w:rFonts w:ascii="Times New Roman;sans-serif" w:hAnsi="Times New Roman;sans-serif"/>
          <w:b w:val="false"/>
          <w:color w:val="000000"/>
          <w:sz w:val="20"/>
          <w:shd w:fill="FFFFFF" w:val="clear"/>
        </w:rPr>
        <w:t>ACM Research is not a mainland China operating company, and we do not conduct our operations in mainland China through the use of a variable interest entity, or VIE, or any other structure designed for the purpose of avoiding mainland China legal restrictions on direct foreign investments in mainland China-based c</w:t>
      </w:r>
      <w:r>
        <w:rPr>
          <w:rFonts w:ascii="Times New Roman;sans-serif" w:hAnsi="Times New Roman;sans-serif"/>
          <w:b w:val="false"/>
          <w:color w:val="000000"/>
          <w:sz w:val="20"/>
        </w:rPr>
        <w:t>ompanies. ACM Research has a direct ownership interest in ACM Shanghai as the result of its holding 82.1% of</w:t>
      </w:r>
      <w:r>
        <w:rPr>
          <w:color w:val="000000"/>
          <w:shd w:fill="FFFFFF" w:val="clear"/>
        </w:rPr>
        <w:t xml:space="preserve"> </w:t>
      </w:r>
      <w:r>
        <w:rPr>
          <w:rFonts w:ascii="Times New Roman;sans-serif" w:hAnsi="Times New Roman;sans-serif"/>
          <w:b w:val="false"/>
          <w:color w:val="000000"/>
          <w:sz w:val="20"/>
          <w:shd w:fill="FFFFFF" w:val="clear"/>
        </w:rPr>
        <w:t>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mainland China central government authority in order to continue to list shares of Class A common stock of ACM Research on the Nasdaq Global Market. This determination was based on the facts aforementioned and mainland China Company Law, mainland China Securities Law, cybersecurity regulations and other relevant laws, regulations and regulatory requirements in mainland China currently in effect. However, if this determination proves to be incorrect, then it could have a material adverse effect on ACM Research. See “Item IA. Risk Factors—</w:t>
      </w:r>
      <w:r>
        <w:rPr>
          <w:color w:val="000000"/>
          <w:shd w:fill="FFFFFF" w:val="clear"/>
        </w:rPr>
        <w:t xml:space="preserve"> </w:t>
      </w:r>
      <w:r>
        <w:rPr>
          <w:rFonts w:ascii="Times New Roman;sans-serif" w:hAnsi="Times New Roman;sans-serif"/>
          <w:b w:val="false"/>
          <w:color w:val="000000"/>
          <w:sz w:val="20"/>
          <w:shd w:fill="FFFFFF" w:val="clear"/>
        </w:rPr>
        <w:t>Risks Related to International Aspects of Our Business—If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business of ACM Shanghai is subject to complex laws and regulations in mainland China that can change quickly with little or no advance notice. To date, beyond the COVID-19-related restrictions in 2022, we have not experienced such intervention or influence by mainland China central government authorities or a change in those authorities’ rules and regulations that have had a material impact on ACM Shanghai or ACM Research.</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in the ordinary course of business, ACM Shanghai is required to obtain certain operating permits and licenses necessary for it to operate in mainland China,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 However, from time to time the mainland China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mainland China regulatory authorities, and it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The foll</w:t>
      </w:r>
      <w:r>
        <w:rPr>
          <w:rFonts w:ascii="Times New Roman;sans-serif" w:hAnsi="Times New Roman;sans-serif"/>
          <w:b w:val="false"/>
          <w:color w:val="000000"/>
          <w:sz w:val="20"/>
        </w:rPr>
        <w:t>owing chart depicts our corporate</w:t>
      </w:r>
      <w:r>
        <w:rPr>
          <w:color w:val="000000"/>
          <w:shd w:fill="FFFFFF" w:val="clear"/>
        </w:rPr>
        <w:t xml:space="preserve"> </w:t>
      </w:r>
      <w:r>
        <w:rPr>
          <w:rFonts w:ascii="Times New Roman;sans-serif" w:hAnsi="Times New Roman;sans-serif"/>
          <w:b w:val="false"/>
          <w:color w:val="000000"/>
          <w:sz w:val="20"/>
          <w:shd w:fill="FFFFFF" w:val="clear"/>
        </w:rPr>
        <w:t>organization as of December 31, 2023:</w:t>
      </w:r>
    </w:p>
    <w:p>
      <w:pPr>
        <w:pStyle w:val="TextBody"/>
        <w:bidi w:val="0"/>
        <w:spacing w:before="240" w:after="283"/>
        <w:jc w:val="both"/>
        <w:rPr/>
      </w:pPr>
      <w:r>
        <w:rPr/>
        <w:drawing>
          <wp:inline distT="0" distB="0" distL="0" distR="0">
            <wp:extent cx="6286500" cy="24955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6286500" cy="2495550"/>
                    </a:xfrm>
                    <a:prstGeom prst="rect">
                      <a:avLst/>
                    </a:prstGeom>
                  </pic:spPr>
                </pic:pic>
              </a:graphicData>
            </a:graphic>
          </wp:inline>
        </w:drawing>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5"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detailed description of how cash is transferred through our organization is set forth under "Note 2 — Summary of Significant Accounting Policies - Cash and Cash Equivalents" to the Condensed Consolidated Financial Statements of this report.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U.S. Holding Foreign Companies Accountable Act, or the HFCA Act, requires that the Public Company Accounting Oversight Board, or the PCAOB, determine whether it is unable to inspect or investigate completely registered public accounting firms located in a non-U.S. jurisdiction because of a position taken by one or more authorities in any non-U.S. jurisdiction. BDO China Shu Lun Pan Certified Public Accountants LLP, or BDO China, had been our independent registered public accounting firm in recent years, including for the year ended December 31, 2021. On June 22, 2021, the U.S. Senate passed the Accelerating Holding Foreign Companies Accountable Act, which was enacted on December 29, 2022 under the Consolidated Appropriations Act, 2023, as further described below. On December 16, 2021, the PCAOB reported its determination that it was unable to inspect or investigate completely registered public accounting firms headquartered in mainland China and Hong Kong, including BDO China, because of positions taken by mainland China authorities in those jurisdictions. On March 30, 2022, based on this determination, ACM Research was transferred to the SEC’s “Conclusive list of issuers identified under the HFCA.” See “Item 1A. Risk Factors—Risks Related to International Aspects of Our Business—We could be adversely affected if we are unable to comply with recent and proposed legislation and regulations regarding improved access to audit and other information and audit inspections of accounting firms operating in mainland China” of this report for more information. Under current regulations, if ACM Research were to be included on this list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December 15, 2022, the PCAOB announced that it was able to secure complete access to inspect and investigate PCAOB-registered public accounting firms headquartered in mainland China and Hong Kong in 2022 and vacated its previous December 16, 2021 determination to the contrary. However, whether the PCAOB will continue to be able to satisfactorily conduct inspections of PCAOB-registered public accounting firms headquartered in mainland China and Hong Kong is subject to uncertainty and depends on a number of factors out of our, and our auditor’s, control. mainland China authorities will need to ensure that the PCAOB continues to have full access for inspections and investigations in 2023 and beyond. Each year, the PCAOB will determine whether it can inspect and investigate completely audit firms in mainland China and Hong Kong, among other jurisdictions. On December 29, 2022, the Consolidated Appropriations Act, 2023, was signed into law by U.S. President Biden, which, among other things, amended the HFCA Act to reduce the number of consecutive non-inspection years that would trigger the trading prohibition under the HFCA Act from three years to two years (originally such threshold under the HFCA Act was three consecutive years), and so that any foreign jurisdiction could be the reason why the PCAOB does not have complete access to inspect or investigate a company’s public accounting firm (originally the HFCA Act only applied if the PCAOB’s ability to inspect or investigate was due to a position taken by an authority in the jurisdiction where the relevant public accounting firm was located). Therefore, if the mainland China authorities do not allow the PCAOB complete access for inspections and investigations for two consecutive years, the SEC would prohibit trading in the securities of issuers engaging those audit firms, as required under the HFCA Act.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and June 15, 2023, stockholders of ACM Research ratified the appointment of Armanino LLP, or Armanino, as our independent auditor for the years ended December 31, 2022 and 2023, respectively. Armanino was neither headquartered in mainland China or Hong Kong nor was it subject to the determinations announced by the PCAOB on December 16, 2021, which determinations were vacated by the PCAOB on December 15, 2022. On July 21, 2023, we were informed by Armanino, that Armanino would resign as our independent auditor effective as of the earlier of (a) the date we engaged a new independent registered public accounting firm or (b) the filing of our Quarterly Report on Form 10-Q for the fiscal quarter ended September 30, 2023.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14, 2023, the Audit Committee of the Board of Directors, or the Audit Committee, completed a competitive selection process to select and appoint a new accounting firm to serve as our independent registered public accounting firm commencing with the audit of our financial statements for the fiscal year ended December 31, 2023. As a result of this process, the Audit Committee approved the engagement of Ernst &amp; Young Hua Ming LLP, or E&amp;Y as our independent registered public accounting firm for the fiscal year ended December 31, 2023. The engagement of E&amp;Y became effective on September 20, 2023. E&amp;Y is a PCAOB-registered firm that is headquartered in mainland China; however, we do not believe ACM Research will appear on the “Conclusive list of issuers identified under the HFCAA” for a second consecutive time, as the determinations announced by the PCAOB on December 16, 2021 were vacated by the PCAOB on December 15, 2022.</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to the matters discussed above, we are also subject to a number of legal and operational risks associated with our corporate structure, including as the result of a substantial portion of our operations being conducted in mainland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6"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pPr>
      <w:r>
        <w:rPr>
          <w:rFonts w:ascii="Times New Roman;sans-serif" w:hAnsi="Times New Roman;sans-serif"/>
          <w:b w:val="false"/>
          <w:color w:val="000000"/>
          <w:sz w:val="20"/>
          <w:shd w:fill="FFFFFF" w:val="clear"/>
        </w:rPr>
        <w:t>China. Consequences of any of those risks could result in a material adverse change in our operations or cause the value of ACM Research Class A common stock to significantly decline in value or become worthless. Please carefully read the information included in “Item 1A. Risk Factors”</w:t>
      </w:r>
      <w:r>
        <w:rPr>
          <w:color w:val="000000"/>
          <w:shd w:fill="FFFFFF" w:val="clear"/>
        </w:rPr>
        <w:t xml:space="preserve"> </w:t>
      </w:r>
      <w:r>
        <w:rPr>
          <w:rFonts w:ascii="Times New Roman;sans-serif" w:hAnsi="Times New Roman;sans-serif"/>
          <w:b w:val="false"/>
          <w:color w:val="000000"/>
          <w:sz w:val="20"/>
          <w:shd w:fill="FFFFFF" w:val="clear"/>
        </w:rPr>
        <w:t>of this report, in particular the risk factors addressing the following issues: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shd w:fill="FFFFFF" w:val="clear"/>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such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mainland China central government authorities may intervene in, or influence, ACM Shanghai’s mainland China-based operations at any time, and those authorities’ rules and regulations in mainland China can change quickly with little or no advance notice.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The mainland China central government may determine to exert additional control over offerings conducted overseas or foreign investment in mainland China-based issuers, which could result in a material change in operations of ACM Shanghai and cause significant declines in the value of ACM Research Class A common stock, or make them worthless.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Recent statements and regulatory actions by mainland China central government authorities with respect to the use of VIEs and to data security and anti-monopoly concerns have not affected our ability to conduct our business operations in China. For further information, see “Item 1A. Risk Factors—Risks Related to International Aspects of Our Business”</w:t>
      </w:r>
      <w:r>
        <w:rPr>
          <w:color w:val="000000"/>
          <w:shd w:fill="FFFFFF" w:val="clear"/>
        </w:rPr>
        <w:t xml:space="preserve"> </w:t>
      </w:r>
      <w:r>
        <w:rPr>
          <w:rFonts w:ascii="Times New Roman;sans-serif" w:hAnsi="Times New Roman;sans-serif"/>
          <w:b w:val="false"/>
          <w:color w:val="000000"/>
          <w:sz w:val="20"/>
          <w:shd w:fill="FFFFFF" w:val="clear"/>
        </w:rPr>
        <w:t>of this report for more information.</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SAPS, TEBO, ULTRA C, ULTRA Fn, Ultra ECP, Ultra ECP map, and Ultra ECP ap 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7"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FORWARD-LOOKING STATEMENTS AND STATISTICAL DATA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 of this report, that may cause our actual results, performance or achievements to be materially different from any future results, performance or achievements expressed or implied by these forward-looking statements.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included under the heading “Item 7. Management’s Discussion and Analysis of Financial Condition and Results of Operations—Overview,” of Part II of this report contains statistical data and estimates, including forecasts, that are based on information provided by Gartner, Inc., or Gartner, in “Forecast: Semiconductor Wafer Fab Equipment, Worldwide, 4Q23 Update” (December 2023),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8"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single wafer cleaning, Tahoe and semi-critical cleaning equipment totaled $403.9 million, or 72.4% of total revenue in 2023, $272.9 million, or 70.2% of total revenue in 2022, and $189.2 million, or 72.8% of total revenue in 2021. Revenue from ECP (front-end packaging), furnace and other technologies totaled $103.4 million, or 18.5% of total revenue, in 2023, $77.5 million, or 19.9% of total revenue in 2022, and $33.2 million, or 12.8% of total revenue in 2021. Revenue from advanced packaging (excluding ECP), services and spares totaled $50.5 million, or 9.1% of total revenue, in 2023, $38.4 million, or 9.9% of total revenue in 2022, and $37.3 million, or 14.4% of total revenue in 2021. Selling prices for our tools generally range from $0.5 million to more than $5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based on third-party reports and on customer and other information, that our current product portfolio addresses approximately $16 billion of the 2023 global wafer fab equipment, or WFE, market. By product line, we estimate an approximately $5.2 billion market opportunity is addressed by our wafer cleaning equipment, $4.3 billion by our Plasma-Enhanced Chemical Vapor Deposition, or PECVD, equipment, $2.2 billion by our furnace equipment, $2.5 billion by our Track equipment, $800 million by our electro-chemical plating, or ECP, equipment, and more than $900 million by our stress-free polishing, advanced packaging, wafer processing, and other processing equipment.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Based on Gartner’s estimates, the total available global market for these equipment segments decreased by 11.4% from $21.2 billion in 2022, to $18.7 billion in 2023, and is expected to decrease by 2.8% to $18.2 billion in 2024. These equipment segments are a subset of the total worldwide semiconductor WFE market, which Gartner estimates decreased by 7.7% from $100.6 billion in 2022 to $92.9 billion in 2023, and estimates will decrease by 1.7% to $91.3 billion in 2024.</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focused our selling efforts on establishing a referenceable base of leading foundry, logic and memory chip makers, whose use of our products can influence decisions by other manufacturers. We believe this customer base has helped us penetrate the mature chip manufacturing markets and build credibility with additional industry leaders. We have used a “demo-to-sales” process to place evaluation equipment, or “first tools,” with a number of selected customers.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To date, a substantial majority of our sales of single-wafer wet-cleaning equipment for front-end manufacturing have been to customers located in Asia, and we anticipate that a substantial majority of our revenue from these products will continue to come from customers located in this region for the foreseeable future. Our operation includes sales, marketing and services personnel in North America, Western Europe and Southeast Asia to expand and support major new customer initiatives for the products of ACM Shanghai to additional regions beyond mainland China.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focused on building a strategic portfolio of intellectual property to support and protect our key innovations. Our tools have been developed using our key proprietary technologies: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 xml:space="preserve">Space Alternated Phase Shift, or SAPS, technology for flat and patterned (deep via or deep trench with stronger structure) wafer surfaces. </w:t>
      </w:r>
      <w:r>
        <w:rPr>
          <w:rFonts w:ascii="Times New Roman;sans-serif" w:hAnsi="Times New Roman;sans-serif"/>
          <w:b w:val="false"/>
          <w:color w:val="000000"/>
          <w:sz w:val="20"/>
          <w:shd w:fill="FFFFFF" w:val="clear"/>
        </w:rPr>
        <w:t>SAPS technology employs alternating phases of megasonic waves to deliver megasonic energy in a highly uniform manner on a microscopic level. We have shown SAPS technology to be more effective than conventional megasonic and jet spray technologies in removing random defects across an entire wafer, with increasing relative effectiveness at more advanced production nodes.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Timely Energized Bubble Oscillation, or TEBO, technology for patterned wafer surfaces at advanced process nodes</w:t>
      </w:r>
      <w:r>
        <w:rPr>
          <w:rFonts w:ascii="Times New Roman;sans-serif" w:hAnsi="Times New Roman;sans-serif"/>
          <w:b w:val="false"/>
          <w:color w:val="000000"/>
          <w:sz w:val="20"/>
          <w:shd w:fill="FFFFFF" w:val="clear"/>
        </w:rPr>
        <w:t>. TEBO technology has been developed to provide effective, damage-free cleaning for 2D and 3D patterned wafers with fine feature sizes. We have demonstrated the damage-free cleaning capabilities of TEBO technology on patterned wafers for feature nodes as small as 1xnm (16 to 19 nanometers, or nm), and we have shown TEBO technology can be applied in manufacturing processes for patterned chips with 3D architectures having aspect ratios as high as 60</w:t>
        <w:noBreakHyphen/>
        <w:t>to</w:t>
        <w:noBreakHyphen/>
        <w:t>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9"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 xml:space="preserve">Tahoe technology for cost and environmental savings. </w:t>
      </w:r>
      <w:r>
        <w:rPr>
          <w:rFonts w:ascii="Times New Roman;sans-serif" w:hAnsi="Times New Roman;sans-serif"/>
          <w:b w:val="false"/>
          <w:color w:val="000000"/>
          <w:sz w:val="20"/>
          <w:shd w:fill="FFFFFF" w:val="clear"/>
        </w:rPr>
        <w:t>Tahoe technology delivers high cleaning performance using significantly less sulfuric acid and hydrogen peroxide than is typically consumed by conventional high-temperature single-wafer cleaning tools.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 xml:space="preserve">ECP technology for advanced metal plating. </w:t>
      </w:r>
      <w:r>
        <w:rPr>
          <w:rFonts w:ascii="Times New Roman;sans-serif" w:hAnsi="Times New Roman;sans-serif"/>
          <w:b w:val="false"/>
          <w:color w:val="000000"/>
          <w:sz w:val="20"/>
          <w:shd w:fill="FFFFFF" w:val="clear"/>
        </w:rPr>
        <w:t>Our Ultra ECP ap, or Advanced Packaging, technology was developed for back-end assembly processes to deliver a more uniform metal layer at the notch area of wafers prior to packaging. Our Ultra ECP map, or Multi-Anode Partial Plating, technology was developed for front-end wafer fabrication processes to deliver advanced electrochemical copper plating for copper interconnect applications. Ultra ECP map offers improved gap-filling performance for ultra-thin seed layer applications, which is critical for advanced nodes at 28nm, 14nm and beyond.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also introduced and delivered a range of new tools intended to broaden our revenue opportunity with global semiconductor manufacturers. Product extensions include the Ultra SFP ap tool for advanced packaging solutions, the Ultra C VI 18-chamber single wafer cleaning tool for advanced memory devices, and the Ultra ECP 3d platform for through-silicon-via, or tsv, application. New product lines include the Ultra fn Furnace, our first dry processing tool, and a suite of semi-critical cleaning systems which include single wafer back side cleaning, scrubber, and auto bench cleaning tools.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We added two major new product categorie</w:t>
      </w:r>
      <w:r>
        <w:rPr>
          <w:rFonts w:ascii="Times New Roman;sans-serif" w:hAnsi="Times New Roman;sans-serif"/>
          <w:b w:val="false"/>
          <w:color w:val="000000"/>
          <w:sz w:val="20"/>
        </w:rPr>
        <w:t xml:space="preserve">s in 2022 with </w:t>
      </w:r>
      <w:r>
        <w:rPr>
          <w:rFonts w:ascii="Times New Roman;sans-serif" w:hAnsi="Times New Roman;sans-serif"/>
          <w:b w:val="false"/>
          <w:color w:val="000000"/>
          <w:sz w:val="20"/>
          <w:shd w:fill="FFFFFF" w:val="clear"/>
        </w:rPr>
        <w:t>the launch of the Ultra Pmax™ PECVD tool, which is equipped with a proprietary designed chamber, gas distribution unit and chuck, and is intended to provide better film uniformity, reduced film stress, and improved particle performance, and the introduction of the Ultra Track tool, a 300mm process tool that delivers uniform air downflow, fast robot handling and customizable software to address specific customer requirements, and has multiple features that enhance performance across defectivity, throughput, and cost of ownership.</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We have been issued more than</w:t>
      </w:r>
      <w:r>
        <w:rPr>
          <w:color w:val="000000"/>
        </w:rPr>
        <w:t xml:space="preserve"> </w:t>
      </w:r>
      <w:r>
        <w:rPr>
          <w:rFonts w:ascii="Times New Roman;sans-serif" w:hAnsi="Times New Roman;sans-serif"/>
          <w:b w:val="false"/>
          <w:color w:val="000000"/>
          <w:sz w:val="20"/>
        </w:rPr>
        <w:t xml:space="preserve">498 patents in </w:t>
      </w:r>
      <w:r>
        <w:rPr>
          <w:rFonts w:ascii="Times New Roman;sans-serif" w:hAnsi="Times New Roman;sans-serif"/>
          <w:b w:val="false"/>
          <w:color w:val="000000"/>
          <w:sz w:val="20"/>
          <w:shd w:fill="FFFFFF" w:val="clear"/>
        </w:rPr>
        <w:t>the United States, the People’s Republic of China, or mainland China, Japan, Singapore, Korea and Taiwan.</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We conduct a substantial majority of our product development, manufacturing, support and services in mainland China, with additional product development and subsystem production in Korea. Substantially all of our integrated tools are built to order at our manufacturing facilities in the Pudong region of Shanghai, which now encompass a total o</w:t>
      </w:r>
      <w:r>
        <w:rPr>
          <w:rFonts w:ascii="Times New Roman;sans-serif" w:hAnsi="Times New Roman;sans-serif"/>
          <w:b w:val="false"/>
          <w:color w:val="000000"/>
          <w:sz w:val="20"/>
        </w:rPr>
        <w:t xml:space="preserve">f 236,000 </w:t>
      </w:r>
      <w:r>
        <w:rPr>
          <w:rFonts w:ascii="Times New Roman;sans-serif" w:hAnsi="Times New Roman;sans-serif"/>
          <w:b w:val="false"/>
          <w:color w:val="000000"/>
          <w:sz w:val="20"/>
          <w:shd w:fill="FFFFFF" w:val="clear"/>
        </w:rPr>
        <w:t>square feet of floor space for production capacity, with leased buildings at our Chuansha campus. In May 2020 ACM Shanghai, through its wholly owned subsidiary Shengwei Research (Shanghai), Inc., or ACM Shengwei, entered into an agreement for a land use right in the Lingang region of Shanghai. In 2020 ACM Shengwei began a multi-year construction project for a new 1,000,000 square foot development and production center that will incorporate state-of-the-art manufacturing systems and automation technologies and will provide floor space to support significantly increased production capacity and related research and development, or R&amp;D, activities. We expect to commence initial operations and production activities at our Lingang facilities in the first half of 2024 timeframe.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experience has shown that chip manufacturers in mainland China and throughout Asia demand equipment that meets their specific technical requirements and generally prefer to build relationships with local suppliers. We will continue to seek to leverage our local presence in mainland China and Korea through our subsidiaries to address the growing market for semiconductor manufacturing equipment in the region by working closely with regional chip manufacturers to understand their specific requirements, encourage them to adopt our technologies, and enable us to design innovative products and solutions to address their needs.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On November 18, 2021, ACM Shanghai successfully completed its initial public offering of shares of ACM Shanghai in mainland China, which we refer to as the STAR IPO, and its shares began trading on the Shanghai Stock Exchange’s </w:t>
      </w:r>
      <w:r>
        <w:rPr>
          <w:rFonts w:ascii="Times New Roman;sans-serif" w:hAnsi="Times New Roman;sans-serif"/>
          <w:b w:val="false"/>
          <w:color w:val="000000"/>
          <w:sz w:val="20"/>
        </w:rPr>
        <w:t>SciTech</w:t>
      </w:r>
      <w:r>
        <w:rPr>
          <w:color w:val="000000"/>
          <w:shd w:fill="FFFFFF" w:val="clear"/>
        </w:rPr>
        <w:t xml:space="preserve"> </w:t>
      </w:r>
      <w:r>
        <w:rPr>
          <w:rFonts w:ascii="Times New Roman;sans-serif" w:hAnsi="Times New Roman;sans-serif"/>
          <w:b w:val="false"/>
          <w:color w:val="000000"/>
          <w:sz w:val="20"/>
          <w:shd w:fill="FFFFFF" w:val="clear"/>
        </w:rPr>
        <w:t>innovAtion boaRd, known as the STAR Market, which we refer to as the STAR Listing, as described under “Item 7. Management’s Discussion and Analysis of Financial Condition and Results of Operations.”</w:t>
      </w:r>
    </w:p>
    <w:p>
      <w:pPr>
        <w:pStyle w:val="TextBody"/>
        <w:bidi w:val="0"/>
        <w:spacing w:lineRule="auto" w:line="288" w:before="240" w:after="283"/>
        <w:jc w:val="both"/>
        <w:rPr/>
      </w:pPr>
      <w:r>
        <w:rPr>
          <w:rFonts w:ascii="Times New Roman;sans-serif" w:hAnsi="Times New Roman;sans-serif"/>
          <w:b/>
          <w:color w:val="000000"/>
          <w:sz w:val="20"/>
          <w:shd w:fill="FFFFFF" w:val="clear"/>
        </w:rPr>
        <w:t>Our Technology and Prod</w:t>
      </w:r>
      <w:r>
        <w:rPr>
          <w:rFonts w:ascii="Times New Roman;sans-serif" w:hAnsi="Times New Roman;sans-serif"/>
          <w:b/>
          <w:color w:val="000000"/>
          <w:sz w:val="20"/>
        </w:rPr>
        <w:t>uct Offerings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Wet Cleaning Equipment for Front End Production Processes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Chip fabricators can use our single-wafer wet-cleaning tools in numerous steps to improve product yield in the front-end production process, during which individual devices are patterned in a chip prior to being interconnected on a wafer. Our wet-cleaning equipment has been developed using our proprietary SAPS, TEBO and Tahoe technologies, which allow our tools to remove random defects from a wafer surface effectively, without damaging a wafer or its features, even at increasingly advanced process nodes (the minimum line widths on a chip) of 22nm or less. We use a modular configuration that enables us to create a wet-cleaning tool meeting the specific requirements of a customer, while using pre-existing designs for chamber, electrical, chemical delivery and other modules. Our modular approach supports a wide range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10"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customer needs and facilitates the adaptation of our model tools for use with the optimal chemicals selected to meet a customer’s requirements. Our tools are offered principally for use in manufacturing chips from 300 millimeter, or mm, silicon wafers, but we also offer solutions for 150mm and 200mm wafers and for nonstandard substrates, including compound semiconductor, quartz, sapphire, glass and plastics.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SAPS Technology, Applications and Equipment</w:t>
      </w:r>
    </w:p>
    <w:p>
      <w:pPr>
        <w:pStyle w:val="TextBody"/>
        <w:bidi w:val="0"/>
        <w:spacing w:lineRule="auto" w:line="288" w:before="240" w:after="283"/>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SAPS Technology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SAPS technology delivers megasonic energy uniformly to every point on an entire wafer by alternating phases of megasonic waves in the gap between a megasonic transducer and the wafer. Radicals for removing random defects are generated in dilute solution, and the radical generation is promoted by megasonic energy. Unlike “stationary” megasonic transducers used in conventional megasonic cleaning methods, SAPS technology moves or tilts a transducer while a wafer rotates, enabling megasonic energy to be delivered uniformly across all points on the wafer, even if the wafer is warped. The mechanical force of cavitations generated by megasonic energy enhances the mass transfer rate of dislodged random defects and improves particle removal efficiency.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By delivering megasonic energy in a highly uniform manner on a microscopic level, SAPS technology can precisely control the intensity of megasonic energy and can effectively remove random defects of all sizes across the entire wafer in less total cleaning time than conventional megasonic cleaning products, without loss of material or roughing of wafer surfaces. We have conducted trials demonstrating SAPS technology to be more effective than conventional megasonic and jet spray cleaning technologies as defect sizes shrink from 300nm to 20nm and below. These trials show that SAPS technology has an even greater relative advantage over conventional jet spray technology for cleaning defects between 50 and 65nm in size, and we expect the relative benefits of SAPS will continue to apply in cleaning even smaller defect sizes.</w:t>
      </w:r>
    </w:p>
    <w:p>
      <w:pPr>
        <w:pStyle w:val="TextBody"/>
        <w:bidi w:val="0"/>
        <w:spacing w:lineRule="auto" w:line="288" w:before="240" w:after="283"/>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SAPS Applications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SAPS megasonic cleaning technology can be applied during the chip fabrication process to clean wafer surfaces and interconnects. It also can be used to clean, and lengthen the lifetime, of recycled test wafers.</w:t>
      </w:r>
    </w:p>
    <w:p>
      <w:pPr>
        <w:pStyle w:val="TextBody"/>
        <w:bidi w:val="0"/>
        <w:spacing w:lineRule="auto" w:line="288" w:before="240" w:after="283"/>
        <w:jc w:val="left"/>
        <w:rPr/>
      </w:pPr>
      <w:r>
        <w:rPr>
          <w:rFonts w:ascii="Times New Roman;sans-serif" w:hAnsi="Times New Roman;sans-serif"/>
          <w:b w:val="false"/>
          <w:i/>
          <w:color w:val="000000"/>
          <w:sz w:val="20"/>
          <w:shd w:fill="FFFFFF" w:val="clear"/>
        </w:rPr>
        <w:t>Wafer Surfaces.</w:t>
      </w:r>
      <w:r>
        <w:rPr>
          <w:color w:val="000000"/>
          <w:shd w:fill="FFFFFF" w:val="clear"/>
        </w:rPr>
        <w:t xml:space="preserve"> </w:t>
      </w:r>
      <w:r>
        <w:rPr>
          <w:rFonts w:ascii="Times New Roman;sans-serif" w:hAnsi="Times New Roman;sans-serif"/>
          <w:b w:val="false"/>
          <w:color w:val="000000"/>
          <w:sz w:val="20"/>
          <w:shd w:fill="FFFFFF" w:val="clear"/>
        </w:rPr>
        <w:t>SAPS technology can enhance removal of random defects following planarization and deposition, which are among the most important, and most repeated, steps in the fabrication process: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i/>
          <w:color w:val="000000"/>
          <w:sz w:val="20"/>
          <w:shd w:fill="FFFFFF" w:val="clear"/>
        </w:rPr>
        <w:t>Post CMP</w:t>
      </w:r>
      <w:r>
        <w:rPr>
          <w:rFonts w:ascii="Times New Roman;sans-serif" w:hAnsi="Times New Roman;sans-serif"/>
          <w:b w:val="false"/>
          <w:color w:val="000000"/>
          <w:sz w:val="20"/>
          <w:shd w:fill="FFFFFF" w:val="clear"/>
        </w:rPr>
        <w:t>: Chemical mechanical planarization, or CMP, uses an abrasive chemical slurry following other fabrication processes, such as deposition and etching, in order to achieve a smooth wafer surface in preparation for subsequent processing steps. SAPS technology can be applied following each CMP process to remove residual random defects deposited or formed during CMP.</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 xml:space="preserve">Post Hard Mask Deposition: </w:t>
      </w:r>
      <w:r>
        <w:rPr>
          <w:rFonts w:ascii="Times New Roman;sans-serif" w:hAnsi="Times New Roman;sans-serif"/>
          <w:b w:val="false"/>
          <w:color w:val="000000"/>
          <w:sz w:val="20"/>
          <w:shd w:fill="FFFFFF" w:val="clear"/>
        </w:rPr>
        <w:t>As part of the photolithographical patterning process, a mask is applied with each deposition of a material layer to prevent etching of material intended to be retained. Hard masks have been developed to etch high aspect-ratio features of advanced chips that traditional masks cannot tolerate. SAPS technology can be applied following each deposition step involving hard masks that use nitride, oxide or carbon-based materials to achieve higher etch selectivity and resolution.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these purposes, SAPS technology uses environmentally friendly dilute chemicals, reducing chemical consumption. Chemical types include dilute solutions of chemicals used in RCA cleaning, such as dilute hydrofluoric acid and RCA SC-1 solutions, and, for higher quality wafer cleaning, functional de-ionized water produced by dissolving hydrogen, nitrogen or carbon dioxide in water containing a small amount of chemicals, such as ammonia. Functional water removes random defects by generating radicals, and megasonic excitation can be used in conjunction with functional water to further increase the generation of radicals. Functional water has a lower cost and environmental impact than RCA solutions, and using functional water is more efficient in eliminating random defects than using dilute chemicals or de-ionized water alone. We have shown that SAPS megasonic technology using functional water exhibits high efficiency in removing random defects, especially particles smaller than 65nm, with minimal damage to structures.</w:t>
      </w:r>
    </w:p>
    <w:p>
      <w:pPr>
        <w:pStyle w:val="TextBody"/>
        <w:bidi w:val="0"/>
        <w:spacing w:lineRule="auto" w:line="288" w:before="240" w:after="283"/>
        <w:jc w:val="both"/>
        <w:rPr/>
      </w:pPr>
      <w:r>
        <w:rPr>
          <w:rFonts w:ascii="Times New Roman;sans-serif" w:hAnsi="Times New Roman;sans-serif"/>
          <w:b w:val="false"/>
          <w:i/>
          <w:color w:val="000000"/>
          <w:sz w:val="20"/>
          <w:shd w:fill="FFFFFF" w:val="clear"/>
        </w:rPr>
        <w:t>Interconnects and Barrier Metals</w:t>
      </w:r>
      <w:r>
        <w:rPr>
          <w:rFonts w:ascii="Times New Roman;sans-serif" w:hAnsi="Times New Roman;sans-serif"/>
          <w:b w:val="false"/>
          <w:color w:val="000000"/>
          <w:sz w:val="20"/>
          <w:shd w:fill="FFFFFF" w:val="clear"/>
        </w:rPr>
        <w:t xml:space="preserve">. Each successive advanced process node has led to finer feature sizes of interconnects such as contacts, which form electrical pathways between a transistor and the first metal layer, and vias, which form electrical pathways between two metal layers. Advanced nodes have also resulted in higher aspect ratios for interconnect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11"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structures, with thinner, redesigned metal barriers being used to prevent diffusion. SAPS technology can improve the removal of residues and other random defects from interconnects during the chip fabrication process: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i/>
          <w:color w:val="000000"/>
          <w:sz w:val="20"/>
          <w:shd w:fill="FFFFFF" w:val="clear"/>
        </w:rPr>
        <w:t>Post Contact/Via Etch:</w:t>
      </w:r>
      <w:r>
        <w:rPr>
          <w:color w:val="000000"/>
          <w:shd w:fill="FFFFFF" w:val="clear"/>
        </w:rPr>
        <w:t xml:space="preserve"> </w:t>
      </w:r>
      <w:r>
        <w:rPr>
          <w:rFonts w:ascii="Times New Roman;sans-serif" w:hAnsi="Times New Roman;sans-serif"/>
          <w:b w:val="false"/>
          <w:color w:val="000000"/>
          <w:sz w:val="20"/>
          <w:shd w:fill="FFFFFF" w:val="clear"/>
        </w:rPr>
        <w:t>Wet etching processes are commonly used to create patterns of high-density contacts and vias. SAPS technology can be applied after each such etching process to remove random defects that could otherwise lead to electrical shorts.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Pre Barrier-Metal Deposition</w:t>
      </w:r>
      <w:r>
        <w:rPr>
          <w:rFonts w:ascii="Times New Roman;sans-serif" w:hAnsi="Times New Roman;sans-serif"/>
          <w:b w:val="false"/>
          <w:color w:val="000000"/>
          <w:sz w:val="20"/>
          <w:shd w:fill="FFFFFF" w:val="clear"/>
        </w:rPr>
        <w:t>: Copper wiring requires metal diffusion barriers at the top of via holes to prevent electrical leakage. SAPS technology can be applied prior to deposition of barrier metal to remove residual oxidized copper, which otherwise would adhere poorly to the barrier and impair performance.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these applications, SAPS technology uses environmentally friendly dilute chemicals such as dilute hydrofluoric acid, RCA SC-1 solution, ozonated de-ionized water and functional de-ionized water with dissolved hydrogen. These chemical solutions take the place of piranha solution, a high-temperature mixture of sulfuric acid and hydrogen peroxide used by conventional wet wafer cleaning processes. We have shown that SAPS technology exhibits greater efficiency in removing random defects, and lower levels of material loss, than conventional processes, and our chemical solutions are less expensive and more environmentally conscious than piranha solution.</w:t>
      </w:r>
    </w:p>
    <w:p>
      <w:pPr>
        <w:pStyle w:val="TextBody"/>
        <w:bidi w:val="0"/>
        <w:spacing w:lineRule="auto" w:line="288" w:before="240" w:after="283"/>
        <w:jc w:val="both"/>
        <w:rPr/>
      </w:pPr>
      <w:r>
        <w:rPr>
          <w:rFonts w:ascii="Times New Roman;sans-serif" w:hAnsi="Times New Roman;sans-serif"/>
          <w:b w:val="false"/>
          <w:i/>
          <w:color w:val="000000"/>
          <w:sz w:val="20"/>
          <w:shd w:fill="FFFFFF" w:val="clear"/>
        </w:rPr>
        <w:t>Recycled Test Wafers.</w:t>
      </w:r>
      <w:r>
        <w:rPr>
          <w:color w:val="000000"/>
          <w:shd w:fill="FFFFFF" w:val="clear"/>
        </w:rPr>
        <w:t xml:space="preserve"> </w:t>
      </w:r>
      <w:r>
        <w:rPr>
          <w:rFonts w:ascii="Times New Roman;sans-serif" w:hAnsi="Times New Roman;sans-serif"/>
          <w:b w:val="false"/>
          <w:color w:val="000000"/>
          <w:sz w:val="20"/>
          <w:shd w:fill="FFFFFF" w:val="clear"/>
        </w:rPr>
        <w:t>In addition to using silicon wafers for chip production, chip manufacturers routinely process wafers through a limited portion of the front-end fabrication steps in order to evaluate the health, performance and reliability of those steps. Manufacturers also use wafers for non-product purposes such as inline monitoring. Wafers used for purposes other than manufacturing revenue products are known as test wafers, and it is typical for twenty to thirty percent of the wafers circulating in a fab to be test wafers. In light of the significant cost of wafers, manufacturers seek to re-use a test wafer for more than one test. As test wafers are recycled, surface roughness and other defects progressively impair the ability of a wafer to complete tests accurately. SAPS technology can be applied to reduce random defect levels of a recycled wafer, enabling the test wafer to be reclaimed for use in additional testing processes. For these purposes, SAPS technology includes improved fan filter units that balances intake and exhaust flows, precise temperature and concentration controls that ensure better handling of concentrated acid processes, and two-chemical recycle capability that reduces chemical consumption.</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SAPS Equipment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offer two principal models of wet wafer cleaning equipment based on our SAPS technology, Ultra C SAPS II and Ultra C SAPS V. Each of these models is a single-wafer, serial-processing tool that can be configured to customer specifications and, in conjunction with appropriate dilute chemicals, used to remove random defects from wafer surfaces or interconnects and barrier metals as part of the chip front-end fabrication process or for recycling test wafers. By combining our megasonic and chemical cleaning technologies, we have designed these tools to remove random defects with greater efficacy and efficiency than conventional wafer cleaning processes, with enhanced process flexibility and reduced quantities of chemicals. Each of our SAPS models was initially built to meet specific requirements of a key customer.</w:t>
      </w:r>
    </w:p>
    <w:tbl>
      <w:tblPr>
        <w:tblW w:w="6059" w:type="dxa"/>
        <w:jc w:val="left"/>
        <w:tblInd w:w="0" w:type="dxa"/>
        <w:tblLayout w:type="fixed"/>
        <w:tblCellMar>
          <w:top w:w="28" w:type="dxa"/>
          <w:left w:w="28" w:type="dxa"/>
          <w:bottom w:w="28" w:type="dxa"/>
          <w:right w:w="28" w:type="dxa"/>
        </w:tblCellMar>
      </w:tblPr>
      <w:tblGrid>
        <w:gridCol w:w="1857"/>
        <w:gridCol w:w="1631"/>
        <w:gridCol w:w="1636"/>
        <w:gridCol w:w="274"/>
        <w:gridCol w:w="274"/>
        <w:gridCol w:w="387"/>
      </w:tblGrid>
      <w:tr>
        <w:trPr/>
        <w:tc>
          <w:tcPr>
            <w:tcW w:w="1857"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512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28725" cy="120015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1228725" cy="1200150"/>
                          </a:xfrm>
                          <a:prstGeom prst="rect">
                            <a:avLst/>
                          </a:prstGeom>
                        </pic:spPr>
                      </pic:pic>
                    </a:graphicData>
                  </a:graphic>
                </wp:inline>
              </w:drawing>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SAPS II (released in 2011). Highlights of our SAPS II equipment include:</w:t>
            </w:r>
          </w:p>
        </w:tc>
      </w:tr>
      <w:tr>
        <w:trPr/>
        <w:tc>
          <w:tcPr>
            <w:tcW w:w="5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13"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884"/>
        <w:gridCol w:w="777"/>
        <w:gridCol w:w="780"/>
        <w:gridCol w:w="2267"/>
        <w:gridCol w:w="2267"/>
        <w:gridCol w:w="3230"/>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28750" cy="133350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1428750" cy="1333500"/>
                          </a:xfrm>
                          <a:prstGeom prst="rect">
                            <a:avLst/>
                          </a:prstGeom>
                        </pic:spPr>
                      </pic:pic>
                    </a:graphicData>
                  </a:graphic>
                </wp:inline>
              </w:drawing>
            </w:r>
          </w:p>
        </w:tc>
        <w:tc>
          <w:tcPr>
            <w:tcW w:w="7764"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compact design, with footprint of 2.65m x 4.10m x 2.85m (WxDxH), requiring limited clean room floor space;</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up to 8 chambers, providing throughput of up to 225 wafers per hour;</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double-sided cleaning capability, with up to 5 cleaning chemicals for process flexibility;</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2-chemical recycling capability for reduced chemical consumption;</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image wafer detection method for lowering wafer breakage rates; and</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chemical delivery module for delivery of dilute hydrofluoric acid, RCA SC-1 solution, functional de-ionized water and carbon dioxide to each of the chambers.</w:t>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SAPS V (released in 2014). SAPS V includes SAPS II features with the following upgrades:</w:t>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85900" cy="129540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1485900" cy="1295400"/>
                          </a:xfrm>
                          <a:prstGeom prst="rect">
                            <a:avLst/>
                          </a:prstGeom>
                        </pic:spPr>
                      </pic:pic>
                    </a:graphicData>
                  </a:graphic>
                </wp:inline>
              </w:drawing>
            </w:r>
          </w:p>
        </w:tc>
        <w:tc>
          <w:tcPr>
            <w:tcW w:w="7764"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compact design, with footprint of 2.55m x 5.1m x 2.85m (WxDxH), requiring limited clean room floor space;</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up to 12 chambers, providing throughput of up to 375 wafers per hour;</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chemical supply system integrated into mainframe;</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inline mixing method replaces tank auto changing, reducing process time; and</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improved drying technology using hot isopropyl alcohol and de-ionized water.</w:t>
            </w:r>
          </w:p>
        </w:tc>
      </w:tr>
    </w:tbl>
    <w:p>
      <w:pPr>
        <w:pStyle w:val="TextBody"/>
        <w:bidi w:val="0"/>
        <w:spacing w:lineRule="auto" w:line="288" w:before="240" w:after="283"/>
        <w:jc w:val="both"/>
        <w:rPr/>
      </w:pPr>
      <w:r>
        <w:rPr>
          <w:rFonts w:ascii="Times New Roman;sans-serif" w:hAnsi="Times New Roman;sans-serif"/>
          <w:b/>
          <w:color w:val="000000"/>
          <w:sz w:val="20"/>
          <w:shd w:fill="FFFFFF" w:val="clear"/>
        </w:rPr>
        <w:t>TEBO</w:t>
      </w:r>
      <w:r>
        <w:rPr>
          <w:color w:val="000000"/>
          <w:shd w:fill="FFFFFF" w:val="clear"/>
        </w:rPr>
        <w:t xml:space="preserve"> </w:t>
      </w:r>
      <w:r>
        <w:rPr>
          <w:rFonts w:ascii="Times New Roman;sans-serif" w:hAnsi="Times New Roman;sans-serif"/>
          <w:b/>
          <w:color w:val="000000"/>
          <w:sz w:val="20"/>
          <w:shd w:fill="FFFFFF" w:val="clear"/>
        </w:rPr>
        <w:t>Technology, Applications and Equipment</w:t>
      </w:r>
    </w:p>
    <w:p>
      <w:pPr>
        <w:pStyle w:val="TextBody"/>
        <w:bidi w:val="0"/>
        <w:spacing w:lineRule="auto" w:line="288" w:before="240" w:after="283"/>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TEBO Technology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developed TEBO technology for application in wet wafer cleaning during the fabrication of 2D and 3D wafers with fine feature sizes. TEBO technology facilitates effective cleaning even with patterned features too small or fragile to be addressed by conventional jet spray and megasonic cleaning technologies.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TEBO technology solves the problems created by transient cavitation in conventional megasonic cleaning processes. Cavitation is the formation of bubbles in a liquid, and transient cavitation is a process in which a bubble in fluid implodes or collapses. In conventional megasonic cleaning processes, megasonic energy forms bubbles and then causes those bubbles to implode or collapse, blasting destructive high-pressure, high-temperature micro jets toward the wafer surface. Our internal testing has confirmed that at any level of megasonic energy capable of removing random defects, the sonic energy and mechanical force generated by transient cavitation are sufficiently strong to damage fragile patterned structures with features less than 70nm.</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TEBO technology provides multi-parameter control of cavitation by using a sequence of rapid changes in pressure to force a bubble in liquid to oscillate at controlled sizes, shapes and temperatures, rather than implode or collapse. As a result, cavitation remains stable during TEBO megasonic cleaning processes, and a chip fabricator can, using TEBO technology, apply the level of megasonic energy needed to remove random defects without incurring the pattern damage created by transient cavitation in conventional megasonic cleaning.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have demonstrated the damage-free or low-damage cleaning capabilities of TEBO technology on customers’ patterned wafers as small as 1xnm (16nm to 19nm), and we believe TEBO technology will be applicable in even smaller fabrication process nodes. TEBO technology can be applied in manufacturing processes for conventional 2D chips with fine features and advanced chips with 3D structures, including Fin Field Effect Transistors or FinFET, DRAM, 3D NAND and 3D cross point memory, and we expect it will be applicable to other 3D architectures developed in the future, such as carbon nanotubes and quantum devices. As a result of the thorough, controlled nature of TEBO processes, cleaning time for TEBO-based solutions may take longer than conventional megasonic cleaning processes. Conventional processes have proven ineffective, however, for process nodes of 20nm or less, and we believe the increased yield that can be achieved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16"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using TEBO technology for nodes up to 70nm can more than offset the cost of the additional time in utilizing TEBO technology.</w:t>
      </w:r>
    </w:p>
    <w:p>
      <w:pPr>
        <w:pStyle w:val="TextBody"/>
        <w:bidi w:val="0"/>
        <w:spacing w:lineRule="auto" w:line="288" w:before="240" w:after="283"/>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TEBO Applications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process nodes of 28nm and less, chip makers face escalating challenges in eliminating nanometric particles and maintaining the condition of inside pattern surfaces. In order to maintain chip quality and avoid yield loss, cleaning technologies must control random defects of diminishing killer defect sizes, without roughing or otherwise damaging surfaces of transistors, interconnects or other wafer features. TEBO technology can be applied in numerous steps throughout the manufacturing process flow for effective, damage-free cleaning:</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Memory Chips:</w:t>
      </w:r>
      <w:r>
        <w:rPr>
          <w:color w:val="000000"/>
          <w:shd w:fill="FFFFFF" w:val="clear"/>
        </w:rPr>
        <w:t xml:space="preserve"> </w:t>
      </w:r>
      <w:r>
        <w:rPr>
          <w:rFonts w:ascii="Times New Roman;sans-serif" w:hAnsi="Times New Roman;sans-serif"/>
          <w:b w:val="false"/>
          <w:color w:val="000000"/>
          <w:sz w:val="20"/>
          <w:shd w:fill="FFFFFF" w:val="clear"/>
        </w:rPr>
        <w:t>We estimate that TEBO technology can be applied in as many as 50 steps in the fabrication of a DRAM chip, consisting of up to 10 steps in cleaning ISO structures, 20 steps in cleaning buried gates, and 20 steps in cleaning high aspect-ratio storage nodes and stacked films.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i/>
          <w:color w:val="000000"/>
          <w:sz w:val="20"/>
          <w:shd w:fill="FFFFFF" w:val="clear"/>
        </w:rPr>
        <w:t>Logic Chips:</w:t>
      </w:r>
      <w:r>
        <w:rPr>
          <w:color w:val="000000"/>
          <w:shd w:fill="FFFFFF" w:val="clear"/>
        </w:rPr>
        <w:t xml:space="preserve"> </w:t>
      </w:r>
      <w:r>
        <w:rPr>
          <w:rFonts w:ascii="Times New Roman;sans-serif" w:hAnsi="Times New Roman;sans-serif"/>
          <w:b w:val="false"/>
          <w:color w:val="000000"/>
          <w:sz w:val="20"/>
          <w:shd w:fill="FFFFFF" w:val="clear"/>
        </w:rPr>
        <w:t>In the fabrication process for a logic chip with a FinFET structure, we estimate that TEBO technology can be used in 15 or more cleaning steps.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purposes of solving inside pattern surface conditions for memory or logic chips, TEBO technology uses environmentally friendly dilute chemicals such as RCA SC-1 and hydrogen gas doped functional water.</w:t>
      </w:r>
    </w:p>
    <w:p>
      <w:pPr>
        <w:pStyle w:val="TextBody"/>
        <w:bidi w:val="0"/>
        <w:spacing w:lineRule="auto" w:line="288" w:before="240" w:after="283"/>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TEBO Equipment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offer two models of wet wafer cleaning equipment based on our TEBO technology, Ultra C TEBO II and Ultra C TEBO V. Each of these models is a single-wafer, serial-processing tool that can be configured to customer specifications and, in conjunction with appropriate dilute chemicals, used at numerous manufacturing processing steps for effective, damage-free cleaning of chips at process nodes of 28nm or less. TEBO equipment solves the problem of pattern damage caused by transient cavitation in conventional jet spray and megasonic cleaning processes, providing better particle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17"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removal efficiency with limited material loss or roughing. TEBO equipment is being evaluated by a select group of leading memory and logic chip customers.</w:t>
      </w:r>
    </w:p>
    <w:tbl>
      <w:tblPr>
        <w:tblW w:w="10205" w:type="dxa"/>
        <w:jc w:val="left"/>
        <w:tblInd w:w="0" w:type="dxa"/>
        <w:tblLayout w:type="fixed"/>
        <w:tblCellMar>
          <w:top w:w="28" w:type="dxa"/>
          <w:left w:w="28" w:type="dxa"/>
          <w:bottom w:w="28" w:type="dxa"/>
          <w:right w:w="28" w:type="dxa"/>
        </w:tblCellMar>
      </w:tblPr>
      <w:tblGrid>
        <w:gridCol w:w="903"/>
        <w:gridCol w:w="798"/>
        <w:gridCol w:w="800"/>
        <w:gridCol w:w="2406"/>
        <w:gridCol w:w="2185"/>
        <w:gridCol w:w="3113"/>
      </w:tblGrid>
      <w:tr>
        <w:trPr/>
        <w:tc>
          <w:tcPr>
            <w:tcW w:w="90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model of TEBO equipment includes:</w:t>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66825" cy="1190625"/>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1266825" cy="1190625"/>
                          </a:xfrm>
                          <a:prstGeom prst="rect">
                            <a:avLst/>
                          </a:prstGeom>
                        </pic:spPr>
                      </pic:pic>
                    </a:graphicData>
                  </a:graphic>
                </wp:inline>
              </w:drawing>
            </w:r>
          </w:p>
        </w:tc>
        <w:tc>
          <w:tcPr>
            <w:tcW w:w="770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equipment front-end module, or EFEM, which moves wafers from chamber to chamber.</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one or more chamber modules, each equipped with a TEBO megasonic generator system.</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 electrical module to provide power for the tool; and</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chemical delivery module.</w:t>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Ultra C TEBO II (released in 2016). Highlights of our Ultra C TEBO II equipment include:</w:t>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0" cy="12954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1524000" cy="1295400"/>
                          </a:xfrm>
                          <a:prstGeom prst="rect">
                            <a:avLst/>
                          </a:prstGeom>
                        </pic:spPr>
                      </pic:pic>
                    </a:graphicData>
                  </a:graphic>
                </wp:inline>
              </w:drawing>
            </w:r>
          </w:p>
        </w:tc>
        <w:tc>
          <w:tcPr>
            <w:tcW w:w="7704"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compact design, with footprint of 2.25m x 2.25m x 2.85m (WxDxH);</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up to 8 chambers with an upgraded transport system and optimized robotic scheduler, providing throughput of up to 300 wafers per hour.</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EFEM module consisting of 4 load ports, transfer robot and 1 process robot; and</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focus on dilute chemicals contributes to environmental sustainability and lower cost of ownership.</w:t>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Ultra C TEBO V (released in 2016). Highlights of our Ultra C TEBO V equipment include:</w:t>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0" cy="131445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1524000" cy="1314450"/>
                          </a:xfrm>
                          <a:prstGeom prst="rect">
                            <a:avLst/>
                          </a:prstGeom>
                        </pic:spPr>
                      </pic:pic>
                    </a:graphicData>
                  </a:graphic>
                </wp:inline>
              </w:drawing>
            </w:r>
          </w:p>
        </w:tc>
        <w:tc>
          <w:tcPr>
            <w:tcW w:w="7704"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footprint of 2.45m x 5.30m x 2.85m (WxDxH).</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up to 12 chamber modules, providing throughput of up to 300 wafers per hour.</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EFEM module consisting of 4 load ports, 1 transfer robot and 1 process robot: and</w:t>
            </w:r>
          </w:p>
          <w:p>
            <w:pPr>
              <w:pStyle w:val="TableContents"/>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chemical delivery module for delivery of isopropyl alcohol, dilute hydrofluoric acid, RCA SC-1 solution, functional de-ionized water and carbon dioxide to each of the chambers.</w:t>
            </w:r>
          </w:p>
        </w:tc>
      </w:tr>
    </w:tbl>
    <w:p>
      <w:pPr>
        <w:pStyle w:val="TextBody"/>
        <w:bidi w:val="0"/>
        <w:spacing w:lineRule="auto" w:line="288" w:before="1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Tahoe Overview</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Ultra-C Tahoe wafer cleaning tool can deliver high cleaning performance using significantly less sulfuric acid and hydrogen peroxide than is typically consumed by conventional high-temperature single-wafer cleaning tools. During normal single-wafer cleaning processes, only a fraction of the acid reacts with the wafer surface, while the majority is wasted as acid spins off the wafer and requires significant cost and effort to be recycled. Tahoe employs a proprietary hybrid approach in which the sulfuric acid cleaning steps are processed in batch mode, and the final stage cleaning are processed with single-wafer cleaning technologies. In addition to providing cost savings resulting from vastly reduced sulfuric acid consumption, Ultra-C Tahoe meets the needs of customers who face increased environmental regulations and demand new, more environmentally friendly tools. We delivered our first Ultra C Tahoe tool to a strategic customer in 2019.</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Advanced Packaging and other Back-End Processing Tools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leverage our technology and expertise to provide a range of single-wafer tools for back-end wafer assembly and packaging factories. We develop, manufacture and sell a wide range of advanced packaging tools, such as coaters, developers, photoresist strippers, scrubbers, wet etchers and copper-plating tools. We focus on providing custom-made, differentiated equipment that incorporates customer-requested features at a competitive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21"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example, our Ultra C Coater is used in applying photoresist, a light-sensitive material used in photolithography to transfer a pattern from a mask onto a wafer. Coaters typically provide input and output elevators, shuttle systems and other devices to handle and transport wafers during the coating process. Unlike most coaters, the Ultra C Coater is fully automated. Based on requests from customers, we developed and incorporated the special function of chamber auto-clean module into the Ultra C Coater, which further differentiates it from other products in the market by reducing or eliminating the cleaning of shroud in the coater which increases the tool’s continuous production time. The Ultra C Coater is designed to deliver improved throughput and more efficient tool utilization while eliminating particle generation.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other advanced packaging tools include: Ultra ECP ap, which delivers a uniform metal layer to finished wafers prior to packaging; Ultra C Developer, which applies liquid developer to selected parts of photoresist to resolve an image; Ultra C PR Megasonic-Assisted Stripper, which removes photoresist; Ultra C Scrubber, which scrubs and cleans wafers; Ultra C Thin Wafer Scrubber, which addresses a sub-market of cleaning very thin wafers for certain Asian assembly factories; and Ultra C Wet Etcher, which etches silicon wafers and copper and titanium interconnects.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Customers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Since 2009 we have delivered more</w:t>
      </w:r>
      <w:r>
        <w:rPr>
          <w:color w:val="000000"/>
        </w:rPr>
        <w:t xml:space="preserve"> </w:t>
      </w:r>
      <w:r>
        <w:rPr>
          <w:rFonts w:ascii="Times New Roman;sans-serif" w:hAnsi="Times New Roman;sans-serif"/>
          <w:b w:val="false"/>
          <w:color w:val="000000"/>
          <w:sz w:val="20"/>
        </w:rPr>
        <w:t>than 765 tools to our customers</w:t>
      </w:r>
      <w:r>
        <w:rPr>
          <w:rFonts w:ascii="Times New Roman;sans-serif" w:hAnsi="Times New Roman;sans-serif"/>
          <w:b w:val="false"/>
          <w:color w:val="000000"/>
          <w:sz w:val="20"/>
          <w:shd w:fill="FFFFFF" w:val="clear"/>
        </w:rPr>
        <w:t>, more than 650 of which were repeat orders or acceptances upon contractual performance obligations having been met and thereby generated revenue to us. The balance of the delivered tools is subject to the customer's acceptance of the tool upon the tool's satisfaction of applicable contractual requirements or subject to the customer's subsequent discretionary commitment to purchase the tool. To date, substantially all of our sales of equipment for semiconductor-manufacturing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America, Western Europe and Southeast Asia, by expanding our direct sales teams and increasing our global marketing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front-end customers have included: Shanghai Huali Microelectronics Corporation, together with Huahong Semiconductor Ltd., collectively known as The Shanghai Huahong (Group) Company, Ltd., or The Huali Huahong Group, a leading mainland China-based foundry; Semiconductor Manufacturing International Corporation, or SMIC, a leading mainland China-based foundry; SK Hynix Inc., a leading Korean memory chip company; Yangtze Memory Technologies Co., Ltd., or YMTC, a leading mainland China-based memory chip company, together with one of its subsidiaries; ChangXin Memory Technologies, or CXMT, a leading mainland China-based memory chip company; and SiEn, a leading mainland China-based power-semiconductor chip company. Our wafer assembly and packaging customers have included: Jiangyin Changdian Advanced Packaging Co. Ltd., a mainland China-based wafer bumping packaging house that is a subsidiary of JCET Group Co., Ltd.; Nantong Tongfu Microelectronics Co., Ltd., a mainland China-based chip assembly and testing company that is a subsidiary of Nantong Fujitsu Microelectronics Co., Ltd.; Nepes Co., Ltd., a semiconductor packaging company based in Korea; and Wafer Works Corporation, a mainland China-based wafer supplier.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45.5% of our revenue was derived from three customers: SMIC accounted for 16.7% of our revenue; SiEn accounted for 15.4% of our revenue; and CXMT; accounted for 13.4% of our revenue. In 2022, 43.8% of our revenue was derived from three customers: The Huali Huahong Group; accounted for 18.2% of our revenue; SMIC accounted for 15.6% of our revenue, and YMTC accounted for 10.0% of our revenue. In 2021, 48.9% of our revenue was derived from two customers: The Huali Huahong Group accounted for 28.1% of our revenue; and YMTC accounted for 20.8% of our revenue. </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Sales and Marketing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market and sell our products worldwide using a combination of our direct sales force and third-party representatives. We employ direct sales teams in mainland China, the United States, Southeast Asia, and Europe. We also employ field application engineers, who are typically co-located with our direct sales teams, to provide technical pre- and post-sale support and other assistance to existing and potential customers throughout the customers’ fab planning and production line qualification and fab expansion phases. Our field application engineers are organized by end markets as well as core competencies in hardware, control system, software and process development to support our customers.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supplement our direct sales teams, we have contacts with several independent sales representatives in mainland China, Korea and Taiwan. We select these independent representatives based on their ability to provide effective field sales, marketing forecast and technical requirement updates for our products. In the case of representatives, our customers place purchase orders with us directly rather than with the representatives.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22"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sales have historically been made using purchase orders with agreed technical specifications. Our sales terms and conditions are generally consistent with industry practice but may vary from customer to customer. We seek to obtain a purchase order two to six months ahead of the customer’s desired delivery date. Consistent with industry practice, we allow customers to reschedule or cancel orders at a certain cost to them on relatively short notice. Because of our relatively short delivery period and our practice of permitting rescheduling or cancellation, we believe that backlog is not a reliable indicator of our future revenue.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marketing team focuses on our product strategy and technology road maps, product marketing, new product introduction processes, demand assessment and competitive analysis, customer requirement communication and public relations. Our marketing team also has the responsibility to conduct environmental scans, study industry trends and arrange our participation at major trade shows.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Manufacturing</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We conduct a substantial majority of our product development, manufacturing, support and services in mainland China, with additional product development and subsystem production in Korea. Substantially all of our tools are built to order at our manufacturing facilities in the Pudong region of Shanghai, which now encomp</w:t>
      </w:r>
      <w:r>
        <w:rPr>
          <w:rFonts w:ascii="Times New Roman;sans-serif" w:hAnsi="Times New Roman;sans-serif"/>
          <w:b w:val="false"/>
          <w:color w:val="000000"/>
          <w:sz w:val="20"/>
        </w:rPr>
        <w:t>ass a total of 236,000 square f</w:t>
      </w:r>
      <w:r>
        <w:rPr>
          <w:rFonts w:ascii="Times New Roman;sans-serif" w:hAnsi="Times New Roman;sans-serif"/>
          <w:b w:val="false"/>
          <w:color w:val="000000"/>
          <w:sz w:val="20"/>
          <w:shd w:fill="FFFFFF" w:val="clear"/>
        </w:rPr>
        <w:t>eet of floor space for production capacity.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May 2020 ACM Shanghai, through its wholly owned subsidiary ACM Shengwei, entered into an agreement for a land use right in the Lingang region of Shanghai. In July 2020 ACM Shengwei began a multi-year construction project for a new development and production center. The planned 1,000,000 square foot facility will incorporate state-of-the-art manufacturing systems and automation technologies and will provide the floor space to support significantly more production capacity and related research and development activities when fully staffed and supplied. See “Item 2. Properties,” of Part I of this report.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experience has shown that chip manufacturers in mainland China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Tahoe, ECP, furnace, Track, PECVD, and other technologies in our current portfolio, and enable us to design innovative products and solutions to address their needs.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purchase some of the components and assemblies that we include in our products from single source suppliers. We believe that we could obtain and qualify alternative sources to supply these components. Nevertheless, any prolonged inability to obtain these components could have an adverse effect on our operating results and could unfavorably impact our customer relationships. Please see “Item 1A. Risk Factors—Risks Related to Our Business and Our Industry—We depend on a limited number of suppliers, including single source suppliers, for critical components and assemblies, and our business could be disrupted if they are unable to meet our needs.”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Research and Development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our success depends in part on our ability to develop and deliver breakthrough technologies and capabilities to meet our customers’ ever-more challenging technical requirements. For this reason, we devote significant financial and personnel resources to research and development. Our research and development team is comprised of highly skilled engineers and technologists with extensive experience in megasonic technology, cleaning processes and chemistry, mechanical design, and control system design.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foreseeable future we are focusing on enhancing our Ultra C SAPS, TEBO, Tahoe, ECP, furnace and other tools and integrating additional capabilities to meet and anticipate requirements from our existing and potential customers. Our particular areas of focus include development of the following:</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new cleaning steps for Ultra C SAPS cleaners for application in logic chips and for DRAM, and 3D NAND technologies.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new cleaning steps for Ultra C TEBO cleaners for FinFET in logic chips, gates in DRAM, and deep vias in 3D NAND technologies.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new cleaning steps for Ultra Tahoe cleaners for application in logic chips and for DRAM and 3D NAND technologies.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new dry technologies such as supercritical CO2 dry and advanced IPA dry for DRAM, and logic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23"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new hardware, including new system platforms, new and additional chamber structures and new chemical blending systems;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new software to integrate new functionalities to improve tool performance;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support for the ongoing evaluations and commercialization efforts and product extensions for the newly introduced PECVD and Track product categories.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Longer term, we are working on new proprietary process capabilities based on our existing tool hardware platforms. We are also working to integrate our tools with third-party tools in adjacent process areas in the chip manufacturing flow.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 totaled $92.7 million or 16.6% of revenue in 2023, $62.2 million or 16.0% of revenue in 2022, and $34.2 million or 13.2% of revenue in 2021. We intend to continue to invest in research and development to support and enhance our existing cleaning products and to develop future product offerings to build and maintain our technology leadership position.</w: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success and future revenue growth depend, in part, on our ability to protect our intellectual property. We control access to and use of our proprietary technologies, software and other confidential information through the use of internal and external controls, including contractual protections with employees, consultants, advisors, customers, partners and suppliers. We rely primarily on patent, copyright, trademark and trade secret laws, as well as confidentiality procedures, to protect our proprietary technologies and processes.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have aggressively pursued intellectual property since our founding in 1998. We focus our patent filing efforts in the United States, and, when justified by cost and strategic importance, we file corresponding foreign patent applications in strategic jurisdictions such as the European Union, mainland China, Japan, Singapore, Korea, and Taiwan. </w:t>
      </w:r>
      <w:r>
        <w:rPr>
          <w:rFonts w:ascii="Times New Roman;sans-serif" w:hAnsi="Times New Roman;sans-serif"/>
          <w:b w:val="false"/>
          <w:color w:val="000000"/>
          <w:sz w:val="20"/>
        </w:rPr>
        <w:t>Our patent strategy is designed to provide a balance between the need for coverage in our strategic markets and the need to maintain costs at a reasonable level.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we had 64 issued patents, and 29 patents pending, in the United States. These patents carry expiration dates from 2027 through 2038. Many of the US patents and applications have also been filed internationally, including one or more of the European Union, Japan, mainland China, Singapore, Korea, and Taiwan. Specifically, we own patents in wafer cleaning, electro-polishing and plating, wafer preparation, and other semiconductor processing technologies. We have been issued more than 498 patents in the United States, mainland China, Japan, Korea, Singapore and Taiwan.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manufacture advanced single-wafer cleaning systems equipped with our SAPS, TEBO and Tahoe technologies. We have 57 patents granted internationally protecting our SAPS technologies, and we have filed 11 international patent applications for key TEBO technologies, and 5 for Tahoe, in accordance with the Patent Cooperation Treaty. In addition we have patented technologies for SFP and ECP that are embedded in certain tools. We also have patented technologies in other semiconductor processing areas, including wafer preparation and several specific processing steps.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date we have not granted licenses to third parties under the patents described above. Not all of these patents have been implemented in products. We may enter into licensing or cross-licensing arrangements with other companies in the future.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cannot assure you that any patents will issue from any of our pending applications. Any rights granted under any of our existing or future patents may not provide meaningful protection or any commercial advantage to us. With respect to our other proprietary rights, it may be possible for third parties to copy or otherwise obtain and use our proprietary technology or marks without authorization or to develop similar technology independently.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semiconductor equipment industry is characterized by vigorous protection and pursuit of intellectual property rights or positions, which have resulted in often protracted and expensive litigation. We may in the future initiate claims or litigation against third parties to determine the validity and scope of proprietary rights of others. In addition, we may in the future initiate litigation to enforce our intellectual property rights or the rights of our customers or to protect our trade secrets.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24"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customers could become the target of litigation relating to the patent or other intellectual property rights of others. This could trigger technical support and indemnification obligations in some of our customer agreements. These obligations could result in substantial expenses, including the payment by us of costs and damages related to claims of patent infringement. In addition to the time and expense required for us to provide support or indemnification to our customers, any such litigation could disrupt the businesses of our customers, which in turn could hurt our relations with our customers and cause the sale of our products to decrease. We do not have any insurance coverage for intellectual property infringement claims for which we may be obligated to provide indemnification.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 information about the risks relating to our intellectual property is provided under “Item 1A. Risk Factors—Risks Related to Our Intellectual Property and Data Security.”</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Competition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chip equipment industry is characterized by rapid change and is highly competitive throughout the world. We compete with semiconductor equipment companies located around the world, and we may also face competition from new and emerging companies, including new competitors from mainland China. We consider our principal competitors to be those companies that provide wafer cleaning and electrical plating products to the market, including Lam Research Corporation, NAURA Technology Group Co., Ltd., Mujin Electronics Co., Ltd., SCREEN SPE USA, LLC (a subsidiary of SCREEN Holdings Co., Ltd.), SEMES Co. Ltd., Tokyo Electron Ltd. and Kokusai Semiconductor Equipment Corporation. Key competitors for our newly-introduced PECVD and Track products include Lam Research Corporation, Applied Materials, Inc., KINGSEMI Co., Ltd. and Suzhou Jingtuo Semiconductor Technology Co., Ltd.</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Compared to our company, our current and potential competitors may have: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better established credibility and market reputations, longer operating histories, and broader product offerings;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significantly greater financial, technical, marketing and other resources, which may allow them to pursue design, development, manufacturing, sales, marketing, distribution and service support of their products;</w:t>
      </w:r>
    </w:p>
    <w:p>
      <w:pPr>
        <w:pStyle w:val="TextBody"/>
        <w:bidi w:val="0"/>
        <w:spacing w:lineRule="auto" w:line="288" w:before="0" w:after="0"/>
        <w:ind w:left="0" w:right="0" w:hanging="540"/>
        <w:jc w:val="both"/>
        <w:rPr/>
      </w:pPr>
      <w:r>
        <w:rPr>
          <w:color w:val="000000"/>
          <w:shd w:fill="FFFFFF" w:val="clear"/>
        </w:rPr>
        <w:t>•</w:t>
      </w:r>
      <w:r>
        <w:rPr>
          <w:rFonts w:ascii="Times New Roman;sans-serif" w:hAnsi="Times New Roman;sans-serif"/>
          <w:b w:val="false"/>
          <w:color w:val="000000"/>
          <w:sz w:val="20"/>
          <w:shd w:fill="FFFFFF" w:val="clear"/>
        </w:rPr>
        <w:t>more extensive customer and partner relationships, which may position them to identify and respond more successfully to market developments and changes in customer demands;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multiple product offerings, which may enable them to offer bundled discounts for customers purchasing multiple products or other incentives that we cannot match or offer.</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principal competitive factors in our market include: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performance of products, including particle removal efficiency, rate of damage to wafer structures, high temperature chemistry, throughput, tool uptime and reliability, safety, chemical waste treatment, and environmental impact;</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gap filling capability, the deposited film thickness uniformity within wafer and wafer to wafer, particle generated on the wafer during the processes;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service support capability and spare parts delivery time; innovation and development of functionality and features that are must-haves for advanced fabrication nodes;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ability to anticipate customer requirements, especially for advanced process nodes of less than 45nm; ability to identify new process applications;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brand recognition and reputation;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skill and capability of personnel, including design engineers, manufacturing engineers and technicians, application engineers, and service engineers.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semiconductor manufacturers must make a substantial investment to qualify and integrate new equipment into semiconductor production lines. Some manufacturers began fabricating chips for the 5nm node in 2020 and the 3nm node in 2022. Once a semiconductor manufacturer has selected a particular supplier’s equipment and qualified it for production, the manufacturer generally maintains that selection for that specific production application and technology node as long as the supplier’s products demonstrate performance to specification in the installed base. Accordingly, we may experience difficulty in selling to a given manufacturer if that manufacturer has qualified a competitor’s equipment. If, however, that cleaning equipment constrains chip yield, we expect, based on our experience to date, that the manufacturer will evaluate implementing new equipment that cleans more effectively.</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People</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As of December 31, 2023, we ha</w:t>
      </w:r>
      <w:r>
        <w:rPr>
          <w:rFonts w:ascii="Times New Roman;sans-serif" w:hAnsi="Times New Roman;sans-serif"/>
          <w:b w:val="false"/>
          <w:color w:val="000000"/>
          <w:sz w:val="20"/>
        </w:rPr>
        <w:t>d 1,590 fu</w:t>
      </w:r>
      <w:r>
        <w:rPr>
          <w:rFonts w:ascii="Times New Roman;sans-serif" w:hAnsi="Times New Roman;sans-serif"/>
          <w:b w:val="false"/>
          <w:color w:val="000000"/>
          <w:sz w:val="20"/>
          <w:shd w:fill="FFFFFF" w:val="clear"/>
        </w:rPr>
        <w:t>ll-time equivalent employees, of whom 139 were in administration, 286 were in manufacturing, 733 were in research and development, and 432</w:t>
      </w:r>
      <w:r>
        <w:rPr>
          <w:color w:val="000000"/>
          <w:shd w:fill="FFFFFF" w:val="clear"/>
        </w:rPr>
        <w:t xml:space="preserve"> </w:t>
      </w:r>
      <w:r>
        <w:rPr>
          <w:rFonts w:ascii="Times New Roman;sans-serif" w:hAnsi="Times New Roman;sans-serif"/>
          <w:b w:val="false"/>
          <w:color w:val="000000"/>
          <w:sz w:val="20"/>
          <w:shd w:fill="FFFFFF" w:val="clear"/>
        </w:rPr>
        <w:t xml:space="preserve">were in sales and marketing and customer services. Of these employees, 1,416 were located in mainland China and the Taiwan region, 159 were located in Korea and 15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25"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based in the United States. We have never had a work stoppage, and none of our employees are represented by a labor organization or subject to any collective bargaining arrangements. We consider our employee relations to be good.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compete in the highly competitive semiconductor equipment industry, with operations principally in mainland China. Attracting, developing, and retaining skilled and experienced employees in research and development, manufacturing, sales and marketing, and other positions is crucial to our ability to compete effectively. Our ability to recruit and retain such employees depends on a number of factors, including our corporate culture and work environment, informed by our values and behaviors, our corporate philosophy of talent development and career opportunities, and compensation and benefits.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attract and retain qualified employees and key talent, we offer total compensation packages that are competitive with comparable companies, particularly in mainland China and, specifically, Shanghai.</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provide training and development programs to our employees, and we have trained many of our key engineers and managers for more than a decade. Retention of these key employees is critical to secure our future growth and technology development. To assist in employee retention and recruitment, we offer employee housing in the Lingang region of Shanghai nearby our new research and development and production center.</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Environmental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Severe weather events, including earthquakes, fires, floods, heat waves, hurricanes and other environmental disasters, could pose a threat to our manufacturing and research and development activities through physical damage to our operating facilities or equipment or disruption of power supply or telecommunications infrastructure. The frequency and intensity of severe weather events are reportedly increasing throughout the world as part of broader climate changes. Global weather pattern changes may also pose long-term risks of physical impacts to our business. We maintain disaster recovery and business continuity plans that would be implemented to help us recover in the event of severe weather events that interrupt our business. See “Item 1A. Risk Factors—General—Our production facilities could be damaged or disrupted by a natural disaster, war, terrorist attacks or other catastrophic events.”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Concerns about climate change have resulted in various laws and regulations that are intended to limit carbon emissions and address other environmental concerns. In recent years, mainland China, where our production facilities are located, has undertaken comprehensive sustainability initiatives that are requiring companies to meet new environmental standards and deal with higher energy and other production costs. Environmental laws and regulations may impose new or unexpected cost either directly through, for example, higher energy costs or indirectly through increased costs of compliance or of failing to comply with these laws and regulations. These laws and regulations might increase the cost of construction, maintenance and operation of our new research and development center and factory in the Lingang region of Shanghai.</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do not currently expect that existing or pending climate change laws and regulations will be material to our results of operations in the foreseeable future. Climate change could, however, have a direct effect on our customer base of semiconductor fabricators, whose operations typically require copious quantities of power and water and a number of chemicals. Chip fabrication operations often result in significant amounts of wastewater, which can contain a number of harmful contaminants, including antimony, arsenic, hydrofluoric acid and hydrogen peroxide, that historically have resulted in groundwater pollution and related violations of environmental laws. Moreover, water and chemical demands for semiconductor fabrication are expected to increase with the production of more advanced chips at smaller process nodes. As a result, some leading chip fabricators have begun to invest in conservation and treatment technologies for water and chemicals.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designed some of our tools to require significantly reduced levels of environmentally harmful chemicals, which helps customers face increased environmental laws and regulations. SAPS and TEBO technologies use environmentally friendly dilute chemicals, such as dilute hydrofluoric acid, RCA SC-1 solution, ozonated de-ionized water and functional de-ionized water with dissolved hydrogen. In interconnect and barrier metals applications based on SAPS technology, for example, these chemical solutions take the place of chemicals such as piranha solution, a high-temperature mixture of sulfuric acid and hydrogen peroxide used by conventional wet wafer cleaning processes. Similarly, Tahoe technology delivers high cleaning performance using significantly less sulfuric acid and hydrogen peroxide than is typically consumed by conventional high-temperature single-wafer cleaning tools. For additional information, see “—Our Technology and Product Offerings—Wet Cleaning Equipment for Front End Production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26"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Available Information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required to file annual, quarterly and current reports, proxy statements and other information with the U.S. Securities and Exchange Commission, or the SEC. The SEC maintains a website at www.sec.gov that contains reports, proxy and information statements, and other information regarding issuers that file electronically with the SEC.</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Annual Reports on Form 10-K, Quarterly Reports on Form 10-Q, Current Reports on Form 8-K, proxy statements and amendments to those documents filed or furnished pursuant to Section 13(a) or 15(d) of the Securities Exchange Act of 1934, or the Exchange Act, are also available free of charge on our website at www.acmrcsh.com as soon as reasonably practicable after such reports are electronically filed with or furnished to the SEC.</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Investors should note that we announce material information to our investors and others using filings with the SEC, press releases, public conference calls, webcasts or our website (www.acmrcsh.com), including news and announcements regarding our financial performance, key personnel, our brands and our business strategy. Information that we post on our corporate website could be deemed material to investors. We encourage investors to review the information we post on these channels. We may from time to time update the list of channels we will use to communicate information that could be deemed material and will post information about any such change on www.acmrcsh.com. The information on our website is not, and shall not be deemed to be, a part hereof or incorporated into this or any of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Investing in Class A common stock involves a high degree of risk. You should consider and read carefully all of the risks and uncertainties described below, as well as other information contained in this report, including the consolidated financial statements and related notes set forth in “Item 8. Financial Statements and Supplementary Data”, before making an investment decision. The occurrence of any of the following risks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 This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pStyle w:val="TextBody"/>
        <w:bidi w:val="0"/>
        <w:spacing w:lineRule="auto" w:line="288" w:before="240" w:after="283"/>
        <w:jc w:val="both"/>
        <w:rPr/>
      </w:pPr>
      <w:r>
        <w:rPr>
          <w:rFonts w:ascii="Times New Roman;sans-serif" w:hAnsi="Times New Roman;sans-serif"/>
          <w:b/>
          <w:color w:val="000000"/>
          <w:sz w:val="20"/>
          <w:shd w:fill="FFFFFF" w:val="clear"/>
        </w:rPr>
        <w:t>R</w:t>
      </w:r>
      <w:r>
        <w:rPr>
          <w:rFonts w:ascii="Times New Roman;sans-serif" w:hAnsi="Times New Roman;sans-serif"/>
          <w:b/>
          <w:color w:val="000000"/>
          <w:sz w:val="14"/>
          <w:shd w:fill="FFFFFF" w:val="clear"/>
        </w:rPr>
        <w:t>ISK</w:t>
      </w:r>
      <w:r>
        <w:rPr>
          <w:color w:val="000000"/>
          <w:shd w:fill="FFFFFF" w:val="clear"/>
        </w:rPr>
        <w:t xml:space="preserve"> </w:t>
      </w:r>
      <w:r>
        <w:rPr>
          <w:rFonts w:ascii="Times New Roman;sans-serif" w:hAnsi="Times New Roman;sans-serif"/>
          <w:b/>
          <w:color w:val="000000"/>
          <w:sz w:val="20"/>
          <w:shd w:fill="FFFFFF" w:val="clear"/>
        </w:rPr>
        <w:t>F</w:t>
      </w:r>
      <w:r>
        <w:rPr>
          <w:rFonts w:ascii="Times New Roman;sans-serif" w:hAnsi="Times New Roman;sans-serif"/>
          <w:b/>
          <w:color w:val="000000"/>
          <w:sz w:val="14"/>
          <w:shd w:fill="FFFFFF" w:val="clear"/>
        </w:rPr>
        <w:t>ACTOR</w:t>
      </w:r>
      <w:r>
        <w:rPr>
          <w:color w:val="000000"/>
          <w:shd w:fill="FFFFFF" w:val="clear"/>
        </w:rPr>
        <w:t xml:space="preserve"> </w:t>
      </w:r>
      <w:r>
        <w:rPr>
          <w:rFonts w:ascii="Times New Roman;sans-serif" w:hAnsi="Times New Roman;sans-serif"/>
          <w:b/>
          <w:color w:val="000000"/>
          <w:sz w:val="20"/>
          <w:shd w:fill="FFFFFF" w:val="clear"/>
        </w:rPr>
        <w:t>S</w:t>
      </w:r>
      <w:r>
        <w:rPr>
          <w:rFonts w:ascii="Times New Roman;sans-serif" w:hAnsi="Times New Roman;sans-serif"/>
          <w:b/>
          <w:color w:val="000000"/>
          <w:sz w:val="14"/>
          <w:shd w:fill="FFFFFF" w:val="clear"/>
        </w:rPr>
        <w:t>UMMARY</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Our business is subject to a number of risks, including risks that may prevent us from achieving our business objectives or may adversely affect our business, financial condition, results of operations, cash flows and prospects. The risks are discussed more fully below and include, but are not limited to, the risks summarized below.</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International Aspects of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mainland China central government authorities may intervene in, or influence, ACM Shanghai’s mainland China-based operations at any time, and those authorities’ rules and regulations in mainland China can change quickly with little or no advance notice;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mainland China central government may determine to exert additional control over offerings conducted overseas or foreign investment in mainland China-based issuers, which could result in a material change in operations of ACM Shanghai and</w:t>
      </w:r>
      <w:r>
        <w:rPr>
          <w:color w:val="000000"/>
          <w:shd w:fill="FFFFFF" w:val="clear"/>
        </w:rPr>
        <w:t xml:space="preserve"> </w:t>
      </w:r>
      <w:r>
        <w:rPr>
          <w:rFonts w:ascii="Times New Roman;sans-serif" w:hAnsi="Times New Roman;sans-serif"/>
          <w:b w:val="false"/>
          <w:color w:val="000000"/>
          <w:sz w:val="20"/>
          <w:shd w:fill="FFFFFF" w:val="clear"/>
        </w:rPr>
        <w:t>cause significant declines in the value of ACM Research Class A common stock, or make them worthless;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if we are unable to comply with recent and proposed legislation and regulations regarding improved access to audit and other information and audit inspections of accounting firms, including registered public accounting firms, such as our prior and current audit firms, operating in mainland China, we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27"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it may be difficult for overseas regulators to conduct investigations or collect evidence within mainland China;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substantially all of our assets are located outside of the United States and certain of our directors and officers reside outside of the United States, which may make it difficult for you to enforce your rights based on the U.S. federal securities laws;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Business and Our Industry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potential future needs for additional capital that may not be available at all or on terms acceptable to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cyclicality in the semiconductor industry that may lead to substantial variations in demand for our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dependence on a small number of customers for a substantial portion of our revenue;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industry manufacturers of chips adopting our SAPS, TEBO, Tahoe, ECP, furnace and other technologies;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SAPS, TEBO, Tahoe, ECP, furnace and other technologies not achieving widespread market acceptance;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continue to enhance our existing single-wafer wet cleaning tools and identifying and entering new product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establish and maintain a reputation for credibility and product quality;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expand our customer base;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long and unpredictable sales cycle, including our incurrence of significant expenses long before we can recognize revenue from new products, if at all;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difficulties in forecasting demand for our tools;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reliance on third parties to manufacture significant portions of our tools and our ability to manage our relationships with these parties;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any shortage of components or subassemblies, which could result in delayed delivery of products to us or in increased costs to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dependence on a limited number of suppliers, including single source suppliers, for critical components and subassemblies;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dependence on our Chief Executive Officer and President and other senior management and key employees;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Regulatory Risks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regulatory actions limiting our ability and the broader industry's ability to export into China, as well as other specified countries, items sourced from the U.S. or otherwise subject to control under the U.S. Export Administration Regulations (EAR), or controls introduced by other countries including Japan and the Netherlands, thereby impacting our ability to sell our tools to customers in these jurisdictions;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changes in government trade policies that could limit the demand for our tools and increase the cost of our tools;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changes in political and economic policies with respect to mainland China;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mainland China’s currency exchange control and government restrictions on investment repatriation may impact our ability to transfer funds outside of mainland China;</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STAR Listing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implement our strategy to expand our mainland China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achieve the results contemplated by our business strategy and our strategy for growth in mainland China and expectations related to the STAR Listing;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effect of ACM Shanghai’s status as a publicly traded company that is controlled, but less than wholly owned, by ACM Research;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manage potentially inconsistent accounting and disclosure requirements of ACM Research and ACM Shanghai as a result of the STAR Listing;</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Intellectual Property and Data Security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protect our intellectual property, including in mainland China;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breaches of our cybersecurity systems;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Ownership of Class A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volatility in the market price of Class A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manipulative short sellers of our stock, which may drive down the market price of our Class A common stock and could result in litigation;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difficulty to predict the effect of the STAR Listing and STAR IPO on the Class A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dual class structure of common stock, which has the effect of concentrating voting control with our executive officers and directors;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limited experience of our management team managing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28"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International Aspects of Our Business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Mainland China central government authorities have taken steps to preclude, or significantly discourage, certain mainland China companies from listing on U.S. and other exchanges outside mainland China. Investments activities in mainland China by non-mainland China investors are principally governed by the Encouraged Industries Catalog for Foreign Investment (2020 version) and the Special Administrative Measures for Foreign Investment Access (Negative List 2021), both of which were promulgated by mainland China’s Ministry of Commerce, or MOFCOM, and National Development and Reform Commission. These regulations set forth the industries in which foreign investments are encouraged, restricted and prohibited.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Industries that are not listed in any of these three categories are generally open to foreign investment unless otherwise specifically restricted by other mainland China rules and regulations. We believe that our operations do not fall within any industry that is restricted or prohibited under these regulations and that the regulations therefore do not apply to us.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Mainland China-based companies that seek to list their shares in the United States but are subject to mainland China restrictions on investments by non-mainland China investors sometimes use a special purpose vehicle known as a VIE created in an off-shore jurisdiction such as the Cayman Islands. In these structures, a VIE enters into a series of contractual arrangements with mainland China-based operating company and its mainland China-based shareholders that afford those shareholders, rather than the shareholders of the VIE, effective control over the finances and operations of the operating company. The VIE, effectively a shell company, issues share that are listed for trading on a U.S. exchange, but the enterprise is controlled by the legacy mainland China-based shareholders and is subject to mainland China laws and regulations. ACM Research is not a VIE or other special purpose, or shell, company, and its relationship with ACM Shanghai does not involve the types of contractual arrangements existing between a VIE and a mainland China-based operating company. ACM Research is a Delaware corporation founded in California in 1998 that formed ACM Shanghai to conduct business operations in mainland China. ACM Research controls the operations of ACM Shanghai through its direct ownership of ACM Shanghai shares, and it also conducts sales and marketing activities focused on sales of ACM Shanghai products in North America, Europe and certain regions in Asia outside mainland China.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do not believe that our corporate structure or any other matters relating to our business operations currently require that ACM Shanghai obtain any permissions or approvals from the China Securities Regulatory Commission, or CSRC, or any other mainland China central government authority in connection with ACM’s listing, or offering for sale in the future, shares of our Class A common stock in the United States. We, including ACM Shanghai, therefore have never solicited any permission or approval from any mainland China central government authority, and thus no such permissions or approvals have been received or denied, in connection with ACM Research’s seeking and maintaining the listing of our Class A common stock in the United States. In the event that we inadvertently conclude that permissions or approvals are not required, or either the CSRC or another mainland China central government authority were to determine that existing mainland China laws or regulations require that ACM Shanghai obtain the authority’s permission or approval to continue ACM Research’s listing of Class A common stock in the United States or if those existing mainland China laws and regulations, or interpretations thereof, were to change to require such permission or approval, ACM Shanghai could be unable to obtain any such permission or approval or could be able to obtain such permission or approval only on terms and conditions that impose material new operating or other restrictions and limitations on ACM Shanghai. In such circumstances, it would materially and adversely affect the value of our Class A common stock, which may decline in value or become worthless. In addition, ACM Shanghai could face sanctions by the CSRC or other mainland China central government authorities or pressure from the mainland China government in various business matters for failure to obtain such permission or approval. Such potential sanctions or pressure may include fines and penalties on ACM Shanghai’s operations in mainland China, limitations on its operating privileges in mainland China, delays in or restrictions on the transfer of proceeds from a public offering of ACM Research securities in the United States to ACM Shanghai, restrictions on or prohibition of the payments or remittance of dividends by ACM Shanghai to ACM Research, or other actions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29"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could have a material and adverse effect on our business, financial condition, results of operations, reputation and prospects, as well as the trading price of ACM Research Class A common stock, which could decline in value or become worthless.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Mainland China central government authorities may intervene in, or influence, ACM Shanghai’s mainland China-based operations at any time, and those authorities’ rules and regulations in mainland China can change quickly with little or no advance notice.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business of ACM Shanghai is subject to complex laws and regulations in mainland China that can change quickly with little or no advance notice. To date, beyond the COVID-19-related restrictions in 2022, we have not experienced such intervention or influence by mainland China central government authorities or a change in those authorities’ rules and regulations that have had a material impact of ACM Shanghai or ACM Research. We cannot assure you, however, that future changes in mainland China laws and regulations will not materially and adversely affect our mainland China-based operations. For example:</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u w:val="single"/>
          <w:shd w:fill="FFFFFF" w:val="clear"/>
        </w:rPr>
        <w:t>Intellectual Property</w:t>
      </w:r>
      <w:r>
        <w:rPr>
          <w:rFonts w:ascii="Times New Roman;sans-serif" w:hAnsi="Times New Roman;sans-serif"/>
          <w:b w:val="false"/>
          <w:color w:val="000000"/>
          <w:sz w:val="20"/>
          <w:shd w:fill="FFFFFF" w:val="clear"/>
        </w:rPr>
        <w:t>. Our commercial success depends in part on our ability to obtain and maintain patent and trade secret protection for our intellectual property, including our SAPS, TEBO, Tahoe, ECP, furnace and other technologies and the design of our Ultra C equipment. See “—Risks Related to Our Intellectual Property and Data Security—</w:t>
      </w:r>
      <w:r>
        <w:rPr>
          <w:rFonts w:ascii="Times New Roman;sans-serif" w:hAnsi="Times New Roman;sans-serif"/>
          <w:b w:val="false"/>
          <w:i/>
          <w:color w:val="000000"/>
          <w:sz w:val="20"/>
          <w:shd w:fill="FFFFFF" w:val="clear"/>
        </w:rPr>
        <w:t>Our success depends on our ability to protect our intellectual property, including our SAPS, TEBO, Tahoe, ECP, furnace and other technologies</w:t>
      </w:r>
      <w:r>
        <w:rPr>
          <w:rFonts w:ascii="Times New Roman;sans-serif" w:hAnsi="Times New Roman;sans-serif"/>
          <w:b w:val="false"/>
          <w:color w:val="000000"/>
          <w:sz w:val="20"/>
          <w:shd w:fill="FFFFFF" w:val="clear"/>
        </w:rPr>
        <w:t>.” in Item 1A, “Risk Factors” of Part I of this report. The significant majority of our intellectual property has been developed in mainland China and is owned by ACM Shanghai. Implementation and enforcement of intellectual property-related laws in mainland China have historically been lacking due primarily to ambiguities in mainland China intellectual property law. See “—Risks Related to Our Intellectual Property and Data Security—</w:t>
      </w:r>
      <w:r>
        <w:rPr>
          <w:rFonts w:ascii="Times New Roman;sans-serif" w:hAnsi="Times New Roman;sans-serif"/>
          <w:b w:val="false"/>
          <w:i/>
          <w:color w:val="000000"/>
          <w:sz w:val="20"/>
          <w:shd w:fill="FFFFFF" w:val="clear"/>
        </w:rPr>
        <w:t>We may not be able to protect our intellectual property rights throughout the world, including mainland China, which could materially, negatively affect our business</w:t>
      </w:r>
      <w:r>
        <w:rPr>
          <w:color w:val="000000"/>
          <w:shd w:fill="FFFFFF" w:val="clear"/>
        </w:rPr>
        <w:t xml:space="preserve">” </w:t>
      </w:r>
      <w:r>
        <w:rPr>
          <w:rFonts w:ascii="Times New Roman;sans-serif" w:hAnsi="Times New Roman;sans-serif"/>
          <w:b w:val="false"/>
          <w:color w:val="000000"/>
          <w:sz w:val="20"/>
          <w:shd w:fill="FFFFFF" w:val="clear"/>
        </w:rPr>
        <w:t>in Item 1A, “Risk Factors” of Part I of this report. In the event mainland China central government authorities were to significantly revise or revamp the current scope and structure of intellectual property protection in mainland China, our ability to protect and enforce our intellectual property rights for our key proprietary technologies may be adversely impacted and competitors may be able to match our technologies and tools in order to compete with us.</w:t>
      </w:r>
    </w:p>
    <w:p>
      <w:pPr>
        <w:pStyle w:val="TextBody"/>
        <w:bidi w:val="0"/>
        <w:spacing w:lineRule="auto" w:line="288" w:before="240" w:after="283"/>
        <w:ind w:left="0" w:right="0" w:hanging="540"/>
        <w:jc w:val="both"/>
        <w:rPr/>
      </w:pPr>
      <w:r>
        <w:rPr>
          <w:color w:val="000000"/>
          <w:shd w:fill="FFFFFF" w:val="clear"/>
        </w:rPr>
        <w:t>•</w:t>
      </w:r>
      <w:r>
        <w:rPr>
          <w:rFonts w:ascii="Times New Roman;sans-serif" w:hAnsi="Times New Roman;sans-serif"/>
          <w:b w:val="false"/>
          <w:color w:val="000000"/>
          <w:sz w:val="20"/>
          <w:u w:val="single"/>
          <w:shd w:fill="FFFFFF" w:val="clear"/>
        </w:rPr>
        <w:t>Title Defect in Leased Premises</w:t>
      </w:r>
      <w:r>
        <w:rPr>
          <w:rFonts w:ascii="Times New Roman;sans-serif" w:hAnsi="Times New Roman;sans-serif"/>
          <w:b w:val="false"/>
          <w:color w:val="000000"/>
          <w:sz w:val="20"/>
          <w:shd w:fill="FFFFFF" w:val="clear"/>
        </w:rPr>
        <w:t>. We conduct research and development, and service support operations at ACM Shanghai’s headquarters located in the Zhangjiang Hi Tech Park in Shanghai, which ACM Shanghai leases from Zhangjiang Group. Zhangjiang Group has not obtained a certificate of property title for the premises, although it has represented to ACM Shanghai that it has the right to rent the premises to ACM Shanghai. If any adjustment in local regional overall planning of Shanghai, or any other reason, results in the demolition of such premises, the premises could not continue to be leased to ACM Shanghai and the day-to-day production and operation of ACM Shanghai would be materially and adversely affected. See Item 2, “Properties” of Part I of this report.</w:t>
      </w:r>
    </w:p>
    <w:p>
      <w:pPr>
        <w:pStyle w:val="TextBody"/>
        <w:bidi w:val="0"/>
        <w:spacing w:lineRule="auto" w:line="288" w:before="240" w:after="283"/>
        <w:ind w:left="0" w:right="0" w:hanging="540"/>
        <w:jc w:val="both"/>
        <w:rPr/>
      </w:pPr>
      <w:r>
        <w:rPr>
          <w:color w:val="000000"/>
          <w:shd w:fill="FFFFFF" w:val="clear"/>
        </w:rPr>
        <w:t>•</w:t>
      </w:r>
      <w:r>
        <w:rPr>
          <w:rFonts w:ascii="Times New Roman;sans-serif" w:hAnsi="Times New Roman;sans-serif"/>
          <w:b w:val="false"/>
          <w:color w:val="000000"/>
          <w:sz w:val="20"/>
          <w:u w:val="single"/>
          <w:shd w:fill="FFFFFF" w:val="clear"/>
        </w:rPr>
        <w:t>COVID-19 Pandemic</w:t>
      </w:r>
      <w:r>
        <w:rPr>
          <w:rFonts w:ascii="Times New Roman;sans-serif" w:hAnsi="Times New Roman;sans-serif"/>
          <w:b w:val="false"/>
          <w:color w:val="000000"/>
          <w:sz w:val="20"/>
          <w:shd w:fill="FFFFFF" w:val="clear"/>
        </w:rPr>
        <w:t xml:space="preserve">. We conduct substantially all of our product development, manufacturing, support and services in mainland China, and those activities were directly impacted by COVID-19 and related restrictions on transportation and public appearances, including implementation by mainland China government authorities of “spot” and full-city quarantines in the city of Shanghai, where substantially all of our operations are located. Furthermore, a number of our key customers have substantial operations based in operations areas of mainland China, including in the City of Shanghai, which required us to defer, in the first quarter of 2022, shipments of finished products to those customers. A significant number of ACM Shanghai employees missed work in late 2022 and early 2023 for one or several weeks due to COVID-19 related illness following the relaxation of mainland China’s zero-COVID policies in December 2022. </w:t>
      </w:r>
    </w:p>
    <w:p>
      <w:pPr>
        <w:pStyle w:val="TextBody"/>
        <w:bidi w:val="0"/>
        <w:spacing w:lineRule="auto" w:line="288" w:before="240" w:after="283"/>
        <w:ind w:left="0" w:right="0" w:hanging="540"/>
        <w:jc w:val="both"/>
        <w:rPr/>
      </w:pPr>
      <w:r>
        <w:rPr>
          <w:color w:val="000000"/>
          <w:shd w:fill="FFFFFF" w:val="clear"/>
        </w:rPr>
        <w:t>•</w:t>
      </w:r>
      <w:r>
        <w:rPr>
          <w:rFonts w:ascii="Times New Roman;sans-serif" w:hAnsi="Times New Roman;sans-serif"/>
          <w:b w:val="false"/>
          <w:color w:val="000000"/>
          <w:sz w:val="20"/>
          <w:u w:val="single"/>
          <w:shd w:fill="FFFFFF" w:val="clear"/>
        </w:rPr>
        <w:t>Data Security</w:t>
      </w:r>
      <w:r>
        <w:rPr>
          <w:rFonts w:ascii="Times New Roman;sans-serif" w:hAnsi="Times New Roman;sans-serif"/>
          <w:b w:val="false"/>
          <w:color w:val="000000"/>
          <w:sz w:val="20"/>
          <w:shd w:fill="FFFFFF" w:val="clear"/>
        </w:rPr>
        <w:t xml:space="preserve">. The Standing Committee of the National People’s Congress, or the Standing Committee, has promulgated the Cyber Security Law, which imposes requirements on entities who build and operate mainland China’s internet architecture or provide services in mainland China over the internet, and the Data Security Law, which imposes data security and privacy obligations on entities and individuals carrying out data activities. The Data Security Law also provides for a national security review procedure for data activities that may affect national security and imposes export restrictions on certain data an information. ACM Shanghai is not subject to the existing restrictions imposed by the Cyber Security Law or the Data Security Law, in part because its business operations do not involve the collection, processing or use of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30"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or information involving personal privacy or private information of customers. In addition, ACM Shanghai is subject to oversight by the Cyberspace Administration of China, or the CAC, regarding data security. ACM Shanghai does not collect or maintain personal information except for routine personal information necessary to process payroll payments and other benefits and emergency contact information, and as a result, ACM Shanghai is not currently subject to significant restrictions or limitations in addressing and managing data security issues and complying with CAC regulations. To date, ACM Shanghai has not been involved in any investigations on cybersecurity review initiated by the CAC or any related mainland China central government authority and has not received any inquiry, notice, warning, or sanction in such respect. However, cybersecurity is increasingly a focus of the mainland China central government. If the CAC or other mainland China central government authorities should in the future require ACM Shanghai to comply with these or additional, or more restrictive, mainland China cybersecurity regulations, it could require ACM Shanghai to make changes to its operations, and any failure to satisfy or delay in meeting such requirements may subject ACM Shanghai to restrictions and penalties imposed by the CAC or other mainland China regulatory authorities, which may include regulatory actions, fines and penalties on our operations in mainland China, which could materially harm our business, financial condition, results of operations, reputation and prospects.</w:t>
      </w:r>
    </w:p>
    <w:p>
      <w:pPr>
        <w:pStyle w:val="TextBody"/>
        <w:bidi w:val="0"/>
        <w:spacing w:lineRule="auto" w:line="288" w:before="240" w:after="283"/>
        <w:ind w:left="0" w:right="0" w:hanging="540"/>
        <w:jc w:val="both"/>
        <w:rPr/>
      </w:pPr>
      <w:r>
        <w:rPr>
          <w:color w:val="000000"/>
          <w:shd w:fill="FFFFFF" w:val="clear"/>
        </w:rPr>
        <w:t>•</w:t>
      </w:r>
      <w:r>
        <w:rPr>
          <w:rFonts w:ascii="Times New Roman;sans-serif" w:hAnsi="Times New Roman;sans-serif"/>
          <w:b w:val="false"/>
          <w:color w:val="000000"/>
          <w:sz w:val="20"/>
          <w:u w:val="single"/>
          <w:shd w:fill="FFFFFF" w:val="clear"/>
        </w:rPr>
        <w:t>Anti-Monopoly</w:t>
      </w:r>
      <w:r>
        <w:rPr>
          <w:rFonts w:ascii="Times New Roman;sans-serif" w:hAnsi="Times New Roman;sans-serif"/>
          <w:b w:val="false"/>
          <w:color w:val="000000"/>
          <w:sz w:val="20"/>
          <w:shd w:fill="FFFFFF" w:val="clear"/>
        </w:rPr>
        <w:t>. A number of mainland China laws and regulations have established procedures and requirements that could make merger and acquisition activities in China by foreign investors more time consuming and complex. These laws and regulations, which include the Anti-Monopoly Law and the Rules of the Ministry of Commerce on Implementation of Security Review System of Mergers and Acquisitions of Domestic Enterprises by Foreign Investors, impose requirements that in some instances that MOFCOM be notified in advance of, for example, any change-of-control transaction in which a foreign investor takes control of a mainland China domestic enterprise. In addition, such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In February 2021, the Anti-Monopoly Committee of the State Council published the Anti-Monopoly Guidelines for the Internet Platform Economy Sector, which stipulate that any concentration of undertakings involving VIEs is subject to anti-monopoly review. Those Guidelines provide more stringent rules for Internet platform operators, including regulations on the use of data and algorithms, technology and platform to commit abusive acts. The Measures for the Security Review for Foreign Investment, which was promulgated jointly by National Development and Reform Commission and MOFCOM effective January 18, 2021, and the Standing Committee on Amending the Anti-Monopoly Law of the People’s Republic of China, which was promulgated by the Standing Committee effective August 1, 2022, delineated provisions concerning the security review procedures on foreign investment, including the types of investments subject to review and the scopes and procedures of the review. ACM Shanghai does not have the concentration of business operators stipulated in the Anti-Monopoly Law, and our operations and activities to date have not otherwise subjected us to restrictive provisions or limitations set forth in applicable mainland China laws and regulations govern merger and acquisition activities. Among other things, ACM Shanghai’s business operations do not constitute identified “national defense and security” concerns associated with the arms industry, any industry ancillary to the arms industry, or any other field related to national defense security. We cannot assure you, however, that future changes in mainland China laws and regulations governing mergers and acquisitions, including activities in mainland China by foreign investors, will not extend or otherwise modify existing requirements, which could materially and adversely affect our mainland China-based operations or our ability to expand by investments or acquisitions.</w:t>
      </w:r>
    </w:p>
    <w:p>
      <w:pPr>
        <w:pStyle w:val="TextBody"/>
        <w:bidi w:val="0"/>
        <w:spacing w:lineRule="auto" w:line="288" w:before="240" w:after="283"/>
        <w:ind w:left="0" w:right="0" w:hanging="540"/>
        <w:jc w:val="both"/>
        <w:rPr/>
      </w:pPr>
      <w:r>
        <w:rPr>
          <w:color w:val="000000"/>
          <w:shd w:fill="FFFFFF" w:val="clear"/>
        </w:rPr>
        <w:t>•</w:t>
      </w:r>
      <w:r>
        <w:rPr>
          <w:rFonts w:ascii="Times New Roman;sans-serif" w:hAnsi="Times New Roman;sans-serif"/>
          <w:b w:val="false"/>
          <w:color w:val="000000"/>
          <w:sz w:val="20"/>
          <w:u w:val="single"/>
          <w:shd w:fill="FFFFFF" w:val="clear"/>
        </w:rPr>
        <w:t>Permits</w:t>
      </w:r>
      <w:r>
        <w:rPr>
          <w:rFonts w:ascii="Times New Roman;sans-serif" w:hAnsi="Times New Roman;sans-serif"/>
          <w:b w:val="false"/>
          <w:color w:val="000000"/>
          <w:sz w:val="20"/>
          <w:shd w:fill="FFFFFF" w:val="clear"/>
        </w:rPr>
        <w:t>. In the ordinary course of business, ACM Shanghai has obtained all of the permits and licenses it believes are necessary for it to operate in mainland China. ACM Shanghai may be adversely affected, however, by the complexity, uncertainties and changes in mainland China laws and regulations applicable to, or otherwise affecting, the semiconductor equipment industry and related businesses, and any lack of requisite approvals, licenses or permits applicable to ACM Shanghai’s business may have a material adverse effect on its business and results of operations.</w:t>
      </w:r>
    </w:p>
    <w:p>
      <w:pPr>
        <w:pStyle w:val="TextBody"/>
        <w:bidi w:val="0"/>
        <w:spacing w:lineRule="auto" w:line="288" w:before="240" w:after="283"/>
        <w:ind w:left="0" w:right="0" w:hanging="540"/>
        <w:jc w:val="both"/>
        <w:rPr/>
      </w:pPr>
      <w:r>
        <w:rPr>
          <w:color w:val="000000"/>
          <w:shd w:fill="FFFFFF" w:val="clear"/>
        </w:rPr>
        <w:t>•</w:t>
      </w:r>
      <w:r>
        <w:rPr>
          <w:rFonts w:ascii="Times New Roman;sans-serif" w:hAnsi="Times New Roman;sans-serif"/>
          <w:b w:val="false"/>
          <w:color w:val="000000"/>
          <w:sz w:val="20"/>
          <w:u w:val="single"/>
          <w:shd w:fill="FFFFFF" w:val="clear"/>
        </w:rPr>
        <w:t>Trade Policies</w:t>
      </w:r>
      <w:r>
        <w:rPr>
          <w:rFonts w:ascii="Times New Roman;sans-serif" w:hAnsi="Times New Roman;sans-serif"/>
          <w:b w:val="false"/>
          <w:color w:val="000000"/>
          <w:sz w:val="20"/>
          <w:shd w:fill="FFFFFF" w:val="clear"/>
        </w:rPr>
        <w:t>. Since 2018, general trade tensions between the United States and mainland China have escalated. See “—Regulatory Risks—</w:t>
      </w:r>
      <w:r>
        <w:rPr>
          <w:rFonts w:ascii="Times New Roman;sans-serif" w:hAnsi="Times New Roman;sans-serif"/>
          <w:b w:val="false"/>
          <w:i/>
          <w:color w:val="000000"/>
          <w:sz w:val="20"/>
          <w:shd w:fill="FFFFFF" w:val="clear"/>
        </w:rPr>
        <w:t>Changes in government trade policies could limit the demand for our tools and increase the cost of our tools”</w:t>
      </w:r>
      <w:r>
        <w:rPr>
          <w:color w:val="000000"/>
          <w:shd w:fill="FFFFFF" w:val="clear"/>
        </w:rPr>
        <w:t xml:space="preserve"> </w:t>
      </w:r>
      <w:r>
        <w:rPr>
          <w:rFonts w:ascii="Times New Roman;sans-serif" w:hAnsi="Times New Roman;sans-serif"/>
          <w:b w:val="false"/>
          <w:color w:val="000000"/>
          <w:sz w:val="20"/>
          <w:shd w:fill="FFFFFF" w:val="clear"/>
        </w:rPr>
        <w:t xml:space="preserve">in Item 1A, “Risk Factors” of Part I of this report. The imposition of tariffs by the U.S. and mainland China governments and the surrounding economic uncertainty may negatively impact the semiconductor industry, including by reducing the demand of fabricators for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31"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equipment such as our tools. Further changes in trade policy, tariffs, additional taxes, restrictions on exports or other trade barriers, or restrictions on supplies, equipment, and raw materials including rare earth minerals, may limit the ability of our customers to manufacture or sell semiconductors or to make the manufacture or sale of semiconductors more expensive and less profitable, which could lead those customers to fabricate fewer semiconductors and to invest less in capital equipment such as our tools. In addition, if mainland China were to impose additional tariffs on raw materials, subsystems or other supplies that we source from the United States, our cost for those supplies would increase. As a result of any of the foregoing events, the imposition of new or additional tariffs may limit our ability to manufacture tools, increase our selling and/or manufacturing costs, decrease margins, or inhibit our ability to sell tools or to purchase necessary equipment and supplies, which could have a material adverse effect on our business, results of operations, or financial condition.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Moreover, by imposing industrial policies and other economic measures, such as control of foreign exchange, taxation and foreign investment, the mainland China central government exerts considerable direct and indirect influence on the development of the mainland China economy. Other political, economic and social factors may also lead to further legal and regulatory changes and reforms, which may adversely affect our operations and business development.</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mainland China central government may determine to exert additional control over offerings conducted overseas or foreign investment in mainland China-based issuers, which could result in a material change in operations of ACM Shanghai and cause significant declines in the value of ACM Research Class A common stock, or make them worthless.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The mainland China central government may determine to exert additional control over securities offerings conducted overseas and/or foreign investment in mainland China-based issuers, which could result in a material adverse change in operations of ACM Shanghai and cause the value of ACM Research Class A common stock to significantly decline or become worthless. See also “—</w:t>
      </w:r>
      <w:r>
        <w:rPr>
          <w:rFonts w:ascii="Times New Roman;sans-serif" w:hAnsi="Times New Roman;sans-serif"/>
          <w:b w:val="false"/>
          <w:i/>
          <w:color w:val="000000"/>
          <w:sz w:val="20"/>
          <w:shd w:fill="FFFFFF" w:val="clear"/>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r>
        <w:rPr>
          <w:color w:val="000000"/>
          <w:shd w:fill="FFFFFF" w:val="clear"/>
        </w:rPr>
        <w:t xml:space="preserve">” </w:t>
      </w:r>
      <w:r>
        <w:rPr>
          <w:rFonts w:ascii="Times New Roman;sans-serif" w:hAnsi="Times New Roman;sans-serif"/>
          <w:b w:val="false"/>
          <w:color w:val="000000"/>
          <w:sz w:val="20"/>
          <w:shd w:fill="FFFFFF" w:val="clear"/>
        </w:rPr>
        <w:t>above.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could be adversely affected if we are unable to comply with legislation and regulations regarding improved access to audit and other information and audit inspections of accounting firms, including registered public accounting firms, such as our prior and current audit firms, operating in mainland China.</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were one of the companies named in the SEC’s “Conclusive list of issuers identified under the HFCAA.” BDO China had been our independent registered public accounting firm in recent years, including for the year ended December 31, 2021, and was not inspected by the PCAOB.</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HFCA Act, which became law in December 2020, includes requirements for the SEC to identify issuers whose audit work is performed by auditors that the PCAOB is unable to inspect or investigate completely because of a restriction imposed by a non-U.S. authority in any non-U.S. jurisdiction. The HFCA Act also requires that, to the extent that the PCAOB has been unable to inspect an issuer’s auditor for two consecutive years, the SEC shall prohibit the issuer’s securities registered in the United States from being traded on any national securities exchange or over-the-counter market in the United States.</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On March 24, 2021, the SEC adopted interim final amendments to implement congressionally mandated submission and disclosure required of the HFCA Act, and on December 2, 2021, the SEC adopted final amendments to finalize rules implementing the submission and disclosures in the HFCA Act. These final amendments apply to registrants that the SEC identifies as having filed an Annual Report on Form 10-K (or certain other forms) with an audit report issued by a registered public accounting firm that is located in a foreign jurisdiction and that the PCAOB has determined it is unable to inspect or investigate completely because of a position taken by any non-U.S. authority.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32"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Furthermore, on June 22, 2021, the U.S. Senate passed the Accelerating Holding Foreign Companies Accountable Act, which was enacted under the Consolidated Appropriations Act, 2023, on December 29, 2022, as further described below, and which amended the HFCA Act to require the SEC to prohibit an issuer’s securities from trading on any national securities exchange or over-the-counter market in the United States if the PCAOB has been unable to inspect an issuer’s auditor for two, rather than three, consecutive years. On September 22, 2021, the PCAOB adopted a final rule implementing the HFCA Act, which provides a framework for the PCAOB to use when determining, as contemplated under the HFCA Act, whether the PCAOB is unable to inspect or investigate completely registered public accounting firms located in a foreign jurisdiction because of a position taken by one or more authorities in any non-U.S. jurisdiction.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On December 16, 2021, the PCAOB designated China and Hong Kong as jurisdictions where the PCAOB was not allowed to conduct full and complete audit inspections and identified firms registered in such jurisdictions, including BDO China. Pursuant to each annual determination by the PCAOB, the SEC will, on an annual basis, identify issuers that have used non-inspected audit firms.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On March 8, 2022, the SEC published its first “Provisional list of issuers identified under the HFCAA.” Our company was identified on the SEC’s provisional list after we filed our Annual Report on Form 10-K for the year ended December 31, 2021, which included an audit report issued by BDO China.</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On March 30, 2022, our company was transferred to the SEC’s “Conclusive list of issuers identified under the HFCAA.”</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On August 26, 2022, the PCAOB signed a Statement of Protocol, or SOP, Agreement with the CSRC and China’s Ministry of Finance. The SOP, together with two protocol agreements governing inspections and investigation, establishes a specific, accountable framework to make possible complete inspections and investigations by the PCAOB of audit firms based in China and Hong Kong, as required under U.S. law. Pursuant to the fact sheet with respect to the SOP disclosed by the SEC, the PCAOB has sole discretion to select the audit firms, engagements and potential violations that it inspects or investigates and has the ability to transfer information to the SEC in the normal course. PCAOB inspectors and investigators can view all audit documentation without redaction, and the PCAOB can retain any audit information it reviews as needed to support the findings of its inspections and investigations. In addition, the SOP allows the PCAOB to interview and take testimony of personnel associated with the audits that the PCAOB inspects or investigates.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On December 15, 2022, the PCAOB announced that it was able to secure complete access to inspect and investigate PCAOB-registered public accounting firms headquartered in mainland China and Hong Kong in 2022 and vacated its previous December 16, 2021 determination to the contrary. However, whether the PCAOB will continue to be able to satisfactorily conduct inspections of PCAOB-registered public accounting firms headquartered in mainland China and Hong Kong is subject to uncertainty and depends on a number of factors out of our, and our auditor’s, control. Mainland China authorities will need to ensure that the PCAOB continues to have full access for inspections and investigations in 2023 and beyond. Each year, the PCAOB will determine whether it can inspect and investigate completely audit firms in mainland China and Hong Kong, among other jurisdictions. If mainland China authorities do not allow the PCAOB complete access for inspections and investigations for two consecutive years, the SEC would prohibit trading in the securities of issuers engaging those audit firms, as required under the HFCA Act.</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On December 29, 2022, the Consolidated Appropriations Act, 2023, was signed into law by U.S. President Biden, which, among other things, amended the HFCA Act to reduce the number of consecutive non-inspection years that would trigger the trading prohibition under the HFCA Act from three years to two years (originally such threshold under the HFCA Act was three consecutive years), and so that any foreign jurisdiction could be the reason why the PCAOB does not have complete access to inspect or investigate a company’s public accounting firm (originally the HFCA Act only applied if the PCAOB’s ability to inspect or investigate was due to a position taken by an authority in the jurisdiction where the relevant public accounting firm was located).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 current regulations, if ACM Research were to appear for two consecutive years on the “Conclusive list of issuers identified under the HFCAA”, the value of our securities may significantly decline or become worthless, and our securities would be prohibited from trading and may eventually be delisted. It also remains unclear what further actions the SEC, the PCAOB or Nasdaq may take to address these issues and what impact those actions will have on U.S. companies, such as ours, that have significant operations in mainland China and have securities listed on a U.S. stock exchange. Any such actions could materially affect our operations and stock price, including by resulting in our being de-listed from Nasdaq or being required to engage a new audit firm, which would require significant expense and management time.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2022, and June 15, 2023, stockholders of ACM Research ratified the appointment of Armanino LLP as our independent auditor for the years ended December 31, 2022 and 2023, respectively. Armanino LLP was neither headquartered in mainland China or Hong Kong nor was it subject to the determinations announced by the PCAOB on December 16, 2021, which determinations were vacated by the PCAOB on December 15, 2022.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33"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21, 2023, we were informed by Armanino that Armanino would resign as our independent auditor effective as of the earlier of (a) the date we engaged a new independent registered public accounting firm or (b) the filing of our Quarterly Report on Form 10-Q for the fiscal quarter ended September 30, 2023.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Armanino’s determination, on September 14, 2023, the Audit Committee completed a competitive selection process to select and appoint a new accounting firm to serve as our independent registered public accounting firm commencing with the audit of our financial statements for the fiscal year ending December 31, 2023. As a result of this process, the Audit Committee approved the engagement of E&amp;Y as our independent registered public accounting firm for the fiscal year ending December 31, 2023. The engagement of E&amp;Y became effective on September 20, 2023. E&amp;Y is a PCAOB-registered firm that is headquartered in mainland China; however, we do not believe ACM Research will appear on the “Conclusive list of issuers identified under the HFCAA” for a second consecutive time, as the determinations announced by the PCAOB on December 16, 2021 were vacated by the PCAOB on December 15, 2022.</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It may be difficult for overseas regulators to conduct investigations or collect evidence within mainland China.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Stockholder claims or regulatory investigations that are common in the United States generally are difficult to pursue as a matter of law or practicality in mainland China. For example, in mainland China, there are significant legal and other obstacles to providing information needed for regulatory investigations or litigation initiated outside of mainland China. Although the authorities in mainland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mainland China Securities Law, or Article 177, which became effective in March 2020, no overseas securities regulator is allowed to directly conduct investigation or evidence collection activities within the territory of mainland China. While detailed interpretation of or implementing rules under Article 177 have yet to be promulgated, the inability for an overseas securities regulator to directly conduct investigation or evidence collection activities within mainland China may further increase difficulties faced by you in protecting your interests.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Because substantially all of our assets are located outside of the United States and certain of our directors and officers reside outside of the United States, it may be difficult for you to enforce your rights based on the U.S. federal securities laws against such assets or officers and directors or to enforce a judgment of a United States court against assets or officers and directors in mainland China.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While ACM Research is a Delaware corporation, certain of our officers and directors are nonresidents of the United States, and certain of our assets are located in mainland China, and the operations of ACM Shanghai are conducted in mainland China. It may, therefore, not be possible to effect service of process on such persons in the United States, and it may be difficult to enforce any judgments rendered against them or any of our assets that are located overseas. Moreover, there is doubt whether courts in mainland China would enforce (a) judgments of United States courts against ACM Shanghai, our directors or officers based on the civil liability provisions of the securities laws of the United States or any state, or (b) in original actions brought in mainland China, liabilities against us or any nonresidents based upon the securities laws of the United States or any state.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conduct substantially all of our operations outside the United States and face risks associated with conducting business in foreign markets.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Substantially all of our sales in 2023, 2022, and 2021 were made to customers outside the United States. Our manufacturing center has been located in Shanghai since 2006 and substantially all of our operations are located in mainland China. We expect that all of our significant activities will remain outside the United States in the future. We are subject to a number of risks associated with our international business activities, including:</w:t>
      </w:r>
    </w:p>
    <w:p>
      <w:pPr>
        <w:pStyle w:val="TextBody"/>
        <w:bidi w:val="0"/>
        <w:spacing w:lineRule="auto" w:line="288" w:before="2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imposition of, or adverse changes in, foreign laws or regulatory requirements, such as work stoppages and travel restrictions imposed in connection with the COVID-19 pandemic;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need to comply with the import laws and regulations of various foreign jurisdictions, including a range of U.S. import laws;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potentially adverse tax consequences, including withholding tax rules that may limit the repatriation of our earnings, and higher effective income tax rates in foreign countries where we conduct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competition from local suppliers with which potential customers may prefer to do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seasonal reduction in business activity, such as during the Lunar New Year in parts of Asia and in other periods in various individual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34"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increased exposure to foreign currency exchange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reduced protection for intellectual property;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longer sales cycles and reliance on indirect sales in certain regions;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increased length of time for shipping and acceptance of our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greater difficulty in responding to customer requests for maintenance and spare parts on a timely basis;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greater difficulty in enforcing contracts and accounts receivable collection and longer collection periods;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difficulties in staffing and managing foreign operations and the increased travel, infrastructure and legal and compliance costs associated with multiple international locations;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heightened risk of unfair or corrupt business practices in certain geographies and of improper or fraudulent sales arrangements that may impact financial results and result in restatements of, or irregularities in, our consolidated financial statements;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general economic conditions, geopolitical events or natural disasters in countries where we conduct our operations or where our customers are located, including political unrest, war, acts of terrorism or responses to such events.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particular, the Asian market is extremely competitive, and chip manufacturers may be aggressive in seeking price concessions from suppliers, including chip equipment manufacturers.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not be successful in developing and implementing policies and strategies that will be effective in managing these risks in each country in which we do business. Our failure to manage these risks successfully could adversely affect our business, operating results and financial condition.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Fluctuation in foreign currency exchange rates may adversely affect our results of operations and financial position.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results of operations and financial position could be adversely affected as a result of fluctuations in foreign currency exchange rates. Although our financial statements are denominated in U.S. dollars, a sizable portion of our costs are denominated in other currencies, principally the Chinese Renminbi and, to a lesser extent, the Korean Won. Because many of our raw material purchases are denominated in Renminbi while the majority of the purchase orders we receive are denominated in U.S. dollars, exchange rates have a significant effect on our gross margin. We have not engaged in any foreign currency exchange hedging transactions to date, and any strategies that we may use in the future to reduce the adverse impact of fluctuations in foreign currency exchange rates may not be successful. Our foreign currency exposure with respect to assets and liabilities for which we do not have hedging arrangements could have a material impact on our results of operations in periods when the U.S. dollar significantly fluctuates in relation to unhedged non-U.S. currencies in which we transact business.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exacerbation or further continuation of currently challenging global systemic economic and financial conditions could adversely affect our business, results of operations and financial condition.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prolonged slowdown in mainland China, United States or global economy may have a negative impact on our business, results of operations and financial condition. Market reactions to the global outbreak of COVID-19 have negatively affected the world’s financial markets since March 2020, and a continuation of those reactions may cause a potential slowdown of the local, regional and global economy. Financial and other markets in the United States and worldwide have experienced significant volatility reflecting uncertainty over, among other things, (a) the long-term effects of the expansionary monetary and fiscal policies adopted by the central banks and financial authorities of some of the world’s leading economies, including the United States and mainland China, (b) unrest in Ukraine, the Middle East and Africa, and (c) the rising level of inflation in major industrial countries, including the United States, and worries that efforts to curb inflation may result in an economic recession. General inflation, including rising energy prices, interest rates and wages, could adversely impact our business by increasing our operating and borrowing costs as well as limiting the amount of capital available for customers to purchase our products. This economic turmoil has had, and could continue to have, a number of repercussions on our business, including significant decreases in orders from our customers, business slowdowns or cessations at key suppliers resulting in delays in our product deliveries, increased raw material prices leading to increased production costs that we may not be able to pass onto customers, and business challenges at customers resulting in the inability to obtain credit to finance purchases of our products or even insolvency, and counterparty failures negatively impacting our operations and sales. Any systemic economic or financial crisis could cause revenues for the semiconductor industry as a whole to decline dramatically, which could materially and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35"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Business and Our Industry</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require additional capital in the future and we cannot give any assurance that such capital will be available at all or available on terms acceptable to us and, if it is available, additional capital raised by us may dilute holders of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need to raise funds in the future, depending on many factors,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sales growth;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costs of applying our existing technologies to new or enhanced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costs of developing new technologies and introducing new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costs associated with protecting our intellectual property;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costs associated with our expansion, including capital expenditures and Lingang-related land purchases and deposits, and with increasing our sales and marketing and service and support efforts, and with expanding our geographic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continue to obtain governmental subsidies for developmental projects in the future;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future debt repayment obligations;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number and timing of any future acquisitions.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extent that our existing sources of cash, together with any cash generated from operations, are insufficient to fund our activities, we may need to raise additional funds through public or private financings, strategic relationships, or other arrangements. Additional funding may not be available to us on acceptable terms or at all. If adequate funding is not available, we may be required to reduce expenditures, including curtailing our growth strategies and reducing our product development efforts, or to forego acquisition opportunities.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Proceeds received by ACM Shanghai from the initial placements of shares with mainland China investors, from the STAR IPO in connection with the STAR Listing of ACM Shanghai shares on the STAR Market, and from future financing activities undertaken by ACM Shanghai (including follow-on offerings or private placements of shares with mainland China investors), will generally be used to grow and support our mainland China operations. Those proceeds generally are not available for distribution to ACM Research. Under existing mainland China laws and regulations, it may be difficult, if not impossible, for ACM Research to be able to receive dividends comprised of funds generated by ACM Shanghai and, even if such dividends can be paid from mainland China to the United States, any such dividends can be paid to ACM Research only if other holders of ACM Shanghai shares receive their pro rata dividends. As a result, it is unlikely that funds raised or generated by ACM Shanghai will be readily distributable to ACM Research.</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we succeed in raising additional funds through the issuance of equity or convertible securities, then the issuance could result in substantial dilution to existing stockholders. Furthermore, the holders of these new securities or debt may have rights, preferences and privileges senior to those of the holders of Class A common stock. In addition, any preferred equity issuance or debt financing that we may obtain in the future could have restrictive covenants relating to our capital raising activities and other financial and operational matters, which may make it more difficult for us to obtain additional capital and to pursue business opportunities, including potential acquisitions.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quarterly operating results can be difficult to predict and can fluctuate substantially, which could result in volatility in the price of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quarterly revenue and other operating results have varied in the past and are likely to continue to vary significantly from quarter to quarter. Accordingly, you should not rely upon our past quarterly financial results as indicators of future performance. Any variations in our quarter-to-quarter performance may cause our stock price to fluctuate. Our financial results in any given quarter can be influenced by a variety of factors,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cyclicality of the semiconductor industry and the related impact on the purchase of equipment used in the manufacture of chips;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timing of purchases of our tools by chip fabricators, which order types of tools based on multi-year capital plans under which the number and dollar amount of tool purchases can vary significantly from year to year;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relatively high average selling price of our tools and our dependence on a limited number of customers for a substantial portion of our revenue in any period, whereby the timing and volume of purchase orders or cancellations from our customers could significantly reduce our revenue for that period;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significant expenditures required to customize our products often exceed the deposits received from our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lead time required to manufacture our tools;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36"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timing of recognizing revenue due to the timing of shipment and acceptance of our tools;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sell additional tools to existing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changes in customer specifications or requirements;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length of our product sales cycle;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changes in our product mix, including the mix of systems, upgrades, spare parts and service;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timing of our product releases or upgrades or announcements of product releases or upgrades by us or our competitors, including changes in customer orders in anticipation of new products or product enhancements;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enhance our tools with new and better functionality that meet customer requirements and changing industry trends;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constraints on our suppliers’ capacity;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sell our tools to Chinese customers due to regulatory restrictions, including the addition of our customers to the Entity List;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ability of other suppliers to provide sufficient quantities of their tools to our Chinese customers which may indirectly impact the production plans of our customers and result in a reduction of demand for our tools;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timing of investments in research and development related to releasing new applications of our technologies and new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delays in the development and manufacture of our new products and upgraded versions of our products and the market acceptance of these products when introduced;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control costs, including operating expenses and the costs of the components and subassemblies used in our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costs related to the acquisition and integration of product lines, technologies or businesses;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costs associated with protecting our intellectual property, including defending our intellectual property against third-party claims or litigation.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Seasonality has played an increasingly important role in the market for chip manufacturing tools. The period of November through February has been a particularly weak period historically for manufacturers of chip tools, in part because capital equipment needed to support manufacturing of chips for the December holidays usually needs to be in the supply chain by no later than October and chip makers in Asia often wait until after Chinese, or Lunar, New Year, which occurs in January or February, before implementing their capital acquisition plans. The timing of new product releases also has an impact on seasonality, with the acquisition of manufacturing equipment occurring six to nine months before a new release.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Many of these factors are beyond our control, and the occurrence of one or more of them could cause our operating results to vary widely. As a result, it is difficult for us to forecast our quarterly revenue accurately. Our results of operations for any quarter may not be indicative of results for future quarters and quarter-to-quarter comparisons of our operating results are not necessarily meaningful. Variability in our periodic operating results could lead to volatility in our stock price. Because a substantial proportion of our expenses are relatively fixed in the short term, our results of operations will suffer if revenue falls below our expectations in a particular quarter, which could cause the price of Class A common stock to decline. Moreover, as a result of any of the foregoing factors, our operating results might not meet our announced guidance or expectations of public market analysts or investors, in which case the price of Class A common stock could decrease significantly.</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Cyclicality in the semiconductor industry is likely to lead to substantial variations in demand for our products, and as a result our operating results could be adversely affected.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chip industry has historically been cyclic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This cyclicality could cause our operating results to decline dramatically from one period to the next.</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Our business depends upon the capital spending of chip manufacturers, which, in turn, depends upon the current and anticipated market demand for chips. During industry downturns, chip manufacturers often have excess manufacturing capacity and may experience reductions in profitability due to lower sales and increased pricing pressure for their products. As a result, chip manufacturers generally sharply curtail their spending during industry downturns and historically have lowered their spending more than the decline in their revenues. If we are unable to control our expenses adequately in response to lower revenue from our customers, our operating results will suffer and we could experience operating losses. </w:t>
      </w:r>
      <w:r>
        <w:rPr>
          <w:rFonts w:ascii="Times New Roman;sans-serif" w:hAnsi="Times New Roman;sans-serif"/>
          <w:b w:val="false"/>
          <w:color w:val="000000"/>
          <w:sz w:val="20"/>
        </w:rPr>
        <w:t>For example, certain industry analysts, such as Gartner, forecast a decline for global WFE investments in 2024 as further described in “Item 1. Business”. We canno</w:t>
      </w:r>
      <w:r>
        <w:rPr>
          <w:rFonts w:ascii="Times New Roman;sans-serif" w:hAnsi="Times New Roman;sans-serif"/>
          <w:b w:val="false"/>
          <w:color w:val="000000"/>
          <w:sz w:val="20"/>
          <w:shd w:fill="FFFFFF" w:val="clear"/>
        </w:rPr>
        <w:t>t reasonably estimate the duration or impact of such a downturn, and it could have a material adverse effect on our business and the value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37"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Conversely, during industry upturns we must successfully increase production output to meet expected customer demand. This may require us or our suppliers, including third-party contractors, to order additional inventory, hire additional employees and expand manufacturing capacity. If we are unable to respond to a rapid increase in demand for our tools on a timely basis, or if we misjudge the timing, duration or magnitude of such an increase in demand, we may lose business to our competitors or incur increased costs disproportionate to any gains in revenue, which could have a material adverse effect on our business, results of operations, financial condition or cash flows.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mainland China government is implementing focused policies, including state-led investment initiatives, that aim to create and support an independent domestic semiconductor supply chain spanning from design to final system production. If these policies, which include loans and subsidies, result in lower demand for equipment than is expected by equipment manufacturers, the resulting overcapacity in the chip manufacturing equipment market could lead to excess inventory and price discounting that could have a material adverse effect on our business and operating results.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pStyle w:val="TextBody"/>
        <w:bidi w:val="0"/>
        <w:spacing w:lineRule="auto" w:line="26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chip manufacturing industry is highly concentrated, and we derive most of our revenue from a limited number of customers. A total of three customers accounted for 45.5% of our revenue in 2023, three customers accounted for 43.8% of our revenue in 2022, and two customers accounted for 48.9% of our revenue in 2021.</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consequence of the concentrated nature of our customer base, our revenue and results of operations may fluctuate from quarter to quarter and are difficult to estimate, and any cancellation of orders or any acceleration or delay in anticipated product purchases or the acceptance of shipped products by our larger customers could materially affect our revenue and results of operations in any quarterly period.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our relationship with any of our key customers, including a significant delay or reduction in their purchases, may cause a significant decrease in our revenue, which we may not be able to recapture due to the limited number of potential customers.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success will depend on industry chip manufacturers adopting our SAPS, TEBO, Tahoe, ECP, furnace and other technologies.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date our strategy for commercializing our tools has been to place them with selected industry leaders in the manufacturing of memory and logic chips, the two largest chip categories, to enable those leading manufacturers to evaluate our technologies, and then leverage our reputation to gain broader market acceptance. In order for these industry leaders to adopt our tools, we need to establish our credibility by demonstrating the differentiated, innovative nature of our SAPS, TEBO, Tahoe, ECP, furnace and other technologies. If these leading manufacturers do not agree that our technologies add significant value over conventional technologies or do not otherwise accept and use our tools, we may need to spend a significant amount of time and resources to enhance our technologies or develop new technologies. Even if these leading manufacturers adopt our technologies, other manufacturers may not choose to accept and adopt our tools and our products may not achieve widespread adoption. Any of the above factors would have a material adverse effect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38"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our SAPS, TEBO, Tahoe, ECP, furnace and other technologies do not achieve widespread market acceptance, we will not be able to compete effectively.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commercial success of our tools will depend, in part, on gaining substantial market acceptance by chip manufacturers. Our ability to gain acceptance for our products will depend upon a number of factors,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demonstrate the differentiated, innovative nature of our SAPS, TEBO, Tahoe, ECP, furnace and other technologies and the advantages of our tools over those of our competitors;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compatibility of our tools with existing or potential customers’ manufacturing processes and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level of customer service available to support our products;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experiences our customers have with our products.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obtaining orders from new customers may be difficult because many chip manufacturers have pre-existing relationships with our competitors. Chip manufacturers must make a substantial investment to qualify and integrate wet processing equipment into a chip production line. Due, in part, to the cost of manufacturing equipment and the investment necessary to integrate a particular manufacturing process, a chip manufacturer that has selected a particular supplier’s equipment and qualified that equipment for production typically continues to use that equipment for the specific production application and process node, which is the minimum line width on a chip, as long as that equipment continues to meet performance specifications. Some of our potential and existing customers may prefer larger, more established vendors from which they can purchase equipment for a wider variety of process steps than our tools address. Further, because the cleaning process with our TEBO equipment can be up to five times longer than cleaning processes based on other technologies, we must convince chip manufacturers of the innovative, differentiated nature of our technologies and the benefits associated with using our tools. If we are unable to obtain new customers and continue to achieve widespread market acceptance of our tools, then our business, operations, financial results and growth prospects will be materially and adversely affected.</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do not continue to enhance our existing tools and achieve market acceptance, we will not be able to compete effectively.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operate in an industry that is subject to evolving standards, rapid technological changes and changes in customer demands. Additionally, if process nodes continue to shrink to ever-smaller dimensions and conventional two-dimensional chips reach their critical performance limitations, the technology associated with manufacturing chips may advance to a point where our Ultra C equipment based on SAPS, TEBO, Tahoe, ECP, furnace and other technologies becomes obsolete. Accordingly, the future of our business will depend in large part upon the continuing relevance of our technological capabilities, our ability to interpret customer and market requirements in advance of tool deliveries, and our ability to introduce in a timely manner new tools that address chip makers’ requirements for cost-effective cleaning solutions. We expect to spend a significant amount of time and resources developing new tools and enhancing existing tools. Our ability to introduce and market successfully any new or enhanced cleaning equipment is subject to a wide variety of challenges during the tool’s development, including the following: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accurate anticipation of market requirements, changes in technology and evolving standards;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availability of qualified product designers and technologies needed to solve difficult design challenges in a cost-effective, reliable manner;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design products that meet chip manufacturers’ cost, size, acceptance and specification criteria, and performance requirements;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ability and availability of suppliers and third-party manufacturers to manufacture and deliver the critical components and subassemblies of our tools in a timely manner;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market acceptance of our customers’ products, and the lifecycle of those products;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deliver products in a timely manner within our customers’ product planning and deployment cycle.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enhancements to our products in future periods may reduce demand for our pre-existing tools. As we introduce new or enhanced cleaning tools, we must manage the transition from older tools in order to minimize disruptions in customers’ ordering patterns, avoid excessive levels of older tool inventories and ensure timely delivery of sufficient supplies of new tools to meet customer demand. Furthermore, product introductions could delay purchases by customers awaiting arrival of our new products, which could cause us to fail to meet our expected level of production orders for pre-existing tools.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success will depend on our ability to identify and enter new product markets.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expect to spend a significant amount of time and resources identifying new product markets in addition to the market for cleaning solutions and in developing new products for entry into these markets. Product development requires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39"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significant investments in engineering hours, third-party development costs, prototypes and sample materials, as well as sales and marketing expenses, which will not be recouped if the product launch is unsuccessful. We may fail to predict the needs of other markets accurately or develop new, innovative technologies to address those needs. Further, we may not be able to design and introduce new products in a timely or cost-efficient manner, and our new products may be more costly to develop, may fail to meet the requirements of the market, or may be adopted slower than we expect. If we are not able to introduce new products successfully, our inability to gain market share in new product markets could adversely affect our ability to sustain our revenue growth or maintain our current revenue levels.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fail to establish and maintain a reputation for credibility and product quality, our ability to expand our customer base will be impaired and our operating results may suffer.</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must develop and maintain a market reputation for innovative, differentiated technologies and high quality, reliable products in order to attract new customers and achieve widespread market acceptance of our products. Our market reputation is critical because we compete against several larger, more established competitors, many of which supply equipment for a larger number of process steps than we do to a broader customer base in an industry with a limited number of customers. In these circumstances, traditional marketing and branding efforts are of limited value, and our success depends on our ability to provide customers with reliable and technically sophisticated products. If the limited customer base does not perceive our products and services to be of high quality and effectiveness, our reputation could be harmed, which could adversely impact our ability to achieve our targeted growth.</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operate in a highly competitive industry and many of our competitors are larger, better-established, and have significantly greater operating and financial resources than we have.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chip equipment industry is highly competitive, and we face substantial competition throughout the world in each of the markets we serve. Many of our current and potential competitors have, among other things: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greater financial, technical, sales and marketing, manufacturing, distribution and other resources;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established credibility and market reputations;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longer operating histories;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broader product offerings;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more extensive service offerings, including the ability to have large inventories of spare parts available near, or even at, customer locations;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local sales forces;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more extensive geographic coverage.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competitors may also have the ability to offer their products at lower prices by subsidizing their losses in wet cleaning with profits from other lines of business in order to retain current or obtain new customers. Among other things, some competitors have the ability to offer bundled discounts for customers purchasing multiple products. Many of our competitors have more extensive customer and partner relationships than we do and may therefore be in a better position to identify and respond to market developments and changes in customer demands. Potential customers may prefer to purchase from their existing suppliers rather than a new supplier, regardless of product performance or features. If we are not able to compete successfully against existing or new competitors, our business, operating results and financial condition will be negatively affected.</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customers do not generally enter into long-term purchase commitments, and they may decrease, cancel or delay their projected purchases at any time.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accordance with industry practice, our sales are on a purchase order basis, which we seek to obtain three to four months in advance of the expected product delivery date. Until a purchase order is received, we do not have a binding purchase commitment. Our customers to date have provided us with non-binding one- to two-year forecasts of their anticipated demands, but those forecasts can be changed at any time, without any required notice to us. Because the lead-time needed to produce a tool customized to a customer’s specifications can extend up to six months, we may need to begin production of tools based on non-binding forecasts, rather than waiting to receive a binding purchase order. No assurance can be made that a customer’s forecast will result in a firm purchase order within the time period we expect, or at all.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If we do not accurately predict the amount and timing of a customer’s future purchases, we risk expending time and resources on producing a customized tool that is not purchased by a particular customer, which may result in excess or unwanted inventory, or we may be unable to fulfill an order on the schedule required by a purchase order, which would result in foregone sales. Customers may place purchase orders that exceed forecasted amounts, which could result in delays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40"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our delivery time and harm our reputation. In the future a customer may decide not to purchase our tools at all, may purchase fewer tools than it did in the past or may otherwise alter its purchasing patterns, and the impact of any such actions may be intensified given our dependence on a small number of large customers. Our customers make major purchases periodically as they add capacity or otherwise implement technology upgrades. If any significant customers cancel, delay or reduce orders, our operating results could suffer.</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incur significant expenses long before we can recognize revenue from new products, if at all, due to the costs and length of research, development, manufacturing and customer evaluation process cycles.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often incur significant research and development costs for products that are purchased by our customers only after much, or all, of the cost has been incurred or that may never be purchased. We allow some new customers, or existing customers considering new products, to evaluate products without any payment becoming due unless the product is ultimately accepted, which means we may invest a significant amount in manufacturing a tool that may never be accepted and purchased or may be purchased months or even years after production. In the past we have borrowed money in order to fund first-time purchase order equipment and next-generation evaluation equipment. When we deliver evaluation equipment, or a “first tool,” we may not recognize revenue or receive payment for the tool for 24 months or longer. Even returning customers may take as long as six months to make any payments. If our sales efforts are unsuccessful after expending significant resources, or if we experience delays in completing sales, our future cash flow, revenue and profitability may fluctuate or be materially adversely affected.</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sales cycle is long and unpredictable, which results in variability of our financial performance and may require us to incur high sales and marketing expenses with no assurance that a sale will result, all of which could adversely affect our profitability.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results of operations may fluctuate, in part, because of the resource-intensive nature of our sales efforts and the length and variability of our sales cycle. A sales cycle is the period between initial contact with a prospective customer and any sale of our tools. Our sales process involves educating customers about our tools, participating in extended tool evaluations and configuring our tools to customer-specific needs, after which customers may evaluate the tools. The length of our sales cycle, from initial contact with a customer to the execution of a purchase order, is generally 6 to 24 months. During the sales cycle, we expend significant time and money on sales and marketing activities and make investments in evaluation equipment, all of which lower our operating margins, particularly if no sale occurs or if the sale is delayed as a result of extended qualification processes or delays from our customers’ customers.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duration or ultimate success of our sales cycle depends on factors such as: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efforts by our sales force;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complexity of our customers’ manufacturing processes and the compatibility of our tools with those processes;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customers’ internal technical capabilities and sophistication;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customers’ capital spending plans and processes, including budgetary constraints, internal approvals, extended negotiations or administrative delays.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It is difficult to predict exactly when, or even if, we will make a sale to a potential customer or if we can increase sales to our existing customers. As a result, we may not recognize revenue from our sales efforts for extended periods of time, or at all. The loss or delay of one or more large transactions in a quarter could impact our results of operations for that quarter and any future quarters for which revenue from that transaction is lost or delayed. In addition, we believe that the length of the sales cycle and intensity of the evaluation process may increase for those current and potential customers that centralize their purchasing decisions.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Difficulties in forecasting demand for our tools may lead to periodic inventory shortages or excess spending on inventory items that may not be used.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need to manage our inventory of components and production of tools effectively to meet changing customer requirements. Accurately forecasting customers’ needs is difficult. Our tool demand forecasts are based on multiple assumptions, including non-binding forecasts received from our customers years in advance, each of which may introduce error into our estimates. Inventory levels for components necessary to build our tools in excess of customer demand may result in inventory write-downs and could have an adverse effect on our operating results and financial condition. Conversely, if we underestimate demand for our tools or if our manufacturing partners fail to supply components we require at the time we need them, we may experience inventory shortages. Such shortages might delay production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41"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shipments to customers and may cause us to lose sales. These shortages may also harm our credibility, diminish the loyalty of our channel partners or customers.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failure to prevent inventory shortages or accurately predict customers’ needs could result in decreased revenue and gross margins and harm our business.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Some of our products and supplies may become obsolete or be deemed excess while in inventory due to rapidly changing customer specifications, changes in product structure, components or bills of material as a result of engineering changes, or a decrease in customer demand. We also have exposure to contractual liabilities to our contract manufacturers for inventories purchased by them on our behalf, based on our forecasted requirements, which may become excess or obsolete. Our inventory balances also represent an investment of cash. To the extent our inventory turns are slower than we anticipate based on historical practice, our cash conversion cycle extends and more of our cash remains invested in working capital. If we are not able to manage our inventory effectively, we may need to write down the value of some of our existing inventory or write off non-saleable or obsolete inventory. Any such charges we incur in future periods could materially and adversely affect our results of operations.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difficulty in forecasting demand also makes it difficult to estimate our future results of operations and financial condition from period to period. A failure to accurately predict the level of demand for our products could adversely affect our net revenue and net income, and we are unlikely to forecast such effects with any certainty in advance.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our tools contain defects or do not meet customer specifications, we could lose customers and revenue.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Highly complex tools such as ours may develop defects during the manufacturing and assembly process. We may also experience difficulties in customizing our tools to meet customer specifications or detecting defects during the development and manufacturing of our tools. Some of these failures may not be discovered until we have expended significant resources in customizing our tools, or until our tools have been installed in our customers’ production facilities. These quality problems could harm our reputation as well as our customer relationships in the following ways: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customers may delay or reject acceptance of our tools that contain defects or fail to meet their specifications;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suffer customer dissatisfaction, negative publicity and reputational damage, resulting in reduced orders or otherwise damaging our ability to retain existing customers and attract new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incur substantial costs as a result of warranty claims or service obligations or in order to enhance the reliability of our tools;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attention of our technical and management resources may be diverted;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be required to replace defective systems or invest significant capital to resolve these problems;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be required to write off inventory and other assets related to our tools.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defects in our tools or our inability to meet the needs of our customers could cause damage to our customers’ products or manufacturing facilities, which could result in claims for product liability, tort or breach of warranty, including claims from our customers. The cost of defending such a lawsuit, regardless of its merit, could be substantial and could divert management’s attention from our ongoing operations.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operating results and financial condition.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Warranty claims in excess of our estimates could adversely affect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provided warranties against manufacturing defects of our tools that range from 12 to 36 months in duration. Our product warranty requires us to provide labor and parts necessary to repair defects. As of December 31, 2023, we had accrued $9.8 million in liability contingency for potential warranty claims. Warranty claims substantially in excess of our expectations, or significant unexpected costs associated with warranty claims, could harm our reputation and could cause customers to decline to place new or additional orders, which could have a material adverse effect on our business, results of operations and financial condition.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rely on third parties to manufacture significant portions of our tools and our failure to manage our relationships with these parties could harm our relationships with our customers, increase our costs, decrease our sales and limit our growth.</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tools are complex and require components and subassemblies having a high degree of reliability, accuracy and performance. We rely on third parties to manufacture most of the subassemblies and supply most of the components used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42"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pPr>
      <w:r>
        <w:rPr>
          <w:rFonts w:ascii="Times New Roman;sans-serif" w:hAnsi="Times New Roman;sans-serif"/>
          <w:b w:val="false"/>
          <w:color w:val="000000"/>
          <w:sz w:val="20"/>
          <w:shd w:fill="FFFFFF" w:val="clear"/>
        </w:rPr>
        <w:t>in our tools. Accordingly, we cannot directly control our delivery schedules and quality assurance. This reliance on third parties and lack of control could result in shortages or quality assurance problems. In addition, supply chain constraints have intensified due to a variety of factors, including the ongoing COVID-19 pandemic and the June 2022 truck driver strike in Korea, where certain of our operations and customers are located. See also “—Our supply chain may be materially adversely impacted due to global events, including continuing COVID-19 outbreaks, transportation delays and the armed conflict in Ukraine.”</w:t>
      </w:r>
      <w:r>
        <w:rPr>
          <w:color w:val="000000"/>
          <w:shd w:fill="FFFFFF" w:val="clear"/>
        </w:rPr>
        <w:t xml:space="preserve"> </w:t>
      </w:r>
      <w:r>
        <w:rPr>
          <w:rFonts w:ascii="Times New Roman;sans-serif" w:hAnsi="Times New Roman;sans-serif"/>
          <w:b w:val="false"/>
          <w:color w:val="000000"/>
          <w:sz w:val="20"/>
          <w:shd w:fill="FFFFFF" w:val="clear"/>
        </w:rPr>
        <w:t>These issues and our ability to manage increased demand could delay shipments of our tools, increase our testing or production costs or lead to costly failure claims.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do not have long-term supply contracts with some of our suppliers, and those suppliers are not obligated to perform services or supply products to us for any specific period, in any specific quantities or at any specific price, except as may be provided in a particular purchase order. In addition, we attempt to maintain relatively low inventories and acquire subassemblies and components only as needed. There are significant risks associated with our reliance on these third-party suppliers,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potential price increases;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capacity shortages or other inability to meet any increase in demand for our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reduced control over manufacturing process for components and subassemblies and delivery schedules;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limited ability of some suppliers to manufacture and sell subassemblies or parts in the volumes we require and at acceptable quality levels and prices, due to the suppliers’ relatively small operations and limited manufacturing resources;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increased exposure to potential misappropriation of our intellectual property;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limited warranties on subassemblies and components supplied to us.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supply chain may be materially adversely impacted due to global events, including continuing COVID</w:t>
        <w:noBreakHyphen/>
        <w:t>19 outbreaks, transportation delays and the armed conflict in Ukraine.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rely upon the facilities of our global suppliers with operations in mainland China, Japan, Taiwan and the United States to support our business. We source the substantial majority of our components from Asia, and as a result, our supply chain can be adversely affected by a variety of global events, including COVID-19 restrictions, transportation delays, including those related to the June 2022 truck driver strike in Korea resulting from escalated fuel prices, and the armed conflict in Ukraine. As a result of these types of global events and resulting governmental and business reactions, our suppliers may not have the materials, capacity, or capability to supply our components according to our schedule and specifications. Further, there may be logistics issues, including our ability and our supply chain’s ability to quickly ramp up production, labor issues and transportation demands that may cause further delays. Supply chain constraints have intensified due to COVID-19 and other factors, and may further intensify due to other global events, contributing to existing global shortages coupled with increased demand in the supply of semiconductors. The unavailability of any component or supplier could result in production delays, underutilized facilities, and loss of access to critical raw materials and parts for producing and supporting our tools, and could impact our ongoing capacity expansion and our ability to fulfill our product delivery obligations. If our suppliers’ operations are curtailed, we may need to seek alternate sources of supply, which may be more expensive. Alternate sources may not be available or may result in delays in shipments to us from our supply chain and subsequently to our customers, each of which would affect our results of operations. These types of disruptions and governmental restrictions may also result in the inability of our customers to obtain materials necessary for their full production, which could also result in reduced demand for our products. While disruptions and governmental restrictions, as well as related general limitations on movement around the world, are expected to be temporary, the duration of the production and supply chain disruption, and related financial impact, cannot be estimated at this time. Should the production and distribution closures continue for an extended period of time, the impact on our supply chain could have a material adverse effect on our results of operations and cash flows. Business disruptions could also negatively affect the sources and availability of components and materials that are essential to the operation of our business. Moreover, our customers source a range of production equipment, supplies and services from other suppliers with operations around the world, and any reduction in supply capacity at those customers’ factories may reduce or even halt those customers’ production and result in a decrease in the demand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43"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Any shortage of components or subassemblies could result in delayed delivery of products to us or in increased costs to us, which could harm our business.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ability of our manufacturers to supply our tools is dependent, in part, upon the availability of certain components and subassemblies. Our manufacturers may experience shortages in the availability of such components or subassemblies, which could result in delayed delivery of products to us or in increased costs to us. Any shortage of components or subassemblies or any inability to control costs associated with manufacturing could increase the costs for our products or impair our ability to ship orders in a timely cost-efficient manner. As a result, we could experience cancellation of orders, refusal to accept deliveries or a reduction in our prices and margins, any of which could harm our financial performance and results of operations.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depend on a limited number of suppliers, including single source suppliers, for critical components and subassemblies, and our business could be disrupted if they are unable to meet our needs.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depend on a limited number of suppliers for components and subassemblies used in our tools. Certain components and subassemblies of our tools have only been purchased from our current suppliers to date and changing the source of those components and subassemblies may result in disruptions during the transition process and entail significant delay and expense. We rely on: Product Systems, Inc., or ProSys, as the sole supplier of megasonic transducers, a key subassembly used in our single-wafer cleaning equipment; Ninebell Co., Ltd., or Ninebell, as the principal supplier of robotic delivery system subassemblies used in our single-wafer cleaning equipment; and Advanced Electric Co. Inc., as a key supplier of valves used in our single-wafer cleaning equipment. An adverse change to our relationship with any of these suppliers would disrupt our production of single-wafer cleaning equipment and could cause substantial harm to our business.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With some of these suppliers, we do not have long-term agreements and instead purchase components and subassemblies through a purchase order process. As a result, these suppliers may stop supplying us components and subassemblies, limit the allocation of supply and equipment to us due to increased industry demand or significantly increase their prices at any time with little or no advance notice. Our reliance on a limited number of suppliers could also result in delivery problems, reduced control over product pricing and quality, and our inability to identify and qualify another supplier in a timely manner.</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Moreover, some of our suppliers may experience financial difficulties that could prevent them from supplying us with components or subassemblies used in the design and manufacture of our products. In addition, our suppliers, including our sole supplier ProSys, may experience manufacturing delays or shut downs due to circumstances beyond their control, such as labor issues, political unrest or natural disasters. Any supply deficiencies could materially and adversely affect our ability to fulfill customer orders and our results of operations. We have in the past and may in the future, experience delays or reductions in supply shipments, which could reduce our revenue and profitability. If key components or materials are unavailable, our costs would increase and our revenue would decline.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success of our business will depend on our ability to manage any future growth.</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experienced rapid growth in our business recently due, in part, to an expansion of our product offerings and an increase in the number of customers that we serve. For example, our headcount grew by 32% in 2023, 38% in 2022, and 62% in 2021. We will seek to continue to expand our operations in the future, including by adding new offices, locations and employees. Managing our growth has placed and could continue to place a significant strain on our management, other personnel and our infrastructure. If we are unable to manage our growth effectively, we may not be able to take advantage of market opportunities, develop new products, enhance our technological capabilities, satisfy customer requirements, respond to competitive pressures or otherwise execute our business plan. In addition, any inability to manage our growth effectively could result in operating inefficiencies that could impair our competitive position and increase our costs disproportionately to the amount of growth we achieve. To manage our growth, we believe we must effectively: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hire, train, integrate and manage additional qualified engineers for research and development activities, sales and marketing personnel, service and support personnel and financial and information technology personnel;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manage multiple relationships with our customers, suppliers and other third parties;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continue to enhance our information technology infrastructure, systems and controls.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organizational structure has become more complex, including as a result of the STAR Listing and the STAR IPO. We will need to continue to scale and adapt our operational, financial and management controls, as well as our reporting systems and procedures, at both ACM Research and ACM Shanghai. The continued expansion of our infrastructure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44"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require us to commit substantial financial, operational and management resources before our revenue increases and without any assurances that our revenue will increase.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highly dependent on our Chief Executive Officer and President and other senior management and key employees.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success largely depends on the skills, experience and continued efforts of our management, technical and sales personnel, including in particular Dr. David H. Wang, the Chair of the Board, Chief Executive Officer and President of ACM Research. All of our senior management are at-will employees, which means either we or the employee may terminate their employment at any time. If one or more of our other senior management personnel were unable or unwilling to continue their employment with us, we may not be able to replace them in a timely manner. Moreover, in connection with the STAR Listing and the STAR IPO, ACM Shanghai is now managed by a group of officers separate from those of ACM Research and those officers owe fiduciary duties to the various stakeholders of ACM Shanghai. We do not have employment or retention agreements with, or maintain key person life insurance policies on, any of our employees. Our business may be severely disrupted and our financial condition and results of operations may be materially and adversely affected. In addition, our senior management may join a competitor or form a competing company. The loss of Dr. Wang or other key management personnel, including our Chief Financial Officer, could significantly delay or prevent the achievement of our business objectives.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Failure to attract and retain qualified personnel could put us at a competitive disadvantage and prevent us from effectively growing our business.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future success depends, in part, on our ability to continue to attract and retain highly skilled personnel. There is substantial competition for experienced management, technical and sales personnel in the chip equipment industry. If qualified personnel become scarce or difficult to attract or retain for compensation-related or other reasons, we could experience higher labor, recruiting or training costs. New hires may require significant training and time before they achieve full productivity and may not become as productive as we expect. If we are unable to retain and motivate our existing employees and attract qualified personnel to fill key positions, we may experience inadequate levels of staffing to develop and market our products and perform services for our customers, which could have a negative effect on our operating results.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utilize certain U.S. and state net operating loss carryforwards may be limited under applicable tax laws.</w:t>
      </w:r>
    </w:p>
    <w:p>
      <w:pPr>
        <w:pStyle w:val="TextBody"/>
        <w:bidi w:val="0"/>
        <w:spacing w:lineRule="auto" w:line="268" w:before="240" w:after="283"/>
        <w:jc w:val="both"/>
        <w:rPr/>
      </w:pPr>
      <w:r>
        <w:rPr>
          <w:rFonts w:ascii="Times New Roman;sans-serif" w:hAnsi="Times New Roman;sans-serif"/>
          <w:b w:val="false"/>
          <w:color w:val="000000"/>
          <w:sz w:val="20"/>
        </w:rPr>
        <w:t xml:space="preserve">As of December 31, 2023, we had net operating loss carryforward amounts, or NOLs, of $3.3 million for U.S. federal income tax purposes and $0.6 million for U.S. state income tax purposes. As of December 31, 2022, we had NOLs of $4.4 million for U.S. federal income tax purposes and $0.5 million for U.S. state income tax purposes. </w:t>
      </w:r>
      <w:r>
        <w:rPr>
          <w:rFonts w:ascii="Times New Roman;sans-serif" w:hAnsi="Times New Roman;sans-serif"/>
          <w:b w:val="false"/>
          <w:color w:val="000000"/>
          <w:sz w:val="20"/>
          <w:shd w:fill="FFFFFF" w:val="clear"/>
        </w:rPr>
        <w:t>As of December 31, 2021, we had NOLs of $56.1 million for U.S. federal income tax purposes and $0.5 million for U.S. state income tax purposes. The federal and state NOLs will expire at various dates in the future.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Utilization of these NOLs could be subject to a substantial annual limitation if the ownership change limitations under U.S. Internal Revenue Code Sections 382 and 383 and similar U.S. state provisions are triggered by changes in the ownership of our capital stock. Such an annual limitation would result in the expiration of the NOLs before utilization. Our existing NOLs may be subject to limitations arising from previous ownership changes, including in connection with our initial public offering and concurrent private placement in November 2017, our follow-on public offering in August 2019, and any future equity issuances. Future changes in our stock ownership, some of which are outside of our control, could result in an ownership change. Regulatory changes, such as suspensions on the use of NOLs, or other unforeseen reasons, may cause our existing NOLs to expire or otherwise become unavailable to offset future income tax liabilities. Additionally, U.S. state NOLs generated in one state cannot be used to offset income generated in another U.S. state. For these reasons, we may be limited in our ability to realize tax benefits from the use of our NOLs, even if our profitability would otherwise allow for it.</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Acquisitions that we pursue in the future, whether or not consummated, could result in other operating and financial difficulties.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future we may seek to acquire additional product lines, technologies or businesses in an effort to increase our growth, enhance our ability to compete, complement our product offerings, enter new and adjacent markets, obtain access to additional technical resources, enhance our intellectual property rights or pursue other competitive opportunities. We may also make investments in certain key suppliers to align our interests with such suppliers. If we seek acquisitions,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45"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may not be able to identify suitable acquisition candidates at prices we consider appropriate. We cannot readily predict the timing or size of our future acquisitions, or the success of any future acquisitions.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extent that we consummate acquisitions or investments, we may face financial risks as a result, including increased costs associated with merged or acquired operations, increased indebtedness, economic dilution to gross and operating profit and earnings per share, or unanticipated costs and liabilities. Acquisitions may involve additional risks,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acquired product lines, technologies or businesses may not improve our financial and strategic position as planned;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determine we have overpaid for the product lines, technologies or businesses, or that the economic conditions underlying our acquisition have changed;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have difficulty integrating the operations and personnel of the acquired company;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have difficulty retaining the employees with the technical skills needed to enhance and provide services with respect to the acquired product lines or technologies;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acquisition may be viewed negatively by customers, employees, suppliers, financial markets or investors;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have difficulty incorporating the acquired product lines or technologies with our existing technologies;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encounter a competitive response, including price competition or intellectual property litigation;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encounter difficulties related to required CFIUS approval (see also “-Regulatory Risks-Certain of our investments may be subject to review by and approval from CFIUS, which may prevent us from taking advantage of investment opportunities that would otherwise be advantageous to our stockholders”);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become a party to product liability or intellectual property infringement claims as a result of our sale of the acquired company’s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incur one-time write-offs, such as acquired in-process research and development costs, and restructuring charges;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acquire goodwill and other intangible assets that are subject to impairment tests, which could result in future impairment charges;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ongoing business and management’s attention may be disrupted or diverted by transition or integration issues and the complexity of managing geographically or culturally diverse enterprises;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due diligence process may fail to identify significant existing issues with the target business.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we may enter into negotiations for acquisitions or investments that are not ultimately consummated. These negotiations could result in significant diversion of management time, as well as substantial out-of-pocket costs, any of which could have a material adverse effect on our business, operating results and financial condition.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Future declines in the semiconductor industry, and the overall world economic conditions on which the industry is significantly dependent, could have a material adverse impact on our results of operations and financial condition.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depends on the capital equipment expenditures of chip manufacturers, which in turn depend on the current and anticipated market demand for integrated circuits. With the consolidation of customers within the industry, the chip capital equipment market may experience rapid changes in demand driven both by changes in the market generally and the plans and requirements of particular customers. Global economic and business conditions, which are often unpredictable, have historically impacted customer demand for our products and normal commercial relationships with our customers, suppliers and creditors. Additionally, in times of economic uncertainty our customers’ budgets for our tools, or their ability to access credit to purchase them, could be adversely affected. This would limit their ability to purchase our products and services. As a result, economic downturns could cause material adverse changes to our results of operations and financial condition including:</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a decline in demand for our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an increase in reserves on accounts receivable due to our customers’ inability to pay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an increase in reserves on inventory balances due to excess or obsolete inventory as a result of our inability to sell such inventory;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valuation allowances on deferred tax assets;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restructuring charges;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asset impairments;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 decline in the value of our investments;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exposure to claims from our suppliers for payment on inventory that is ordered in anticipation of customer purchases that do not come to fruition;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 decline in the value of certain facilities we lease to less than our residual value guarantee with the lessor;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challenges maintaining reliable and uninterrupted sources of supply.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46"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Fluctuating levels of investment by chip manufacturers may materially affect our aggregate shipments, revenue, operating results and earnings. Where appropriate, we will attempt to respond to these fluctuations with cost management programs aimed at aligning our expenditures with anticipated revenue streams, which could result in restructuring charges. Even during periods of reduced revenues, we must continue to invest in research and development and maintain extensive ongoing worldwide customer service and support capabilities to remain competitive, which may temporarily harm our profitability and other financial results.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Regulatory Risks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ability to sell our tools to customers in mainland China and certain other countries has been impacted, and will likely continue to be materially and adversely impacted, by export license requirements, other regulatory changes, or other actions taken by the U.S. or other governmental agencies.</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Shanghai utilizes certain items subject to export controls under the U.S. Export Administration Regulations (EAR) in manufacturing and supplying its products. The EAR applies to exports of commodities, software and technology from the United States, including for use in manufacturing products outside the United States, as well as to certain products manufactured outside the United States that incorporate, or are based on, designated U.S. content, software or technology. The Bureau of Industry and Security of the U.S. Department of Commerce (BIS), which administers the EAR, recently imposed, and may continue to impose, additional restrictions under the EAR on certain exports to China, to include Hong Kong and Macau, including restrictions targeting the semiconductor manufacturing industry in China. These types of restrictions may impact the operations of ACM Shanghai.</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BIS announced new rules that significantly expanded U.S. export controls as applied to advanced IC products, related manufacturing equipment and technology, and supercomputers, where the destination or ultimate end user is based in mainland China. In the case of semiconductor manufacturing equipment, the new rules require an export license for the export, re-export, or transfer to or within mainland China of additional types of semiconductor manufacturing equipment, items for use in manufacturing designated types of semiconductor manufacturing equipment (along with other items subject to the EAR, for use in the development or production of ICs), and semiconductor manufacturing equipment for use at certain IC manufacturing and development facilities in mainland China. In most cases, license applications for these exports are reviewed under a presumption of denial. In addition, BIS imposed new restrictions by which U.S. persons anywhere in the world are effectively barred from engaging in certain activities related to the development and production of semiconductors at mainland China fabrication facilities meeting specified criteria, even if no items subject to the EAR are involved. The October 2022 restrictions were later expanded to include Macau.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new restrictions have impacted the procurement by ACM Shanghai of certain items from the United States, and of certain items subject to U.S. export controls from outside the United States, for use in manufacturing its products.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BIS further expanded export controls on semiconductors, semiconductor manufacturing items and items for use in manufacturing designated types of semiconductor manufacturing equipment, including through new licensing requirements covering a broader variety of items, and an expansion in the geographical scope of the controls.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ACM Shanghai has determined that several of its customers have mainland China-based facilities that meet the restricted criteria set out in the October 2022 and October 2023 rules, and has also determined that several of its products, and/or components for its products, may meet the parameters of export control classification numbers, or ECCNs, affected by the restrictions. ACM and ACM Shanghai have implemented modifications to their existing business policies and practices in response to the October 2022 and October 2023 restrictions, including by imposing limitations on the activities of their U.S. persons and undertaking measures in connection with their supply chains more broadly to comply with the new regulations. ACM Shanghai is continuing to assess the impact of the October 2023 changes, together with the October 2022 rules, and will continually adjust or modify its policies and practices as required to comply with these or other related updates. Based on our ongoing review, we believe these regulations may directly impact ACM Shanghai’s ability to meet its future production plans, or indirectly impact the spending plans of ACM Shanghai’s customer base. ACM may not be able to import, or may face substantial restrictions in importing, certain parts from the United States or parts subject to U.S. export controls from outside the United States to support tool shipments to such facilities, or to be embedded into tools defined by affected ECCNs.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as a result of the October 2022 and October 2023 restrictions, several ACM Shanghai customers have significantly reduced production and related capital spending at facilities meeting the restricted advanced node capabilities. In addition, ACM Shanghai has experienced challenges as the companies in its supply chain adapt their policies to the new regulations. These factors had an adverse impact on ACM Shanghai’s shipments and sales in the twelve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47"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December 31, 2023. We anticipate these factors will continue to have an adverse impact on ACM Shanghai’s shipments and sales in future periods, including as a result of any impacts from the October 2023 revisions.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Alongside these new restrictions, BIS has also continued to designate additional China entities, many involved in the semiconductor manufacturing industry, on restricted party lists under the EAR, such as the Entity List and the Unverified List. These designations impose licensing requirements for the supply of products to such entities. In most cases, any items subject to the EAR, including foreign produced products with specified U.S. content or that are the product of specified U.S. origin software, technology, or equipment, now require an export license from BIS before they can be supplied to the newly listed China entities, regardless of their export classification. In December 2020, SMIC, one of the largest chip manufacturers in mainland China and one of our key customers, was one of numerous entities added to the Entity List. Challenges faced by SMIC and its key suppliers as a result of the listing have indirectly impacted SMIC’s demand for, and ACM Shanghai’s ability to supply, ACM Shanghai products. More recently, in October 2022, YMTC, a leading mainland China memory chip company and one of our key customers, was added to the Unverified List of the EAR alongside a number of other Chinese entities. The Unverified List identifies parties for whom BIS has been unable to confirm their bona fides (i.e., legitimacy and reliability about the end-use and end-user of items subject to the EAR). Entities listed on the Unverified List are ineligible to receive items subject to the EAR by means of a license exception if a U.S. export license is required. In December 2022, YMTC was moved from the Unverified List to the Entity List. Challenges faced by YMTC and its key suppliers as a result of the listing could indirectly impact YMTC’s demand for, or ACM Shanghai’s ability to supply, ACM Shanghai products.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be certain what additional actions the U.S. government may take with respect to China entities, or whether such actions will impact our relationships with our mainland China-based customers. Additional actions could take the form of further revisions to the Entity List or Unverified List, new export restrictions, further expansions to the geographic scope of the controls, or additional tariffs or other trade restrictions. It is also possible that other countries could adopt similar semiconductor-focused export controls to align with the October 2022 and October 2023 U.S. actions.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twelve months ended December 30, 2023, two prominent exporters of advanced semiconductor manufacturing equipment, the Netherlands and Japan, announced and began to implement plans to join the United States in imposing semiconductor-focused export controls.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On May 23, 2023, the Japanese government issued the final amendment to an ordinance implementing new export controls to require licensing for export of certain advanced semiconductor manufacturing equipment, effective as of July 23, 2023.</w:t>
      </w:r>
      <w:r>
        <w:rPr>
          <w:color w:val="000000"/>
        </w:rPr>
        <w:t xml:space="preserve"> </w:t>
      </w:r>
      <w:r>
        <w:rPr>
          <w:rFonts w:ascii="Times New Roman;sans-serif" w:hAnsi="Times New Roman;sans-serif"/>
          <w:b w:val="false"/>
          <w:color w:val="000000"/>
          <w:sz w:val="20"/>
        </w:rPr>
        <w:t>The amendment expands the scope of export controls to prohibit (1) exporting 23 additional categories of items relating to semiconductor manufacturing and (2) providing technology relating to manufacturing, development or use of these categories of items, in both cases, without an advance license.</w:t>
      </w:r>
      <w:r>
        <w:rPr>
          <w:color w:val="000000"/>
        </w:rPr>
        <w:t xml:space="preserve"> </w:t>
      </w:r>
      <w:r>
        <w:rPr>
          <w:rFonts w:ascii="Times New Roman;sans-serif" w:hAnsi="Times New Roman;sans-serif"/>
          <w:b w:val="false"/>
          <w:color w:val="000000"/>
          <w:sz w:val="20"/>
        </w:rPr>
        <w:t>While the expanded export controls apply to exports to any jurisdiction, exports to certain jurisdictions, such as the United States, are expected to be permitted by certain types of broad general licenses. However, it remains to be seen whether the Japanese government will authorize any exports of these items to mainland China by a limited general license or specific license, if at all.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Likewise, on September 30, 2023, the Government of the Netherlands published additional export control measures for advanced semiconductor manufacturing equipment. The Regulation on Advanced Semiconductor Manufacturing Equipment entered force on September 1, 2023. From that point on, the export of certain advanced semiconductor manufacturing equipment, as specified in the Annex to the Regulation, is now subject to a national export license authorization requirement by the Dutch Central Import and Export Service.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 result of the new restrictions, the ability of ACM Shanghai to acquire such parts from Japan and the Netherlands to fulfill customer requirements, and the ability of ACM Shanghai’s customers in mainland China to scale their production, could be further negatively impacted by these additional controls. The introduction of additional multilateral semiconductor-focused export controls could further negatively impact ACM Shanghai’s supply arrangements.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We are unable to predict the duration of the restrictions imposed by the U.S. government, Japan and the Netherlands or the</w:t>
      </w:r>
      <w:r>
        <w:rPr>
          <w:color w:val="000000"/>
        </w:rPr>
        <w:t xml:space="preserve"> </w:t>
      </w:r>
      <w:r>
        <w:rPr>
          <w:rFonts w:ascii="Times New Roman;sans-serif" w:hAnsi="Times New Roman;sans-serif"/>
          <w:b w:val="false"/>
          <w:color w:val="000000"/>
          <w:sz w:val="20"/>
          <w:shd w:fill="FFFFFF" w:val="clear"/>
        </w:rPr>
        <w:t>effects of any future governmental actions by the U.S., Japan, the Netherlands or other countries that may impact our relationships with our mainland China-based customers, any of which could have a long-term adverse effect on our business, operating results and financial condition.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Changes in government trade policies could limit the demand for our tools and increase the cost of our tools.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General trade tensions between the United States and mainland China escalated be</w:t>
      </w:r>
      <w:r>
        <w:rPr>
          <w:rFonts w:ascii="Times New Roman;sans-serif" w:hAnsi="Times New Roman;sans-serif"/>
          <w:b w:val="false"/>
          <w:color w:val="000000"/>
          <w:sz w:val="20"/>
        </w:rPr>
        <w:t>ginning in 2018, and have continued to escalate. Since 2018, th</w:t>
      </w:r>
      <w:r>
        <w:rPr>
          <w:rFonts w:ascii="Times New Roman;sans-serif" w:hAnsi="Times New Roman;sans-serif"/>
          <w:b w:val="false"/>
          <w:color w:val="000000"/>
          <w:sz w:val="20"/>
          <w:shd w:fill="FFFFFF" w:val="clear"/>
        </w:rPr>
        <w:t xml:space="preserve">e U.S. government has imposed new or higher tariffs on specified imported products originating from mainland China in response to what the U.S. government characterized as unfair trade practices. The mainland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48"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government responded to each of these rounds of U.S. tariff changes by imposing new or higher tariffs on specified products imported from the United States. Higher tariffs and additional rounds of tariffs have been suggested or threatened by U.S. and mainland China officials. More recently, in late 2023 and early 2024, U.S. officials have suggested potentially targeting Chinese origin legacy semiconductors with additional tariffs. Certain U.S. officials have also called for revocation of, or revisions to, China’s permanent normal trade relations (PNTR) status, which would increase tariffs significantly on goods of Chinese origin. In the event any such increased tariffs take effect, it is possible that the Chinese government could respond with additional tariffs or restrictions.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imposition of heightened tariffs on imports by both the U.S. and mainland China governments and the surrounding economic uncertainty may negatively impact the semiconductor industry, including by reducing the demand of fabricators for capital equipment such as our tools. Further changes in trade policy, including by tariffs, additional taxes, restrictions on exports or other trade barriers, or restrictions on supplies, equipment, and raw materials including rare earth minerals, may limit the ability of our customers to manufacture or sell semiconductors or to make the manufacture or sale of semiconductors more expensive and less profitable, which could lead those customers to fabricate fewer semiconductors and to invest less in capital equipment such as our tools. In addition, if mainland China were to impose additional tariffs on raw materials, subsystems or other supplies that we source from the United States, our cost for those supplies would increase. As a result of any of the foregoing events, the imposition of new or additional tariffs may limit our ability to manufacture tools, increase our selling and/or manufacturing costs, decrease margins, or inhibit our ability to sell tools or to purchase necessary equipment and supplies, which could have a material adverse effect on our business, results of operations, or financial condition.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Changes in political and economic policies of the mainland China government may materially and adversely affect our business, financial condition and results of operations and may result in our inability to sustain our growth and expansion strategies.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Substantially all of our operations are conducted in mainland China, and a substantial majority of our revenue is sourced from mainland China. Accordingly, our financial condition and results of operations are affected to a significant extent by economic, political and legal development in mainland China.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Chinese economy differs from the economies of most developed countries in many respects, including the extent of government involvement, level of development, growth rate, and control of foreign exchange and allocation of resources. Although the mainland China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mainland China are still owned by the government. In addition, the mainland China government continues to play a significant role in regulating industry development by imposing industrial policies. The mainland China government also exercises significant control over economic growth in mainland China by allocating resources, controlling payment of foreign currency-denominated obligations, setting monetary policy, regulating financial services and institutions, and providing preferential treatment to particular industries or companies.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While the mainland China economy has experienced significant growth in the past three decades, growth has been uneven, both geographically and among various sectors of the economy. The mainland China government has implemented various measures to encourage economic growth and guide the allocation of resources. Some of these measures may benefit the overall mainland China economy, but may also have a negative effect on us. Our financial condition and results of operation could be materially and adversely affected by government control over capital investments or changes in tax regulations that are applicable to us. In the past the mainland China government has implemented measures to control the pace of economic growth, and similar measures in the future may cause decreased economic activity, which in turn could lead to a reduction in demand for our products and consequently have a material adverse effect on our businesses, financial condition and results of operations.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the mainland China government has been implementing policies to develop an independent domestic semiconductor industry supply chain, there is no guaranteed time frame in which these initiatives will be implemented. We cannot guarantee that the implementation of these policies will result in additional revenue to us or that our presence in mainland China will result in support from the mainland China government. To the extent that any capital investment or other assistance from the mainland China government is not provided to us, it could be used to promote the products and technologies of our competitors, which could adversely affect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49"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Changes in political and economic policies with respect to mainland China may make it difficult for us to realize the benefit of our investments.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12, 2020, then-U.S. President Trump issued an executive order, or the Order, establishing a new sanctions program designed to prohibit U.S. persons from entering into transactions in certain publicly traded securities, as well as derivatives and securities designed to provide investment exposure to such securities, of any “Communist Chinese military company,” or CCMC, as designated by the U.S. Department of Defense, or DOD, or the U.S. Secretary of the Treasury. Continued ownership of such securities by U.S. persons would be prohibited after a one-year divestment period from the time of designation of the issuer. A number of mainland China issuers have been designated under this program and more could be added.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December 3, 2020, SMIC was designated as a CCMC by the DOD, which was subsequently removed as of June 3, 2021. If SMIC had remained on the list at December 3, 2021, ACM Shanghai’s continued possession of SMIC securities could have subjected ACM Shanghai and ACM Research to penalties. Certain implementation matters related to the scope of, and compliance with, the Order have not yet been resolved, and the ultimate application and enforcement of the Order may change due to, among other things, a change in the U.S. Presidential administration.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SMIC may be designated as a CCMC in the future, or we may seek to conduct business transactions with entities on the CCMC list in the future. Although the Order does not prohibit commercial relations with CCMC companies other than the securities transactions noted above, certain other export restrictions have been imposed under the Export Administration Regulations on some CCMC companies. These and any similar future U.S. government restrictions on our suppliers or customers may adversely affect our business operations in mainland China, overall company results or our financial condition.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Mainland China’s currency exchange control and government restrictions on investment repatriation may impact our ability to transfer funds outside of mainland China, which could materially and adversely affect our ability to grow, make investments or acquisitions that could benefit our business, otherwise fund and conduct our business, or pay dividends on our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generate substantially all of our revenue through ACM Shanghai, our mainland China subsidiary. Mainland China statutory laws and regulations permit payments of dividends by ACM Shanghai only out of its retained earnings, which are determined in accordance with mainland China accounting standards and regulations that differ from U.S. generally accepted accounting principles. Mainland China regulations and ACM Shanghai’s articles of association require annual appropriations of 10% of net after-tax profits to be set aside, prior to payment of dividends, as a reserve or surplus fund, which restricts ACM Shanghai’s ability to transfer a portion of its net assets to us. Such reserved funds can only be used for specific purposes and are not transferable to ACM in the form of loans, advances or cash dividends.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of these and other restrictions under mainland China laws and regulations as well as restrictions under ACM Shanghai’s bank loan agreements, we may be significantly restricted in our ability to transfer a portion of ACM Shanghai’s net assets to ACM or other subsidiaries of ACM. We have no assurance that mainland China governmental authorities in the future will not limit further or eliminate the ability of ACM Shanghai to purchase foreign currencies and transfer such funds to ACM to meet its liquidity or other business needs. Any inability to access funds in mainland China, if and when needed for use outside of mainland China, could have a material and adverse effect on our liquidity and our business.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Certain of our investments may be subject to review by and approval from CFIUS, which may prevent us from taking advantage of investment opportunities that would otherwise be advantageous to our stockholders.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of our investments may be subject to review by and approval from the U.S. Committee on Foreign Investment in the U.S., or CFIUS. In the event that CFIUS reviews one or more of our investments, there can be no assurances that we will be able to maintain or proceed with such investments on terms acceptable to us. Additionally, CFIUS may seek to impose limitations on one or more such investments that may prevent us from maintaining or pursuing investment opportunities that we otherwise would have maintained or pursued, which could adversely affect the performance of our investments and thus our overall performance. Certain of our stockholders may be non-U.S. investors, and in the aggregate, may comprise a substantial portion of our net asset value, which may increase the risks of such limitations being imposed in connection with investments pursued or made by us. Legislative and regulatory changes, including changes to agency practice, in the future may negatively impact our ability to realize value from certain existing and future investments, including by limiting exit opportunities or causing us to favor buyers that we believe are less likely to require CFIUS review, even in circumstances where other buyers may offer better terms or more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50"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U.S. Government is reportedly considering an outbound investment review mechanism, which may prevent us from taking advantage of investment opportunities outside the United States that could otherwise be advantageous to our stockholders.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U.S. Government is reportedly considering imposing an outbound investment review mechanism similar to CFIUS that would review foreign investments made from the United States. It is not yet clear what form the mechanism would take, but reports suggest it could come quickly in the form of an Executive Order, or could be passed as part of legislation from Congress. In the event that such a review mechanism is implemented, it is possible that certain of our investments may require review or notification to the U.S. Government, and could be subject to mitigation or other restrictions. If implemented, similar to CFIUS reviews, there can be no assurances that we will be able to maintain or proceed with investments on terms acceptable to us. Such a mechanism could negatively impact our ability to realize value from certain existing and future investments, including by limiting exit opportunities or causing us to favor buyers that we believe are lower risk for the possible outbound investment reviews, even in circumstances where other buyers may offer better terms or more consideration. Furthermore, because the requirements have not yet been established, the range or extent of possible effects that could flow from such a measure cannot be determined with any degree of certainty at this time. It is possible that the outbound investment review mechanism could adversely affect our business, financial condition, and operating results.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subject to government regulation, including import, export, economic sanctions, and anti-corruption laws and regulations, that may limit our sales opportunities, expose us to liability and increase our costs.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products are subject to import and export controls in jurisdictions in which we distribute or sell our products. Import and export controls and economic sanctions laws and regulations include restrictions and prohibitions on the sale or supply of certain products and on our transfer of parts, components, and related technical information and know-how to certain countries, regions, governments, persons and entities.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Various countries regulate the importation of certain products through import permitting and licensing requirements and have enacted laws that could limit our ability to distribute our products. The exportation, re-exportation, transfers within foreign countries and importation of our products, including by our partners, must comply with these laws and regulations, and any violations may result in reputational harm, government investigations and penalties, or a denial or curtailment of exporting privileges. Complying with export control and sanctions laws for a particular sale may be time consuming, may increase our costs, and may result in the delay or loss of sales opportunities. If we are found to be in violation of U.S. sanctions or export control laws, or similar laws in other jurisdictions, we and the individuals working for us could incur substantial fines and penalties. Changes in export, sanctions or import laws or regulations may delay the introduction and sale of our products in international markets, require us to expend resources to seek necessary government authorizations or develop different versions of our products, or, in some cases, prevent the export or import of our products to certain countries, regions, governments, persons or entities, which could adversely affect our business, financial condition and operating results.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various domestic and international anti-corruption laws, such as the U.S. Foreign Corrupt Practices Act, as well as similar anti-bribery and anti-kickback laws and regulations in the United States and other jurisdictions. These laws and regulations generally prohibit companies and their intermediaries from offering or making improper payments to non-U.S. officials for the purpose of obtaining, retaining or directing business. Our exposure for violating these laws and regulations increases as our international presence expands and as we increase sales and operations in foreign jurisdictions.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STAR Listing</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achieve the results contemplated by our business strategy and our strategy for growth in mainland China may not result in increases in the price of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cannot assure you that we will realize any or all of our anticipated benefits of the STAR Listing and the STAR IPO, which may not have the anticipated effects of including the strengthening of our market position and operations in mainland China. ACM Shanghai continues to have broad discretion in the use of the proceeds from the initial sales of shares to investors and the proceeds from the STAR IPO, and will have similar discretion over the use of proceeds from future financing activities (including follow-on offerings or private placements of shares with mainland China investors). ACM Shanghai may not spend or invest those proceeds in a manner that results in our operating success or with which ACM Research stockholders agree. Our failure to successfully leverage the completion of the STAR Listing and the STAR IPO, and any future financings by ACM Shanghai, to expand our mainland China business could result in a decrease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51"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price of the Class A common stock, and we cannot assure you that the success of ACM Shanghai will have an attendant positive effect on the price of the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Mainland China companies are critical to the global semiconductor industry, and our current business is substantially concentrated in the mainland China market. Our inability to build, or any delay in growing, our mainland China-based operations would materially and adversely limit our operations and operating results, including our revenue growth.</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ACM Shanghai’s status as a publicly traded company that is controlled, but less than wholly owned, by ACM Research could have an adverse effect on us.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November 2021, we completed the STAR Listing and STAR IPO with respect to shares of ACM Shanghai. ACM Shanghai is our principal operating company and, prior to the STAR Listing process, was a wholly owned subsidiary of ACM Research. As the result of actions taken in connection with the STAR Listing and the STAR IPO, ACM Shanghai is no longer a wholly owned subsidiary of ACM Research, and the interests of ACM Shanghai may diverge from the interests of ACM Research and its other subsidiaries in the future. We may face conflicts of interest in managing, financing or engaging in transactions with ACM Shanghai, or allocating business opportunities between our subsidiaries, including future arrangements for operating subsidiaries other than ACM Shanghai to license and use our intellectual property. Substantially all of our intellectual property has been developed in mainland China and is owned by ACM Shanghai. As we expand our global operations through operating subsidiaries outside of mainland China, those operating subsidiaries may need to license intellectual property from ACM Shanghai in order to operate, and there can be no assurance that conflicts of interest will not preclude those operating subsidiaries from licensing the required intellectual property from ACM Shanghai on reasonable terms or at all.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Research retains majority ownership of ACM Shanghai since the STAR IPO, but ACM Shanghai is managed by a separate board of directors and officers and those directors and officers will owe fiduciary duties to the various stakeholders of ACM Shanghai, including shareholders other than ACM Research. In the operation of ACM Shanghai’s business, there may be situations that arise whereby the directors and officers of ACM Shanghai, in the exercise of their fiduciary duties, take actions that may be contrary to the best interests of ACM Research.</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In the future, ACM Shanghai may issue options, restricted shares and other forms of share-based compensation to its directors, officers and employees, which could dilute ACM Research’s ownership in ACM Shanghai. In addition, ACM Shanghai may engage in capital raising activities in the future that could further dilute ACM Research’s ownership interest. </w:t>
      </w:r>
      <w:r>
        <w:rPr>
          <w:rFonts w:ascii="Times New Roman;sans-serif" w:hAnsi="Times New Roman;sans-serif"/>
          <w:b w:val="false"/>
          <w:color w:val="000000"/>
          <w:sz w:val="20"/>
        </w:rPr>
        <w:t>For example, on January 25, 2024, we announced that ACM Shanghai</w:t>
      </w:r>
      <w:r>
        <w:rPr>
          <w:color w:val="000000"/>
          <w:shd w:fill="FFFFFF" w:val="clear"/>
        </w:rPr>
        <w:t xml:space="preserve"> </w:t>
      </w:r>
      <w:r>
        <w:rPr>
          <w:rFonts w:ascii="Times New Roman;sans-serif" w:hAnsi="Times New Roman;sans-serif"/>
          <w:b w:val="false"/>
          <w:color w:val="000000"/>
          <w:sz w:val="20"/>
        </w:rPr>
        <w:t>intends to offer up to 43.6 million of its ordinary shares in a private offering to qualified buyers in compliance with the requirements of the China Securities Regulatory Commission, which would constitute up to 10% of ACM Shanghai’s share capital prior to the transaction. If consummated in full, we estimate that our equity interest in ACM Shanghai would decline from 82.1% to approximately 74.6%. The consummation of the proposed transaction is subject to market conditions,</w:t>
      </w:r>
      <w:r>
        <w:rPr>
          <w:color w:val="000000"/>
          <w:shd w:fill="FFFFFF" w:val="clear"/>
        </w:rPr>
        <w:t xml:space="preserve"> </w:t>
      </w:r>
      <w:r>
        <w:rPr>
          <w:rFonts w:ascii="Times New Roman;sans-serif" w:hAnsi="Times New Roman;sans-serif"/>
          <w:b w:val="false"/>
          <w:color w:val="000000"/>
          <w:sz w:val="20"/>
        </w:rPr>
        <w:t>the approval of ACM Shanghai’s shareholders, completion of the review process by the Shanghai Stock Exchange, completion of the registration process by the China Securities Regulatory Commission, and other factors. We estimate that if consummated in full, the proposed transaction would generate gross proceeds of up to RMB 4.5 billion ($625 million) to ACM Shanghai, whose management would have broad discretion over the use of such proceeds. It is unlikely that any of such proceeds would be distributed to ACM Research.</w:t>
      </w:r>
      <w:r>
        <w:rPr>
          <w:color w:val="000000"/>
          <w:shd w:fill="FFFFFF" w:val="clear"/>
        </w:rPr>
        <w:t xml:space="preserve"> </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ACM Research and ACM Shanghai both are public reporting companies but each is subject to separate, and potentially inconsistent, accounting and disclosure requirements, which may lead to investor confusion or uncertainty that could cause decreased demand for, or fluctuations in the price of, one or both of the companies’ publicly traded shares.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Since ACM Shanghai completed the STAR Listing and the STAR IPO in November 2021, it has been subject to accounting, disclosure and other regulatory requirements of the STAR Market. At the same time, ACM Research remains subject to accounting, disclosure and other regulatory requirements of the SEC and the Nasdaq Global Market, or Nasdaq. As a result, ACM Research and ACM Shanghai periodically will disclose information simultaneously pursuant to differing laws and regulations. Even though substantially all of the operations of ACM Research are currently conducted through ACM Shanghai, the information disclosed by the two companies will differ, and may differ materially from time to time, due to the distinct, and potentially inconsistent, accounting standards applicable to the two companies and disclosure requirements imposed by securities regulatory authorities, as well as differences in language, culture and expression habit, in composition of investors in the United States and mainland China, and in the capital markets of the United States and mainland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52"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Differing disclosures could lead to confusion or uncertainty among investors in the publicly traded shares of one or both companies. Differences between the price of ACM Shanghai shares on the STAR Market and the price of ACM Research Class A common stock on Nasdaq could lead to increased volatility, as some investors seek to arbitrage price differences. Moreover, such volatility could be exacerbated by the fact that ACM Shanghai shares currently represent substantially all of the assets of ACM Research.</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Intellectual Property and Data Security</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success depends on our ability to protect our intellectual property, including our SAPS, TEBO, Tahoe, ECP, furnace and other technologies.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commercial success depends in part on our ability to obtain and maintain patent and trade secret protection for our intellectual property, including our SAPS, TEBO, Tahoe, ECP, furnace and other technologies and the design of our Ultra C equipment, as well as our ability to operate without infringing upon the proprietary rights of others.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intellectual property is uncertain. Only limited protection may be available and may not adequately protect our rights or permit us to gain or keep any competitive advantage. This failure to properly protect the intellectual property rights relating to our products and technologies could have a material adverse effect on our financial condition and results of operations.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Patent applications may not result in any patents being issued.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Patents that may be issued may be challenged, invalidated, modified, revoked, circumvented, found to be unenforceable or otherwise may not provide any competitive advantage.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competitors may seek or may have already obtained patents that will limit, interfere with, or eliminate our ability to make, use and sell our potential product candidates.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Mainland China and other 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we rely on the protection of our trade secrets and know-how. Although we have taken steps to protect our trade secrets and unpatented know-how, including entering into confidentiality and non-disclosure agreements with third parties and confidential information and inventions agreements with key employees, customers and suppliers, other parties may still obtain this information or may come upon this information independently. If any of these events occurs or if we otherwise lose protection for our trade secrets or proprietary know-how, the value of this information may be greatly reduced.</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be involved in lawsuits to protect or enforce our patents, which could be expensive, time consuming and unsuccessful.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Competitors may infringe upon our patents. If our technologies are adopted, we believe that competitors may try to match our technologies and tools in order to compete. To counter infringement or unauthorized use, we may be required to file infringement claims, which can be expensive and time consuming. An adverse result in any litigation or defense proceedings, including our current suits, could put one or more of our patents at risk of being invalidated, found to be unenforceable or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litigation. In addition, any future patent litigation, interference or other administrative proceedings will result in additional expense and distraction of our personnel. Most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53"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competitors are larger than we are and have substantially greater resources, and they therefore are likely to be able to sustain the costs of complex patent litigation longer than we could. An adverse outcome in such litigation or proceedings may expose us to loss of our proprietary position.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be able to protect our intellectual property rights throughout the world, including mainland China, which could materially, negatively affect our business.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Filing, prosecuting and defending patents on our products or proprietary technologies in all countries throughout the world would be prohibitively expensive, and our intellectual property rights in some countries outside the United States, including mainland China,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significant majority of our intellectual property has been developed in mainland China and is owned by ACM Shanghai. Implementation and enforcement of intellectual property-related laws in mainland China has historically been lacking due primarily to ambiguities in mainland China intellectual property law. Accordingly, protection of intellectual property and proprietary rights in mainland China may not be as effective as in the United States or other countries. As a result, third parties could illegally use the technologies and proprietary processes that we have developed and compete with us, which could negatively affect any competitive advantage we enjoy, dilute our brand and harm our operating results. Litigation may be necessary to enforce our intellectual property rights, and given the relative unpredictability of mainland China’s legal system and potential difficulties enforcing a court judgment in mainland China, there is no guarantee litigation would result in an outcome favorable to us.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are sued for infringing intellectual property rights of third parties, it will be costly and time consuming, and an unfavorable outcome in that litigation could have a material adverse effect on our business.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success depends on our ability to develop, manufacture, market and sell our products without infringing upon the proprietary rights of third parties. Numerous U.S. and foreign-issued patents and pending patent applications owned by third parties exist in the fields in which we are developing products, some of which may contain claims that overlap with the subject matter of our intellectual property. A third party has claimed in the past, and others may claim in the future, that our technology or products infringe their intellectual property. In some instances third parties may initiate litigation against us in an effort to prevent us from using our technology in alleged violation of their intellectual property rights. The risk of such a lawsuit will likely increase as our size and the number and scope of our products increase and as our geographic presence and market share expand.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potential intellectual property claims or litigation commenced against us could: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be time consuming and expensive to defend, whether or not meritorious;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force us to stop selling products or using technology that allegedly infringes the third party’s intellectual property rights;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delay shipments of our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require us to pay damages or settlement fees to the party claiming infringement;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require us to attempt to obtain a license to the relevant intellectual property, which may not be available on reasonable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54"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force us to attempt to redesign products that contain the allegedly infringing technology, which could be expensive or which we may be unable to do;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require us to indemnify our customers, suppliers or other third parties for any loss caused by their use of our technology that allegedly infringes the third party’s intellectual property rights; 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divert the attention of our technical and managerial resources.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patent applications can take many years to issue, there may be currently pending applications, unknown to us, that may later result in issued patents upon which our products or technologies may infringe. Similarly, there may be issued patents relevant to our products of which we are not aware.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increasingly depend upon our information technology systems to conduct our business operations, ranging from our internal operations and product development and manufacturing activities to our marketing and sales efforts and communications with our customers and business partners. Computer programmers may attempt to penetrate our network security, or that of our website, and misappropriate our proprietary information or cause interruptions of our service. Because the techniques used by such computer programmers to access or sabotage networks change frequently and may not be recognized until launched against a target, we may be unable to anticipate these techniques. We have also outsourced a number of our business functions to third-party contractors, including our manufacturers, and our business operations also depend, in part, on the success of our contractors’ own cybersecurity measures. Accordingly, if our cybersecurity systems and those of our contractors fail to protect against unauthorized access, sophisticated cyberattacks and the mishandling of data by our employees and contractors, our ability to conduct our business effectively could be damaged in a number of ways, including sensitive data regarding our employees or business, including intellectual property and other proprietary data, could be stolen. Should this occur, we could be subject to significant claims for liability from our customers and regulatory actions from governmental agencies. In addition, our ability to protect our intellectual property rights could be compromised and our reputation and competitive position could be significantly harmed. Consequently, our financial performance and results of operations could be adversely affected.</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Ownership of Class A Common Stock</w:t>
      </w:r>
    </w:p>
    <w:p>
      <w:pPr>
        <w:pStyle w:val="TextBody"/>
        <w:bidi w:val="0"/>
        <w:spacing w:lineRule="auto" w:line="288" w:before="240" w:after="283"/>
        <w:jc w:val="both"/>
        <w:rPr/>
      </w:pPr>
      <w:r>
        <w:rPr>
          <w:rFonts w:ascii="Times New Roman;sans-serif" w:hAnsi="Times New Roman;sans-serif"/>
          <w:b/>
          <w:i/>
          <w:color w:val="000000"/>
          <w:sz w:val="20"/>
          <w:shd w:fill="FFFFFF" w:val="clear"/>
        </w:rPr>
        <w:t>The market price of Class A common stock</w:t>
      </w:r>
      <w:r>
        <w:rPr>
          <w:color w:val="000000"/>
          <w:shd w:fill="FFFFFF" w:val="clear"/>
        </w:rPr>
        <w:t xml:space="preserve"> </w:t>
      </w:r>
      <w:r>
        <w:rPr>
          <w:rFonts w:ascii="Times New Roman;sans-serif" w:hAnsi="Times New Roman;sans-serif"/>
          <w:b/>
          <w:i/>
          <w:color w:val="000000"/>
          <w:sz w:val="20"/>
          <w:shd w:fill="FFFFFF" w:val="clear"/>
        </w:rPr>
        <w:t>has been and may continue to be volatile, which could result in substantial losses for investors purchasing our shares.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market price of Class A common stock has been, and could continue to be, subject to significant fluctuations. The market price of Class A common stock may fluctuate significantly in response to numerous factors, many of which are beyond our control,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actual or anticipated fluctuations in our revenue and other operating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financial projections we may provide to the public, any changes in these projections or our failure to meet these projections;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actions of securities analysts who initiate or maintain coverage of us, changes in financial estimates by any securities analysts who follow our company, or our failure to meet these estimates or the expectations of investors;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changes in projections for the chips or chip equipment industries or in the operating performance or expectations and stock market valuations of chip companies, chip equipment companies or technology companies in general;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changes in operating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any changes in the financial projections we may provide to the public, our failure to meet these projections, or changes in recommendations by any securities analysts that elect to follow Class A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additional shares of Class A common stock being sold into the market by us or our existing stockholders or the anticipation of such sales;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price and volume fluctuations in the overall stock market, including as a result of trends in the economy as a whole;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lawsuits threatened or filed against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litigation and other developments relating to our patents or other proprietary rights or those of our competitors;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developments in new legislation and pending lawsuits or regulatory actions, including interim or final rulings by judicial or regulatory bodies;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general economic trends, including changes in the demand for electronics or information technology or geopolitical events such as war or acts of terrorism, or any responses to such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55"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recent years, the stock market in general, and Nasdaq in particular, has experienced extreme price and volume fluctuations that have often been unrelated or disproportionate to changes in the operating performance of the companies whose stock is experiencing those price and volume fluctuations. Further, following periods of volatility in the overall market and the market price of a particular company’s securities, securities class action litigation has often been instituted against these companies. Similar litigation may be instituted against us in the future, which could result in substantial costs and a diversion of our management’s attention and resources.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Few if any companies with stock publicly traded in the United States have effected a STAR Market listing of stock of a mainland China-based subsidiary, and it is therefore difficult to predict the effect of the STAR Listing and STAR IPO on the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China Securities Regulatory Commission initially launched the STAR Market in June 2019 and trading on the Market began in July 2019. In November 2021 ACM Shanghai completed the STAR Listing and the STAR IPO. We believe we are one of the first publicly traded U.S. companies to complete an initial public offering of shares of a mainland China subsidiary on the STAR Market. As a result, no assurance can be given regarding the effect of the STAR Listing and the STAR IPO on the market price of the Class A common stock. The market price of Class A common stock may be volatile or may decline, for reasons other than the risk and uncertainties described above, as the result of investor negativity or uncertainty with respect to the impact of the STAR Listing and STAR IPO.</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Research stockholders were not entitled to purchase ACM Shanghai shares in the pre-STAR Listing placement, and they may have limited opportunities to purchase ACM Shanghai shares now that the STAR Listing and the STAR IPO have been completed. Investors may elect to invest in our business and operations by purchasing ACM Shanghai shares on the STAR Market rather than purchasing ACM Research Class A common stock, and that reduction in demand could lead to a decrease in the market price for the Class A common stock.</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securities or industry analysts do not publish research or reports about us, our business or our market, or if they publish negative evaluations of Class A common stock or the stock of other companies in our industry, the price of our stock and trading volume could decline.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have never paid and do not intend to pay cash dividends and, consequently, your ability to achieve a return on your investment will depend on appreciation in the price of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never declared or paid cash dividends on our capital stock. We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ability to pay dividends on Class A common stock depends significantly on our receiving distributions of funds from our subsidiaries in mainland China. mainland China statutory laws and regulations permit payments of dividends by those subsidiaries only out of their retained earnings, which are determined in accordance with mainland China accounting standards and regulations that differ from U.S. generally accepted accounting principles. Mainland China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In addition, our subsidiaries’ short-term bank loans restrict their ability to pay dividends to us.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dual class structure of common stock has the effect of concentrating voting control with our executive officers and directors, including our Chief Executive Officer and President, which will limit or preclude your ability to influence corporate matters.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Class B common stock has twenty votes per share and Class A common stock has one vote per share. As of February 23, 2024, stockholders who hold shares of Class B common stock, who consist principally of our executive officers,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56"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68" w:before="0" w:after="0"/>
        <w:jc w:val="both"/>
        <w:rPr/>
      </w:pPr>
      <w:r>
        <w:rPr>
          <w:rFonts w:ascii="Times New Roman;sans-serif" w:hAnsi="Times New Roman;sans-serif"/>
          <w:b w:val="false"/>
          <w:color w:val="000000"/>
          <w:sz w:val="20"/>
          <w:shd w:fill="FFFFFF" w:val="clear"/>
        </w:rPr>
        <w:t>employees, directors and their respective affiliates, collectively he</w:t>
      </w:r>
      <w:r>
        <w:rPr>
          <w:rFonts w:ascii="Times New Roman;sans-serif" w:hAnsi="Times New Roman;sans-serif"/>
          <w:b w:val="false"/>
          <w:color w:val="000000"/>
          <w:sz w:val="20"/>
        </w:rPr>
        <w:t>ld 64.2% of</w:t>
      </w:r>
      <w:r>
        <w:rPr>
          <w:color w:val="000000"/>
          <w:shd w:fill="FFFFFF" w:val="clear"/>
        </w:rPr>
        <w:t xml:space="preserve"> </w:t>
      </w:r>
      <w:r>
        <w:rPr>
          <w:rFonts w:ascii="Times New Roman;sans-serif" w:hAnsi="Times New Roman;sans-serif"/>
          <w:b w:val="false"/>
          <w:color w:val="000000"/>
          <w:sz w:val="20"/>
          <w:shd w:fill="FFFFFF" w:val="clear"/>
        </w:rPr>
        <w:t>the voting power of our outstanding capital stock. Because of the twenty-to-one voting ratio between Class B and Class A common stock, holders of Class B common stock collectively will continue to control a majority of the combined voting power of Class A common stock and therefore be able to control all matters submitted to our stockholders for approval so long as the shares of Class B common stock represent at least 4.8% of all outstanding shares of Class A and Class B common stock. This concentrated control will limit or preclude your ability to influence corporate matters for the foreseeable future. This concentrated control could also discourage a potential investor from acquiring Class A common stock due to the limited voting power of such stock relative to the Class B common stock and might harm the market price of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of the market capitalization achieved by Class A common stock during October 2020, our charter no longer contemplates circumstances in which all of the shares of Class B common stock will mandatorily convert into Class A common stock. Instead, all of the Class B common stock generally will convert into Class A common stock only upon the election of the holders of a majority of the then-outstanding shares of Class B common stock, and specific shares of Class B common stock will convert into Class A common stock upon future transfers by the holders of those shares. The potential conversion of Class B common stock to Class A common stock will have the effect, over time, of increasing the relative voting power of those holders of Class B common stock who retain their shares in the long term.</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Delaware law and provisions in our charter and bylaws could make a merger, tender offer or proxy contest difficult, thereby depressing the trading price of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Our charter and bylaws contain provisions that may make the acquisition of our company more difficult, including the following: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dual class common stock structure provides holders of Class B common stock with the ability to control the outcome of matters requiring stockholder approval, even if they own significantly less than a majority of the total number of outstanding shares of Class A and Class B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when the outstanding shares of Class B common stock represent less than a majority of the combined voting power of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amendments to our charter or bylaws will require the approval of two-thirds of the combined vote of our then-outstanding shares of Class A and Class B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vacancies on the board of directors will be able to be filled only by the board and not by stockholders;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board, which currently is not staggered, will be automatically separated into three classes with staggered three-year terms;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directors will only be able to be removed from office for cause;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stockholders will only be able to take action at a meeting and not by written consent;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only our chair, our chief executive officer or a majority of our directors is authorized to call a special meeting of stockholders;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advance notice procedures apply for stockholders to nominate candidates for election as directors or to bring matters before an annual meeting of stockholders;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charter authorizes undesignated preferred stock, the terms of which may be established, and shares of which may be issued, without stockholder approval;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cumulative voting in the election of directors is prohibited.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Delaware corporation, we are also subject to provisions of Delaware law, including Section 203 of the Delaware General Corporation Law, which limits the ability of stockholders holding more than 15% of our outstanding voting stock from engaging in certain business combinations with us. Any provision of our charter or bylaws or Delaware law that has the effect of delaying or deterring a change in control could limit the opportunity for our stockholders to receive a premium for their shares of Class A common stock, and could also affect the price that some investors are willing to pay for Class A common stock.</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charter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charter provides that the Court of Chancery of the State of Delaware will, to the fullest extent permitted by law, be the sole and exclusive forum for: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any derivative action or proceeding brought on our behalf;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57"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any action asserting a claim of breach of a fiduciary duty owed to us, our stockholders, creditors or other constituents by any of our directors, officers, other employees, agents or stockholders;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any action asserting a claim arising under the Delaware General Corporation Law, our charter or bylaws, or as to which the Delaware General Corporation Law confers jurisdiction on the Court of Chancery of the State of Delaware; 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any action asserting a claim that is governed by the internal affairs doctrine.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By becoming a stockholder in our company, you will be deemed to have notice of and have consented to the provisions of our charter related to choice of forum. The choice of forum provision in our charter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charter to be inapplicable or unenforceable in an action, we may incur additional costs associated with resolving such action in other jurisdictions, which could harm our business, results of operations and financial condition.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incur increased costs and demands upon management as a result of complying with the laws and regulations affecting public companies which could adversely affect our business, operating results and financial condition.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public company, we will continue to incur significant legal, accounting and other expenses. We are subject to the reporting requirements of the Securities and Exchange Act, the Sarbanes-Oxley Act, the Dodd-Frank Wall Street Reform and Consumer Protection Act, and the rules and regulations of Nasdaq.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as our executive officers or on the board of directors, particularly to serve on the audit and compensation committees.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our management to perform system and process evaluation and testing to allow it to report on the effectiveness of our internal control over financial reporting.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Investor perceptions of our company may suffer if deficiencies are found, which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Short sellers of our stock may be manipulative and may drive down the market price of our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Short selling is the practice of selling securities that a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stock to decline, some short sellers publish, or arrange for the publication of, opinions or characterizations regarding the relevant issuer, its business prospects and similar matters calculated to or which may create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58"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negative market momentum, which may permit them to obtain profits for themselves as a result of selling the securities short. The use of the Internet, social media, and blogging have allowed short sellers to publicly attack a company’s credibility, strategy and veracity by means of so-called “research reports” that mimic the type of investment analysis performed by legitimate securities research analysts. Issuers with limited trading volumes or substantial retail stockholder bases can be particularly susceptible to higher volatility levels, and can be particularly vulnerable to such short attacks.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Short seller publications are not regulated by any governmental or self-regulatory organization or any other official authority in the United States and are not subject to the certification requirements imposed by the SEC in Regulation Analyst Certification. Accordingly, the opinions they express may be based on distortions of actual facts or, in some cases, outright fabrications. In light of the limited risks involved in publishing such information, and the significant profits that can be made from running successful short attacks, short sellers will likely continue to issue such reports. Short-seller publications may create the appearance or perception of wrongdoing, even when they are not substantiated, and may therefore affect the reputation or perception of our company and management.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While we intend to strongly defend our public filings against any such short seller attacks, in many situations we could be constrained, for example, by principles of freedom of speech, applicable state law or issues of commercial confidentiality, in the manner in which we are able to proceed against the relevant short seller.</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Such short-seller attacks have caused, and may cause in the future, temporary or possibly long term, declines in the market price of Class A common stock and possible litigation initiated against us.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General</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production facilities could be damaged or disrupted by a natural disaster, war, terrorist attacks or other catastrophic events.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manufacturing facilities are subject to risks associated with natural disasters, such as earthquakes, fires, floods tsunami, typhoons and volcanic activity, environmental disasters, health epidemics, and other events beyond our control such as power loss, telecommunications failures, and uncertainties arising out of armed conflicts or terrorist attacks. The frequency and intensity of severe weather events are reportedly increasing throughout the world as part of broader climate changes. Global weather pattern changes may pose long-term risks of physical impacts to our business. A substantial majority of our facilities as well as our research and development personnel are located in mainland China. Any catastrophic loss or significant damage to any of our facilities would likely disrupt our operations, delay production, and adversely affect our product development schedules, shipments and revenue. In addition, any such catastrophic loss or significant damage could result in significant expense to repair or replace the facility and could significantly curtail our research and development efforts in a particular product area or primary market, which could have a material adverse effect on our operations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Cybersecurity Risk Management and Strategy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Identifying and assessing cybersecurity risk is integrated into our overall risk management systems and processes.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risks related to our business, technical operations, privacy and compliance issues are identified and addressed through a multi-faceted approach including third party assessments, internal IT Audit, IT security, governance, risk and compliance reviews. To defend, detect and respond to cybersecurity incidents, we, among other things: conduct proactive privacy and cybersecurity reviews of systems and applications, audit applicable data policies, perform penetration testing using external third-party tools and techniques to test security controls, conduct employee training, monitor emerging laws and regulations related to data protection and information security and implement appropriate changes.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59"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risk management process, we conduct application security assessments, vulnerability management, penetration testing, security audits, and ongoing risk assessments. We also maintain a variety of incident response plans that are utilized when incidents are detected. We require employees with access to information systems, including all corporate employees, to undertake data protection and cybersecurity training and compliance programs.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We describe whether and how risks from cybersecurity threats are reasonably likely to materially affect us, including our financial performance and results of operations, under the heading “Breaches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 </w:t>
      </w:r>
      <w:r>
        <w:rPr>
          <w:rFonts w:ascii="Times New Roman;sans-serif" w:hAnsi="Times New Roman;sans-serif"/>
          <w:b w:val="false"/>
          <w:color w:val="000000"/>
          <w:sz w:val="20"/>
          <w:shd w:fill="FFFFFF" w:val="clear"/>
        </w:rPr>
        <w:t>in Item 1A, “Risk Factors” of Part I of this report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Cybersecurity Governance</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is an important part of our risk management processes. Our Audit Committee is responsible for the oversight of risks from cybersecurity threats. Members of the Audit Committee receive reports of any breaches or developments regarding matters of cybersecurity. This includes existing and new cybersecurity risks, status on how management is addressing and/or mitigating those risks, cybersecurity and data privacy incidents (if any) and status on key information security initiatives. Our Audit Committee and Board members may also engage in ad hoc conversations with management on cybersecurity-related news events and discuss any updates to our cybersecurity risk management and strategy programs.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and strategy processes are overseen by leaders from our Information Security, Product Security, Compliance and Legal teams. Key individuals have an average of over 15 years of prior work experience in various roles involving information technology, including security, auditing, compliance, systems and programming.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and report directly or indirectly to the Audit Committee on any appropriate items.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occupied our current corporate headquarters in Fremont, California, since February 2008, under a lease that, after an amendment in February 2023, now extends through March 31, 2025.</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conduct research and development, service support operations and administrative activities at ACM Shanghai’s headquarters located in the Zhangjiang Hi Tech Park in Shanghai. We have leased this facility since 2007 and our lease currently extends until December 31, 2024. In the year ended December 31, 2023, ACM Shanghai completed its purchase of facilities in the ZhangJiang free trade zone, part of the Pudong district of Shanghai. The facilities consist of four buildings for administrative and R&amp;D office use, and, following the expected move-in in the 2024 timeframe, are intended to serve as the corporate headquarters for ACM Shanghai.</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January 2018, ACM Shanghai entered into an operating lease for a second manufacturing space located in Shanghai, ten miles from its headquarters. The lease covers a total of 103,318 square feet, of which 100,000 square feet are allocated for production. Our lease currently extends until January 15, 2028. In February 2021, ACM Shanghai entered into an operating lease for a second building located adjacent to the above-mentioned second manufacturing space to provide additional manufacturing space. The lease covers approximately 106,076 square feet of which 100,000 square feet are allocated for production. Our lease currently extends until July 15, 2024. In July 2022, ACM Shanghai entered into an operating lease for a third building to provide additional manufacturing and warehousing space.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perform sales support, customer service operations, R&amp;D, and production activities from leased facilities in Jiangyin and Wuxi in mainland China and Icheon in Korea.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May 2020 ACM Shanghai, through its wholly owned subsidiary ACM Shengwei, entered into an agreement for a 50-year land use right in the Lingang region of Shanghai. In July 2020 ACM Shengwei began a multi-year construction project for a new development and production center. The planned 1,000,000 square foot facility will incorporate state-of-the-art manufacturing systems and automation technologies and will provide the floor space to support significantly more production capacity and related research and development activities when fully staffed and supplied.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60"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Lingang facility project, on October 28, 2020, a wholly owned subsidiary of ACM Shengwei entered into Shanghai Public Rental Housing Overall Pre-Sale Contracts with Shanghai Lingang Industrial Zone Public Rental Housing Construction and Operation Management Co., Ltd. for an aggregate price to us of approximately $40 million. ACM Shengwei’s subsidiary received ownership of the apartment units and corresponding land use rights in January 2022 as part of a pilot project of public rental housing in the “rent before sale” park in the Lingang Industrial Zone. The contracts stipulate that, for a ten-year term, ACM Shengwei’s subsidiary is obligated to manage the apartment units for public rental use in accordance with public rental housing standards and must rent the apartment units to employees of ACM Shanghai and its subsidiaries who work in the Lingang Industrial Zone. After that ten-year period expires, ACM Shengwei’s subsidiary may use the apartment units as stock of commercial housing and may sell them separately in sets.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Effective April 1, 2023, we entered an agreement to lease a 10,683 square foot facility in Hillsborough, Oregon beginning April 1, 2023 until August 31, 2030. The facility is being used for our U.S.-based sales and services team to support customer activities in the region.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we may become involved in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 As of December 31, 2023, the Company had no outstanding material legal proceedings, other than ordinary routine litigation incidental to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Information Regarding the Trading of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Class A common stock has traded on NASDAQ Global Market under the symbol “ACMR” since November 3, 2017. The Class B common stock is not listed or traded on any stock exchange.</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Holders of Common Stock</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As of February 23, 2024, there we</w:t>
      </w:r>
      <w:r>
        <w:rPr>
          <w:rFonts w:ascii="Times New Roman;sans-serif" w:hAnsi="Times New Roman;sans-serif"/>
          <w:b w:val="false"/>
          <w:color w:val="000000"/>
          <w:sz w:val="20"/>
        </w:rPr>
        <w:t>re 56,073,205 shares of Class A common stock outstanding held of record by 46 stockholders. The actual number of holders of Class A common stock is substantially greater and includes stockholders who are beneficial owners and whose shares are held of record by banks, brokers, and other financial institutions.</w:t>
      </w:r>
    </w:p>
    <w:p>
      <w:pPr>
        <w:pStyle w:val="TextBody"/>
        <w:bidi w:val="0"/>
        <w:spacing w:lineRule="auto" w:line="288" w:before="240" w:after="283"/>
        <w:jc w:val="both"/>
        <w:rPr/>
      </w:pPr>
      <w:r>
        <w:rPr>
          <w:rFonts w:ascii="Times New Roman;sans-serif" w:hAnsi="Times New Roman;sans-serif"/>
          <w:b w:val="false"/>
          <w:color w:val="000000"/>
          <w:sz w:val="20"/>
        </w:rPr>
        <w:t>As of February 23, 2024, there were 5,021,811 shares of</w:t>
      </w:r>
      <w:r>
        <w:rPr>
          <w:color w:val="000000"/>
          <w:shd w:fill="FFFFFF" w:val="clear"/>
        </w:rPr>
        <w:t xml:space="preserve"> </w:t>
      </w:r>
      <w:r>
        <w:rPr>
          <w:rFonts w:ascii="Times New Roman;sans-serif" w:hAnsi="Times New Roman;sans-serif"/>
          <w:b w:val="false"/>
          <w:color w:val="000000"/>
          <w:sz w:val="20"/>
          <w:shd w:fill="FFFFFF" w:val="clear"/>
        </w:rPr>
        <w:t>Class B common stock held of record by 16 stockholders.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Authorized for Issuance Under Equity Compensation Plans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required by this item will be set forth in the definitive proxy statement we will file in connection with our 2024 Annual Meeting of Stockholders and is incorporated by reference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61"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53</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Sales of Unregistered Securities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During the three months ended December 31, 2023, ACM Research issued, pursuant to the exercise of stock options at a per share exercise price</w:t>
      </w:r>
      <w:r>
        <w:rPr>
          <w:color w:val="000000"/>
        </w:rPr>
        <w:t xml:space="preserve"> </w:t>
      </w:r>
      <w:r>
        <w:rPr>
          <w:rFonts w:ascii="Times New Roman;sans-serif" w:hAnsi="Times New Roman;sans-serif"/>
          <w:b w:val="false"/>
          <w:color w:val="000000"/>
          <w:sz w:val="20"/>
        </w:rPr>
        <w:t>of $0.50 per s</w:t>
      </w:r>
      <w:r>
        <w:rPr>
          <w:rFonts w:ascii="Times New Roman;sans-serif" w:hAnsi="Times New Roman;sans-serif"/>
          <w:b w:val="false"/>
          <w:color w:val="000000"/>
          <w:sz w:val="20"/>
          <w:shd w:fill="FFFFFF" w:val="clear"/>
        </w:rPr>
        <w:t>hare, an aggrega</w:t>
      </w:r>
      <w:r>
        <w:rPr>
          <w:rFonts w:ascii="Times New Roman;sans-serif" w:hAnsi="Times New Roman;sans-serif"/>
          <w:b w:val="false"/>
          <w:color w:val="000000"/>
          <w:sz w:val="20"/>
        </w:rPr>
        <w:t xml:space="preserve">te of 235,581 shares of </w:t>
      </w:r>
      <w:r>
        <w:rPr>
          <w:rFonts w:ascii="Times New Roman;sans-serif" w:hAnsi="Times New Roman;sans-serif"/>
          <w:b w:val="false"/>
          <w:color w:val="000000"/>
          <w:sz w:val="20"/>
          <w:shd w:fill="FFFFFF" w:val="clear"/>
        </w:rPr>
        <w:t>Class A common stock that were not registered under the Securities Act of 1933. We believe the offer and sale of those shares were exempt from registration under the Securities Act of 1933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 The recipients of the shares were accredited investors under Rule 501 of Regulation D.</w:t>
      </w:r>
    </w:p>
    <w:tbl>
      <w:tblPr>
        <w:tblW w:w="2893" w:type="dxa"/>
        <w:jc w:val="left"/>
        <w:tblInd w:w="0" w:type="dxa"/>
        <w:tblLayout w:type="fixed"/>
        <w:tblCellMar>
          <w:top w:w="28" w:type="dxa"/>
          <w:left w:w="28" w:type="dxa"/>
          <w:bottom w:w="28" w:type="dxa"/>
          <w:right w:w="28" w:type="dxa"/>
        </w:tblCellMar>
      </w:tblPr>
      <w:tblGrid>
        <w:gridCol w:w="623"/>
        <w:gridCol w:w="545"/>
        <w:gridCol w:w="556"/>
        <w:gridCol w:w="342"/>
        <w:gridCol w:w="342"/>
        <w:gridCol w:w="485"/>
      </w:tblGrid>
      <w:tr>
        <w:trPr/>
        <w:tc>
          <w:tcPr>
            <w:tcW w:w="62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Sale Date</w:t>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Exercised </w:t>
              <w:br/>
              <w:t>Shares (Net)</w:t>
            </w:r>
          </w:p>
        </w:tc>
      </w:tr>
      <w:tr>
        <w:trPr/>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November 3, 2023</w:t>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26,821</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14, 2023</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174,776</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14, 2023</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33,984</w:t>
            </w:r>
          </w:p>
        </w:tc>
      </w:tr>
      <w:tr>
        <w:trPr/>
        <w:tc>
          <w:tcPr>
            <w:tcW w:w="1724"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c>
          <w:tcPr>
            <w:tcW w:w="11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235,581</w:t>
            </w:r>
          </w:p>
        </w:tc>
      </w:tr>
    </w:tbl>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Performance Graph</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graph compares the total return of an investment of $100 in cash at the closing price of November 3, 2017, which is the date our common stock first began trading on Nasdaq, through December 31, 2023 for (1) our common stock, (2) the Russell 1000 index, and (3) the Nasdaq Composite Index. All values assume reinvestment of all dividends. Stockholder returns over the indicated period are based on historical data and are not necessarily indicative of future stockholder returns.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COMPARISON OF 5 YEAR CUMULATIVE TOTAL RETURN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Among ACM Research, Inc., the Nasdaq Index, and the Russell 1000 Index</w:t>
      </w:r>
    </w:p>
    <w:p>
      <w:pPr>
        <w:pStyle w:val="TextBody"/>
        <w:bidi w:val="0"/>
        <w:spacing w:before="0" w:after="0"/>
        <w:jc w:val="center"/>
        <w:rPr/>
      </w:pPr>
      <w:r>
        <w:rPr/>
        <w:drawing>
          <wp:inline distT="0" distB="0" distL="0" distR="0">
            <wp:extent cx="6286500" cy="1933575"/>
            <wp:effectExtent l="0" t="0" r="0" b="0"/>
            <wp:docPr id="6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9" descr=""/>
                    <pic:cNvPicPr>
                      <a:picLocks noChangeAspect="1" noChangeArrowheads="1"/>
                    </pic:cNvPicPr>
                  </pic:nvPicPr>
                  <pic:blipFill>
                    <a:blip r:embed="rId10"/>
                    <a:stretch>
                      <a:fillRect/>
                    </a:stretch>
                  </pic:blipFill>
                  <pic:spPr bwMode="auto">
                    <a:xfrm>
                      <a:off x="0" y="0"/>
                      <a:ext cx="6286500" cy="19335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drawing>
          <wp:inline distT="0" distB="0" distL="0" distR="0">
            <wp:extent cx="6286500" cy="609600"/>
            <wp:effectExtent l="0" t="0" r="0" b="0"/>
            <wp:docPr id="6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0" descr=""/>
                    <pic:cNvPicPr>
                      <a:picLocks noChangeAspect="1" noChangeArrowheads="1"/>
                    </pic:cNvPicPr>
                  </pic:nvPicPr>
                  <pic:blipFill>
                    <a:blip r:embed="rId11"/>
                    <a:stretch>
                      <a:fillRect/>
                    </a:stretch>
                  </pic:blipFill>
                  <pic:spPr bwMode="auto">
                    <a:xfrm>
                      <a:off x="0" y="0"/>
                      <a:ext cx="6286500" cy="6096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following discussion and analysis should be read in conjunction with the audited consolidated financial statements and related notes included in this report. In addition to historical information, the following discussion contains forward-looking statements that involves risks, uncertainties and assumptions. See “Forward-Looking Statements and Statistical Data” at page 3 of this report. Please read “Item 1A. Risk Factors” for a discussion of factors that could cause our actual results to differ materially from our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64"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Research was incorporated in California in 1998 and redomesticated in Delaware in 2016. We perform strategic planning, marketing, and financial activities at our global corporate headquarters in Fremont, California. ACM Research is neither a mainland China operating company nor do we conduct our operations in mainland China through the use of VIEs.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DRAM 3D NAND-flash memory chips, power semiconductor and compound semiconductor chips. We also develop, manufacture and sell a range of advanced packaging tools to wafer assembly and packaging customers.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focused on building a strategic portfolio of intellectual property to support and protect our key innovations. Our tools have been developed using our key proprietary technologies: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SAPS technology for flat and patterned wafer surfaces</w:t>
      </w:r>
      <w:r>
        <w:rPr>
          <w:rFonts w:ascii="Times New Roman;sans-serif" w:hAnsi="Times New Roman;sans-serif"/>
          <w:b w:val="false"/>
          <w:color w:val="000000"/>
          <w:sz w:val="20"/>
          <w:shd w:fill="FFFFFF" w:val="clear"/>
        </w:rPr>
        <w:t>, which employs alternating phases of megasonic waves to deliver megasonic energy in a highly uniform manner on a microscopic level;</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TEBO technology for patterned wafer surfaces at advanced process nodes</w:t>
      </w:r>
      <w:r>
        <w:rPr>
          <w:rFonts w:ascii="Times New Roman;sans-serif" w:hAnsi="Times New Roman;sans-serif"/>
          <w:b w:val="false"/>
          <w:color w:val="000000"/>
          <w:sz w:val="20"/>
          <w:shd w:fill="FFFFFF" w:val="clear"/>
        </w:rPr>
        <w:t>, which provides effective, damage-free cleaning for 2D and 3D patterned wafers with fine feature sizes;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Tahoe technology for cost and environmental savings</w:t>
      </w:r>
      <w:r>
        <w:rPr>
          <w:rFonts w:ascii="Times New Roman;sans-serif" w:hAnsi="Times New Roman;sans-serif"/>
          <w:b w:val="false"/>
          <w:color w:val="000000"/>
          <w:sz w:val="20"/>
          <w:shd w:fill="FFFFFF" w:val="clear"/>
        </w:rPr>
        <w:t>, which delivers high cleaning performance using significantly less sulfuric acid and hydrogen peroxide than is typically consumed by conventional high-temperature single-wafer cleaning tools;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i/>
          <w:color w:val="000000"/>
          <w:sz w:val="20"/>
          <w:shd w:fill="FFFFFF" w:val="clear"/>
        </w:rPr>
        <w:t>ECP technology for advanced metal plating</w:t>
      </w:r>
      <w:r>
        <w:rPr>
          <w:rFonts w:ascii="Times New Roman;sans-serif" w:hAnsi="Times New Roman;sans-serif"/>
          <w:b w:val="false"/>
          <w:color w:val="000000"/>
          <w:sz w:val="20"/>
          <w:shd w:fill="FFFFFF" w:val="clear"/>
        </w:rPr>
        <w:t>, which includes Ultra ECP ap, or Advanced Packaging, technology for back-end assembly processes, Ultra ECP 3d for through-silicon-via, or tsv, and Ultra ECP map, or Multi-Anode Partial Plating, technology for front-end wafer fabrication processes.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2021, 2022 and 2023 we introduced and delivered a range of new tools intended to broaden our revenue opportunity with global semiconductor manufacturers. Product extensions include the Ultra SFP ap tool for advanced packaging solutions, the Ultra C VI 18-chamber single wafer cleaning tool for advanced memory devices, and the Ultra ECP 3d platform for through-silicon-via, or tsv, application. New product lines include the Ultra fn Furnace, our first dry processing tool, and a suite of semi-critical cleaning systems which include single wafer back side cleaning, scrubber, and auto bench cleaning tools.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added two major new product categories </w:t>
      </w:r>
      <w:r>
        <w:rPr>
          <w:rFonts w:ascii="Times New Roman;sans-serif" w:hAnsi="Times New Roman;sans-serif"/>
          <w:b w:val="false"/>
          <w:color w:val="000000"/>
          <w:sz w:val="20"/>
        </w:rPr>
        <w:t>in 2022 with the launch of the Ultra Pmax™ PECVD tool, which is equipped with a proprietary designed chamber, gas distribution</w:t>
      </w:r>
      <w:r>
        <w:rPr>
          <w:color w:val="000000"/>
          <w:shd w:fill="FFFFFF" w:val="clear"/>
        </w:rPr>
        <w:t xml:space="preserve"> </w:t>
      </w:r>
      <w:r>
        <w:rPr>
          <w:rFonts w:ascii="Times New Roman;sans-serif" w:hAnsi="Times New Roman;sans-serif"/>
          <w:b w:val="false"/>
          <w:color w:val="000000"/>
          <w:sz w:val="20"/>
          <w:shd w:fill="FFFFFF" w:val="clear"/>
        </w:rPr>
        <w:t>unit and chuck, and is intended to provide better film uniformity, reduced film stress, and improved particle performance, and the introduction of the Ultra Track tool, a 300mm process tool that delivers uniform air downflow, fast robot handling and customizable software to address specific customer requirements, and has multiple features that enhance performance across defectivity, throughput, and cost of ownership.</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We conduct a substantial majority of our product development, manufacturing, support and services in mainland China, with additional product development and subsystem production in Korea. Substantially all of our integrated tools are built to order at our manufacturing facilities in the Pudong region of Shanghai, which now encompass a tota</w:t>
      </w:r>
      <w:r>
        <w:rPr>
          <w:rFonts w:ascii="Times New Roman;sans-serif" w:hAnsi="Times New Roman;sans-serif"/>
          <w:b w:val="false"/>
          <w:color w:val="000000"/>
          <w:sz w:val="20"/>
        </w:rPr>
        <w:t>l of 236,000 squ</w:t>
      </w:r>
      <w:r>
        <w:rPr>
          <w:rFonts w:ascii="Times New Roman;sans-serif" w:hAnsi="Times New Roman;sans-serif"/>
          <w:b w:val="false"/>
          <w:color w:val="000000"/>
          <w:sz w:val="20"/>
          <w:shd w:fill="FFFFFF" w:val="clear"/>
        </w:rPr>
        <w:t>are feet of floor space for production capacity, with 100,000 square feet having been added in 2021 with the lease of a second building in the Pudong region of Shanghai. In May 2020 ACM Shanghai, through its wholly owned subsidiary ACM Shengwei, entered into an agreement for a land use right in the Lingang region of Shanghai. In 2020 ACM Shengwei began a multi-year construction project for a new 1,000,000 square foot development and production center that will incorporate state-of-the-art manufacturing systems and automation technologies and will provide floor space to support significantly increased production capacity and related R&amp;D activities. We expect to complete construction of the first Lingang manufacturing building and commence initial production</w:t>
      </w:r>
      <w:r>
        <w:rPr>
          <w:color w:val="000000"/>
        </w:rPr>
        <w:t xml:space="preserve"> </w:t>
      </w:r>
      <w:r>
        <w:rPr>
          <w:rFonts w:ascii="Times New Roman;sans-serif" w:hAnsi="Times New Roman;sans-serif"/>
          <w:b w:val="false"/>
          <w:color w:val="000000"/>
          <w:sz w:val="20"/>
        </w:rPr>
        <w:t>in the first half of 2024 timeframe. See “I</w:t>
      </w:r>
      <w:r>
        <w:rPr>
          <w:rFonts w:ascii="Times New Roman;sans-serif" w:hAnsi="Times New Roman;sans-serif"/>
          <w:b w:val="false"/>
          <w:color w:val="000000"/>
          <w:sz w:val="20"/>
          <w:shd w:fill="FFFFFF" w:val="clear"/>
        </w:rPr>
        <w:t>tem 2. Properties” of Part I of this report.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experience has shown that chip manufacturers in mainland China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Tahoe, ECP, furnace, PECVD, Track, and other technologies, and enable us to design innovative products and solutions to address their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65"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Independent Registered Public Accounting Firm</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U.S. Holding Foreign Companies Accountable Act, or the HFCA Act, requires that the Public Company Accounting Oversight Board, or the PCAOB, determine whether it is unable to inspect or investigate completely registered public accounting firms located in a non-U.S. jurisdiction because of a position taken by one or more authorities in any non-U.S. jurisdiction. BDO China Shu Lun Pan Certified Public Accountants LLP, or BDO China, had been our independent registered public accounting firm in recent years, including for the year ended December 31, 2021. On June 22, 2021, the U.S. Senate passed the Accelerating Holding Foreign Companies Accountable Act, which was enacted on December 29, 2022 under the Consolidated Appropriations Act, 2023, as further described below. On December 16, 2021, the PCAOB reported its determination that it was unable to inspect or investigate completely registered public accounting firms headquartered in mainland China and Hong Kong, including BDO China, because of positions taken by mainland China authorities in those jurisdictions. On March 30, 2022, based on this determination, ACM Research was transferred to the SEC’s “Conclusive list of issuers identified under the HFCAA.” See “Item 1A. Risk Factors—Risks Related to International Aspects of Our Business—We could be adversely affected if we are unable to comply with recent and proposed legislation and regulations regarding improved access to audit and other information and audit inspections of accounting firms operating in mainland China” of this report for more information. Under current regulations, if ACM Research were to be included on this list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December 15, 2022, the PCAOB announced that it was able to secure complete access to inspect and investigate PCAOB-registered public accounting firms headquartered in mainland China and Hong Kong in 2022 and vacated its previous December 16, 2021 determination to the contrary. However, whether the PCAOB will continue to be able to satisfactorily conduct inspections of PCAOB-registered public accounting firms headquartered in mainland China and Hong Kong is subject to uncertainty and depends on a number of factors out of our, and our auditor’s, control. mainland China authorities will need to ensure that the PCAOB continues to have full access for inspections and investigations in 2023 and beyond. Each year, the PCAOB will determine whether it can inspect and investigate completely audit firms in mainland China and Hong Kong, among other jurisdictions. If the mainland China authorities do not allow the PCAOB complete access for inspections and investigations for two consecutive years, the SEC would prohibit trading in the securities of issuers engaging those audit firms, as required under the HFCA Act. Further, on December 29, 2022, the Consolidated Appropriations Act, 2023, was signed into law by U.S. President Biden, which, among other things, amended the HFCA Act to reduce the number of consecutive non-inspection years that would trigger the trading prohibition under the HFCA Act from three years to two years (originally such threshold under the HFCA Act was three consecutive years), and so that any foreign jurisdiction could be the reason why the PCAOB does not have complete access to inspect or investigate a company’s public accounting firm (originally the HFCA Act only applied if the PCAOB’s ability to inspect or investigate was due to a position taken by an authority in the jurisdiction where the relevant public accounting firm was located).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and June 15, 2023, stockholders of ACM Research ratified the appointment of Armanino as our independent auditor for the years ended December 31, 2022 and 2023, respectively. Armanino was neither headquartered in mainland China or Hong Kong nor was it subject to the determinations announced by the PCAOB on December 16, 2021, which determinations were vacated by the PCAOB on December 15, 2022. On July 21, 2023, we were informed by Armanino, that Armanino would resign as our independent auditor effective as of the earlier of (a) the date we engaged a new independent registered public accounting firm or (b) the filing of our Quarterly Report on Form 10-Q for the fiscal quarter ended September 30, 2023.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14, 2023, the Audit Committee completed a competitive selection process to select and appoint a new accounting firm to serve as our independent registered public accounting firm commencing with the audit of our financial statements for the fiscal year ended December 31, 2023. As a result of this process, the Audit Committee approved the engagement of E&amp;Y as our independent registered public accounting firm for the fiscal year ended December 31, 2023. The engagement of E&amp;Y became effective on September 20, 2023. E&amp;Y is a PCAOB-registered firm that is headquartered in mainland China; however, we do not believe ACM Research will appear on the “Conclusive list of issuers identified under the HFCAA” for a second consecutive time, as the determinations announced by the PCAOB on December 16, 2021 were vacated by the PCAOB on December 15,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66"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STAR Listing and IPO</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18, 2021, ACM’s operating subsidiary ACM Shanghai completed:</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shd w:fill="FFFFFF" w:val="clear"/>
        </w:rPr>
        <w:t>a listing, which we refer to as the STAR Listing, of shares of ACM Shanghai on the Shanghai Stock Exchange’s SciTech innovAtion boaRd, known as the STAR Market;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 concurrent initial public offering, which we refer to as the STAR IPO, of ACM Shanghai shares in mainland China, at a pre-offering valuation of not less than RMB 5.15 billion ($747.1 million).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Following the completion of the STAR IPO, ACM Shanghai’s shares began trading on the STAR Market under the stock code 688082. In the STAR IPO, ACM Shanghai issued 43,355,753 shares, representing ten percent of the total 433,557,100 shares outstanding after the STAR IPO. The shares were issued at a public offering price of RMB 85.00 per share, and the proceeds of the STAR IPO totaled approximately $545.5 million, net of fees and expenses. Upon completion of the STAR IPO, ACM owned approximately 82.5% of the outstanding ACM Shanghai shares. However, in May 2023, ACM's ownership declined to 82.1% due to the exercise of 2,150,309 stock options related to ACM Shanghai shares (note 18).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the STAR Listing will continue to help scale our business in mainland China, and we continue to seek to broaden our markets in Europe, Japan, Korea, Taiwan and the United States. Our global headquarters are located in Fremont, California, and we are committed to maintaining the listing of Class A common stock on the Nasdaq Global Market.</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Shanghai Dividend</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year ended December 31, 2023, ACM Shanghai paid a dividend to the stockholders of ACM Shanghai (including ACM Research) in the amount of RMB 0.372 per share for an aggregate total of RMB 161.28 million ($22.2 million). </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Restrictions Imposed by the U.S. Department of Commerce on mainland China-Based Semiconductor Producers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early October 2022 the U.S. government enacted new rules aimed at restricting U.S. support for mainland China’s ability to manufacture advanced semiconductors. The rules included new export license requirements for exports, re-exports or transfers to or within mainland China of additional types of semiconductor manufacturing items, items for use in manufacturing designated types of semiconductor manufacturing equipment in mainland China, and semiconductor manufacturing equipment for use at certain IC manufacturing and development facilities in mainland China. In addition, the U.S. government imposed new restrictions by which U.S. persons anywhere in the world are effectively barred from engaging in certain activities related to the development and production of certain semiconductors at mainland China fabrication facilities meeting specified criteria, even if no items subject to the U.S. Export Administration Regulations (EAR) are involved. These restrictions were later updated to extend to Macau.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October 2023, the U.S. government revised and expanded the October 2022 controls with the release of additional rules. While the release primarily clarified the October 2022 regulations, certain changes have the potential to be more significant. In particular, the U.S. government expanded license requirements on additional types of semiconductors, semiconductor manufacturing items, and items for use in manufacturing certain types of semiconductor manufacturing equipment, and also expanded the scope to include additional countries beyond mainland China and Macau.</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ACM Shanghai has determined that several of its customers have mainland China-based facilities that meet the restricted criteria set out in the October 2022 and October 2023 rules, and has also determined that several of its products, and/or components for its products, may meet the parameters of export control classification numbers, or ECCNs, affected by the restrictions. ACM and ACM Shanghai have implemented modifications to their existing business policies and practices in response to the October 2022 restrictions, including by imposing limitations on the activities of their U.S. persons and undertaking measures in connection with their supply chains more broadly to comply with the new regulations. </w:t>
      </w:r>
      <w:r>
        <w:rPr>
          <w:rFonts w:ascii="Times New Roman;sans-serif" w:hAnsi="Times New Roman;sans-serif"/>
          <w:b w:val="false"/>
          <w:color w:val="000000"/>
          <w:sz w:val="20"/>
        </w:rPr>
        <w:t>ACM Shanghai is continuing to assess the impact of the October 2023 changes, together with the October 2022 rules, and will continually adjust or modify its policies and practices as required to comply with these or other related updates. Bas</w:t>
      </w:r>
      <w:r>
        <w:rPr>
          <w:rFonts w:ascii="Times New Roman;sans-serif" w:hAnsi="Times New Roman;sans-serif"/>
          <w:b w:val="false"/>
          <w:color w:val="000000"/>
          <w:sz w:val="20"/>
          <w:shd w:fill="FFFFFF" w:val="clear"/>
        </w:rPr>
        <w:t>ed on our ongoing review, we believe these regulations may directly impact ACM Shanghai’s ability to meet its future production plans, or indirectly impact the spending plans of ACM Shanghai’s customer base. ACM may not be able to import, or may face substantial restrictions in importing, certain parts from the United States or parts subject to U.S. export controls from outside the United States to support tool shipments to such facilities, or to be embedded into tools defined by affected ECCNs.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67"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and ACM Shanghai believe that as a result of the October 2022 and October 2023 restrictions, several ACM Shanghai customers have significantly reduced production and related capital spending at facilities meeting the restricted advanced node capabilities. In addition, ACM Shanghai has experienced challenges as the companies in its supply chain adapt their policies to the new regulations. These factors had an adverse impact on ACM Shanghai’s shipments and sales for the twelve months ended December 30, 2023.</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twelve months ended December 30, 2023, two prominent exporters of advanced semiconductor manufacturing equipment, the Netherlands and Japan, announced and began to implement plans to join the United States in imposing semiconductor-focused export controls.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On May 23, 2023, the Japanese government issued the final amendment to an ordinance implementing new export controls to require licensing for export of certain advanced semiconductor manufacturing equipment, effective as of July 23, 2023.</w:t>
      </w:r>
      <w:r>
        <w:rPr>
          <w:color w:val="000000"/>
        </w:rPr>
        <w:t xml:space="preserve"> </w:t>
      </w:r>
      <w:r>
        <w:rPr>
          <w:rFonts w:ascii="Times New Roman;sans-serif" w:hAnsi="Times New Roman;sans-serif"/>
          <w:b w:val="false"/>
          <w:color w:val="000000"/>
          <w:sz w:val="20"/>
        </w:rPr>
        <w:t>The amendment expands the scope of export controls to prohibit (1) exporting twenty-three additional categories of items relating to semiconductor manufacturing and (2) providing technology relating to manufacturing, development or use of these categories of items, in both cases, without an advance license.</w:t>
      </w:r>
      <w:r>
        <w:rPr>
          <w:color w:val="000000"/>
        </w:rPr>
        <w:t xml:space="preserve"> </w:t>
      </w:r>
      <w:r>
        <w:rPr>
          <w:rFonts w:ascii="Times New Roman;sans-serif" w:hAnsi="Times New Roman;sans-serif"/>
          <w:b w:val="false"/>
          <w:color w:val="000000"/>
          <w:sz w:val="20"/>
        </w:rPr>
        <w:t>While the expanded export controls apply to exports to any jurisdiction, exports to certain jurisdictions, such as the United States, are expected to be permitted by certain types of broad general licenses. However, it remains to be seen whether the Japanese government will authorize any exports of these items to mainland China by a limited general license or specific license, if at all.</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On June 30, 2023, the Government of the Netherlands published additional export control measures for advanced semiconductor manufacturing equipment. The Regulation on Advanced Semiconductor Manufacturing Equipment took effect on September 1, 2023. From that point on, the export of certain advanced semiconductor manufacturing equipment, as specified in the</w:t>
      </w:r>
      <w:r>
        <w:rPr>
          <w:color w:val="000000"/>
        </w:rPr>
        <w:t xml:space="preserve"> </w:t>
      </w:r>
      <w:r>
        <w:rPr>
          <w:rFonts w:ascii="Times New Roman;sans-serif" w:hAnsi="Times New Roman;sans-serif"/>
          <w:b w:val="false"/>
          <w:color w:val="000000"/>
          <w:sz w:val="20"/>
        </w:rPr>
        <w:t>Annex to the Regulation</w:t>
      </w:r>
      <w:r>
        <w:rPr>
          <w:rFonts w:ascii="Arial;sans-serif" w:hAnsi="Arial;sans-serif"/>
          <w:b w:val="false"/>
          <w:color w:val="000000"/>
          <w:sz w:val="24"/>
        </w:rPr>
        <w:t xml:space="preserve">, </w:t>
      </w:r>
      <w:r>
        <w:rPr>
          <w:rFonts w:ascii="Times New Roman;sans-serif" w:hAnsi="Times New Roman;sans-serif"/>
          <w:b w:val="false"/>
          <w:color w:val="000000"/>
          <w:sz w:val="20"/>
        </w:rPr>
        <w:t>has been subject to a national export license authorization requirement by the Dutch Central Import and Export Service.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of the new restrictions imposed by the Japanese and Dutch governments, ACM Shanghai and/or several of its customers in mainland China may be impacted by, and required to reduce their production capabilities due to, the lack of, or reduced, ability to source items relating to semiconductor manufacturing from Japan and the Netherlands.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“Part II. Item 1A – Risk Factors – Regulatory Risks – Our ability to sell our tools to customers in mainland China has been impacted, and will likely continue to be materially and adversely impacted, by export license requirements, other regulatory changes, or other actions taken by the U.S. or other governmental agencies”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Key Components of Results of Operations</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develop, manufacture and sell innovative capital equipment to the global semiconductor industry. Since we sell tools to a small number of customers and we customize those tools to fulfill the customers’ specific requirements, our revenue generation fluctuates, depending on the length of the sales, development and evaluation phases:</w:t>
      </w:r>
    </w:p>
    <w:p>
      <w:pPr>
        <w:pStyle w:val="TextBody"/>
        <w:bidi w:val="0"/>
        <w:spacing w:lineRule="auto" w:line="288" w:before="0" w:after="0"/>
        <w:ind w:left="0" w:right="0" w:hanging="540"/>
        <w:jc w:val="both"/>
        <w:rPr/>
      </w:pPr>
      <w:r>
        <w:rPr>
          <w:color w:val="000000"/>
          <w:shd w:fill="FFFFFF" w:val="clear"/>
        </w:rPr>
        <w:t>•</w:t>
      </w:r>
      <w:r>
        <w:rPr>
          <w:rFonts w:ascii="Times New Roman;sans-serif" w:hAnsi="Times New Roman;sans-serif"/>
          <w:b w:val="false"/>
          <w:i/>
          <w:color w:val="000000"/>
          <w:sz w:val="20"/>
          <w:shd w:fill="FFFFFF" w:val="clear"/>
        </w:rPr>
        <w:t>Sales and Development.</w:t>
      </w:r>
      <w:r>
        <w:rPr>
          <w:color w:val="000000"/>
          <w:shd w:fill="FFFFFF" w:val="clear"/>
        </w:rPr>
        <w:t xml:space="preserve"> </w:t>
      </w:r>
      <w:r>
        <w:rPr>
          <w:rFonts w:ascii="Times New Roman;sans-serif" w:hAnsi="Times New Roman;sans-serif"/>
          <w:b w:val="false"/>
          <w:color w:val="000000"/>
          <w:sz w:val="20"/>
          <w:shd w:fill="FFFFFF" w:val="clear"/>
        </w:rPr>
        <w:t>During the sale process we may, depending on a prospective customer’s specifications and requirements, need to perform additional research, development and testing to establish that a tool can meet the prospective customer’s requirements. Sales cycles for orders that require limited customization and do not require that we develop new technology usually take from 6 to 12 months, while the product life cycle, including the initial design, demonstration and final assembly phases, for orders requiring development and testing of new technologies can take as long as 2 to 4 years. As we expand our customer base, we expect to gain more repeat purchase orders for tools that we have already developed and tested, which we believe will reduce the need for a demonstration phase and shorten the development cycle.</w:t>
      </w:r>
    </w:p>
    <w:p>
      <w:pPr>
        <w:pStyle w:val="TextBody"/>
        <w:bidi w:val="0"/>
        <w:spacing w:lineRule="auto" w:line="288" w:before="0" w:after="0"/>
        <w:ind w:left="0" w:right="0" w:hanging="540"/>
        <w:jc w:val="both"/>
        <w:rPr/>
      </w:pPr>
      <w:r>
        <w:rPr>
          <w:color w:val="000000"/>
          <w:shd w:fill="FFFFFF" w:val="clear"/>
        </w:rPr>
        <w:t>•</w:t>
      </w:r>
      <w:r>
        <w:rPr>
          <w:rFonts w:ascii="Times New Roman;sans-serif" w:hAnsi="Times New Roman;sans-serif"/>
          <w:b w:val="false"/>
          <w:i/>
          <w:color w:val="000000"/>
          <w:sz w:val="20"/>
          <w:shd w:fill="FFFFFF" w:val="clear"/>
        </w:rPr>
        <w:t xml:space="preserve">Evaluation Periods. </w:t>
      </w:r>
      <w:r>
        <w:rPr>
          <w:rFonts w:ascii="Times New Roman;sans-serif" w:hAnsi="Times New Roman;sans-serif"/>
          <w:b w:val="false"/>
          <w:color w:val="000000"/>
          <w:sz w:val="20"/>
          <w:shd w:fill="FFFFFF" w:val="clear"/>
        </w:rPr>
        <w:t>When a chip manufacturer proposes to purchase a particular type of tool from us for the first time, we offer the manufacturer an opportunity to evaluate the tool for a period that can extend for 24 months or longer. In some cases, we do not receive any payment on first-time purchases until the tool is accepted. As a result, we may spend more than $2.0 million to produce a tool without receiving payment for more than 24 months or, if the tool is not accepted, without receiving any payment. Please see “Item 1A. Risk Factors—Risks Related to Our Business and Our Industry—We may incur significant expenses long before we can recognize revenue from new products, if at all, due to the costs and length of research, development, manufacturing and customer evaluation process cycles.”</w:t>
      </w:r>
    </w:p>
    <w:p>
      <w:pPr>
        <w:pStyle w:val="TextBody"/>
        <w:bidi w:val="0"/>
        <w:spacing w:lineRule="auto" w:line="288" w:before="0" w:after="0"/>
        <w:ind w:left="0" w:right="0" w:hanging="540"/>
        <w:jc w:val="both"/>
        <w:rPr/>
      </w:pPr>
      <w:r>
        <w:rPr>
          <w:color w:val="000000"/>
          <w:shd w:fill="FFFFFF" w:val="clear"/>
        </w:rPr>
        <w:t>•</w:t>
      </w:r>
      <w:r>
        <w:rPr>
          <w:rFonts w:ascii="Times New Roman;sans-serif" w:hAnsi="Times New Roman;sans-serif"/>
          <w:b w:val="false"/>
          <w:i/>
          <w:color w:val="000000"/>
          <w:sz w:val="20"/>
          <w:shd w:fill="FFFFFF" w:val="clear"/>
        </w:rPr>
        <w:t xml:space="preserve">Purchase Orders. </w:t>
      </w:r>
      <w:r>
        <w:rPr>
          <w:rFonts w:ascii="Times New Roman;sans-serif" w:hAnsi="Times New Roman;sans-serif"/>
          <w:b w:val="false"/>
          <w:color w:val="000000"/>
          <w:sz w:val="20"/>
          <w:shd w:fill="FFFFFF" w:val="clear"/>
        </w:rPr>
        <w:t xml:space="preserve">In accordance with industry practice, sales of our tools are made pursuant to purchase orders. Each purchase order from a customer for one of our tools contains specific technical requirements intended to ensure, among other things, that the tool will be compatible with the customer’s manufacturing process line. Until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68"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58</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purchase order is received, we do not have a binding purchase commitment. Some of our customers to date have provided us with non-binding one- to two-year forecasts of their anticipated demands, and we expect future customers to furnish similar non-binding forecasts for planning purposes. Any of those forecasts would be subject to change, however, by the customer at any time, without notice to us.</w:t>
      </w:r>
    </w:p>
    <w:p>
      <w:pPr>
        <w:pStyle w:val="TextBody"/>
        <w:bidi w:val="0"/>
        <w:spacing w:lineRule="auto" w:line="288" w:before="0" w:after="0"/>
        <w:ind w:left="0" w:right="0" w:hanging="540"/>
        <w:jc w:val="both"/>
        <w:rPr/>
      </w:pPr>
      <w:r>
        <w:rPr>
          <w:color w:val="000000"/>
          <w:shd w:fill="FFFFFF" w:val="clear"/>
        </w:rPr>
        <w:t>•</w:t>
      </w:r>
      <w:r>
        <w:rPr>
          <w:rFonts w:ascii="Times New Roman;sans-serif" w:hAnsi="Times New Roman;sans-serif"/>
          <w:b w:val="false"/>
          <w:i/>
          <w:color w:val="000000"/>
          <w:sz w:val="20"/>
          <w:shd w:fill="FFFFFF" w:val="clear"/>
        </w:rPr>
        <w:t xml:space="preserve">Fulfillment. </w:t>
      </w:r>
      <w:r>
        <w:rPr>
          <w:rFonts w:ascii="Times New Roman;sans-serif" w:hAnsi="Times New Roman;sans-serif"/>
          <w:b w:val="false"/>
          <w:color w:val="000000"/>
          <w:sz w:val="20"/>
          <w:shd w:fill="FFFFFF" w:val="clear"/>
        </w:rPr>
        <w:t>We seek to obtain a purchase order for a tool from three to four months in advance of the expected delivery date. Depending upon the nature of a customer’s specifications, the lead time for production of a tool generally will extend from two to four months. The lead-time can be more than six months, however, and in some cases, we may need to begin producing a tool based on a customer’s non-binding forecast, rather than waiting to receive a binding purchase order.</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our sales prices generally to range from $0.5 million to more than $5 million for our production tools. The sales price of a particular tool will vary depending upon the required specifications. We have designed equipment models using a modular configuration that we customize to meet customers’ technical specifications. For example, our Ultra C models for SAPS, TEBO and Tahoe solutions use common modular configurations that enable us to create a wet-cleaning tool meeting a customer’s specific requirements, while using pre-existing designs for chamber, electrical, chemical delivery and other modules.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of the relatively high purchase prices of our tools, customers generally pay in installments. For a customer’s repeat purchase of a particular type of tool, the specific payment terms are negotiated in connection with acceptance milestones of a purchase order. Based on our experience with repeat sales of our tools, we expect that we will receive an initial payment upon delivery of a tool in connection with a repeat purchase, with the balance being paid after the tool has been tested and accepted by the customer. Our sales arrangements for repeat purchases do not include a general right of return.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Substantially all of our sales in 2023, 2022, and 2021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utilize ASC 606 which was adopted in 2018 set forth in Accounting Standards Update, or ASU, No. 2014-09, </w:t>
      </w:r>
      <w:r>
        <w:rPr>
          <w:rFonts w:ascii="Times New Roman;sans-serif" w:hAnsi="Times New Roman;sans-serif"/>
          <w:b w:val="false"/>
          <w:i/>
          <w:color w:val="000000"/>
          <w:sz w:val="20"/>
          <w:shd w:fill="FFFFFF" w:val="clear"/>
        </w:rPr>
        <w:t>Revenue from Contracts with Customers (Topic 606)</w:t>
      </w:r>
      <w:r>
        <w:rPr>
          <w:rFonts w:ascii="Times New Roman;sans-serif" w:hAnsi="Times New Roman;sans-serif"/>
          <w:b w:val="false"/>
          <w:color w:val="000000"/>
          <w:sz w:val="20"/>
          <w:shd w:fill="FFFFFF" w:val="clear"/>
        </w:rPr>
        <w:t>, of the Financial Accounting Standards Board, or FASB, regarding the recognition, presentation and disclosure of revenue in our financial statements as described below under “—Critical Accounting Estimates—Revenue Recognition.”</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offer extended maintenance service contracts to provide services such as trouble-shooting or fine-tuning tools, and installing spare parts, following expiration of applicable initial standard assurance type warranty coverage periods, which for sales to date have extended from 12 to 36 months as described under “—Critical Accounting Estimates—Warranty.” In 2023, 2022, and 2021, we received payments for parts and labor for service activities provided from time to time, but as of </w:t>
      </w:r>
      <w:r>
        <w:rPr>
          <w:rFonts w:ascii="Times New Roman;sans-serif" w:hAnsi="Times New Roman;sans-serif"/>
          <w:b w:val="false"/>
          <w:color w:val="000000"/>
          <w:sz w:val="20"/>
        </w:rPr>
        <w:t>December 31, 2023 we had not yet entered into extended maintenance service contracts with respect to the substantial majority of tools for whi</w:t>
      </w:r>
      <w:r>
        <w:rPr>
          <w:rFonts w:ascii="Times New Roman;sans-serif" w:hAnsi="Times New Roman;sans-serif"/>
          <w:b w:val="false"/>
          <w:color w:val="000000"/>
          <w:sz w:val="20"/>
          <w:shd w:fill="FFFFFF" w:val="clear"/>
        </w:rPr>
        <w:t>ch initial warranty coverage had expired. We expect to enter into extended maintenance service contracts with customers as additional initial warranties expire, but we do not expect revenue from extended maintenance service contracts to represent a material portion of our revenue in the future.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loss or delay of multiple large sale transactions in a quarter could impact our results of operations for that quarter and any future quarters for which revenue from that transaction is lost or delayed, as described under “Item 1A. Risk Factors—Risks Related to Our Business and Our Industry—Our quarterly operating results can be difficult to predict and can fluctuate substantially, which could result in volatility in the price of Class A common stock.” It is difficult to predict accurately when, or even if, we can complete a sale of a tool to a potential customer or to increase sales to any existing customer. Our tool demand forecasts are based on multiple assumptions, including non-binding forecasts received from customers years in advance, each of which may introduce error into our estimates. Difficulties in forecasting demand for our tools make it difficult for us to project future operating results and may lead to periodic inventory shortages or excess spending on inventory or on tools that may not be purchased, as further described in “Item 1A. Risk Factors—Risks Related to Our Business and Our Industry—Difficulties in forecasting demand for our tools may lead to periodic inventory shortages or excess spending on inventory items that may not be used.”</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Cost of Revenue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 of revenue for capital equipment consists primarily of:</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direct costs, which consist principally of costs of tool components and subassemblies purchased from third-party vendors;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69"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59</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compensation of personnel associated with our manufacturing operations, including stock-based compensation;</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depreciation of manufacturing equipment;</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amortization of costs of software used for manufacturing purposes;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 xml:space="preserve">other expenses attributable to our manufacturing department; </w:t>
      </w:r>
    </w:p>
    <w:p>
      <w:pPr>
        <w:pStyle w:val="TextBody"/>
        <w:bidi w:val="0"/>
        <w:spacing w:lineRule="auto" w:line="288" w:before="0" w:after="0"/>
        <w:ind w:left="0" w:right="0" w:hanging="540"/>
        <w:jc w:val="both"/>
        <w:rPr/>
      </w:pPr>
      <w:r>
        <w:rPr>
          <w:color w:val="000000"/>
          <w:shd w:fill="FFFFFF" w:val="clear"/>
        </w:rPr>
        <w:t>•</w:t>
      </w:r>
      <w:r>
        <w:rPr>
          <w:rFonts w:ascii="Times New Roman;sans-serif" w:hAnsi="Times New Roman;sans-serif"/>
          <w:b w:val="false"/>
          <w:color w:val="000000"/>
          <w:sz w:val="20"/>
          <w:shd w:fill="FFFFFF" w:val="clear"/>
        </w:rPr>
        <w:t>inventory provision;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allocated overhead for rent and utilities.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not party to any long-term purchasing agreements with suppliers. Please see “Item 1A. Risk Factors—Risks Related to Our Business and Our Industry—Our customers do not generally enter into long-term purchase commitments, and they may decrease, cancel or delay their projected purchases at any time.”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our customer base and tool installations continue to grow, we may need to hire additional manufacturing personnel. The rates at which we add customers and install tools will affect the level and time of this spending. In addition, because we often import components and spare parts from the United States, we have experienced, and expect to continue to experience, the effect of the currency fluctuations on our cost of revenue.</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Gross Margin</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We generally expect gross margin to range between 40% and 45% for the foreseeable future, with direct manufacturing costs approximating 50% to 55% of revenue and overhead costs totaling approximatel</w:t>
      </w:r>
      <w:r>
        <w:rPr>
          <w:rFonts w:ascii="Times New Roman;sans-serif" w:hAnsi="Times New Roman;sans-serif"/>
          <w:b w:val="false"/>
          <w:color w:val="000000"/>
          <w:sz w:val="20"/>
        </w:rPr>
        <w:t>y 5% of revenue.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seek to maintain our gross margin by continuing to develop proprietary technologies that avoid pricing pressure for our wet cleaning equipment. We actively manage our operations through principles of operational excellence designed to ensure continuing improvement in the efficiency and quality of our manufacturing operations by, for example, implementing factory constraint management and change control and inventory management systems. In addition, our purchasing department actively seeks to identify and negotiate supply contracts with improved pricing to reduce cost of revenue.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significant portion of our raw materials are denominated in the RMB, while the majority of our purchase orders are denominated in U.S. dollars. As a result, fluctuations in currency exchange rates may have a significant effect on our gross margin.</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Operating Expenses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experienced, and expect to continue to experience, growth in the absolute dollar amount of our operating expenses, as we invest to support the anticipated growth of our customer base and the continued development of proprietary technologies.</w:t>
      </w:r>
    </w:p>
    <w:p>
      <w:pPr>
        <w:pStyle w:val="TextBody"/>
        <w:bidi w:val="0"/>
        <w:spacing w:lineRule="auto" w:line="288" w:before="240" w:after="283"/>
        <w:ind w:left="0" w:right="0" w:firstLine="720"/>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Sales and Marketing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Sales and marketing expense consists primarily of:</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compensation of personnel associated with pre- and after-sales support and other sales and marketing activities, including stock-based compensation;</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sales commissions paid to independent sales representatives;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fees paid to sales consultants;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cost of trade shows;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cost of promotional tools to new potential customers;</w:t>
      </w:r>
    </w:p>
    <w:p>
      <w:pPr>
        <w:pStyle w:val="TextBody"/>
        <w:bidi w:val="0"/>
        <w:spacing w:lineRule="auto" w:line="288" w:before="0" w:after="0"/>
        <w:ind w:left="0" w:right="0" w:hanging="540"/>
        <w:jc w:val="both"/>
        <w:rPr/>
      </w:pPr>
      <w:r>
        <w:rPr>
          <w:color w:val="000000"/>
          <w:shd w:fill="FFFFFF" w:val="clear"/>
        </w:rPr>
        <w:t>•</w:t>
      </w:r>
      <w:r>
        <w:rPr>
          <w:rFonts w:ascii="Times New Roman;sans-serif" w:hAnsi="Times New Roman;sans-serif"/>
          <w:b w:val="false"/>
          <w:color w:val="000000"/>
          <w:sz w:val="20"/>
          <w:shd w:fill="FFFFFF" w:val="clear"/>
        </w:rPr>
        <w:t>travel and entertainment;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allocated overhead for rent and utilities.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Sales and marketing expense can be significant and may fluctuate, in part because of the resource-intensive nature of our sales efforts and the length and variability of our sales cycle. The length of our sales cycle, from initial contact with a customer to the execution of a purchase order, is generally 6 to 24 months.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sales cycle, we expend significant time and money on sales and marketing activities, including educating customers about our tools, participating in extended tool evaluations and configuring our tools to customer-specific needs. Sales and marketing expense in a given period can be particularly affected by the increase in travel and entertainment expenses associated with the finalization of purchase orders or the installation of tools.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70"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ind w:left="0" w:right="0" w:firstLine="720"/>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Research and Development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Research and development expense relates to the development of new products and processes and encompasses our research, development and customer support activities. Research and development expense consists primarily of:</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compensation of personnel associated with our research and development activities, including stock-based compensation;</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costs of components and other research and development supplies;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costs of tools built for product development purposes;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travel expense associated with the research of technical requirements for product development purposes and testing of concepts under consideration;</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amortization of costs of software used for research and development purposes;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allocated overhead for rent and utilities.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Some of our research and development has been funded by grants from the mainland China government, as described in “—mainland China Government Research and Development Funding” below.</w:t>
      </w:r>
    </w:p>
    <w:p>
      <w:pPr>
        <w:pStyle w:val="TextBody"/>
        <w:bidi w:val="0"/>
        <w:spacing w:lineRule="auto" w:line="288" w:before="240" w:after="283"/>
        <w:ind w:left="0" w:right="0" w:firstLine="720"/>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General and Administrative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General and administrative expense consists primarily of:</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compensation of executive, accounting and finance, human resources, information technology, and other administrative personnel, including stock-based compensation;</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professional fees, including accounting and legal fees;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other corporate expenses;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allocated overhead for rent and utilities.</w:t>
      </w:r>
    </w:p>
    <w:p>
      <w:pPr>
        <w:pStyle w:val="TextBody"/>
        <w:bidi w:val="0"/>
        <w:spacing w:lineRule="auto" w:line="288" w:before="240" w:after="283"/>
        <w:ind w:left="0" w:right="0" w:firstLine="720"/>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Stock-Based Compensation Expense</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grant stock options to employees and non-employee consultants and directors, and we account for those stock-based awards in accordance with ASC Topic 718, </w:t>
      </w:r>
      <w:r>
        <w:rPr>
          <w:rFonts w:ascii="Times New Roman;sans-serif" w:hAnsi="Times New Roman;sans-serif"/>
          <w:b w:val="false"/>
          <w:i/>
          <w:color w:val="000000"/>
          <w:sz w:val="20"/>
          <w:shd w:fill="FFFFFF" w:val="clear"/>
        </w:rPr>
        <w:t>Compensation—Stock Compensation</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shd w:fill="FFFFFF" w:val="clear"/>
        </w:rPr>
        <w:t>Stock-based awards granted to employees and non-employees are measured at the fair value of the awards on the grant date and are recognized as expenses either (a) immediately on grant, if no vesting conditions are required, or (b) using the graded vesting method, net of estimated forfeitures, over the requisite service period. The fair value of stock options is determined using the Black-Scholes valuation model when there are service and performance condition attached, or the Monte Carlo valuation model when there is market condition attached. Stock-based compensation expense, when recognized, is charged to cost of revenue or to the category of operating expense corresponding to the service function of the employee or non-employee.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We also grant discounts to employee</w:t>
      </w:r>
      <w:r>
        <w:rPr>
          <w:rFonts w:ascii="Times New Roman;sans-serif" w:hAnsi="Times New Roman;sans-serif"/>
          <w:b w:val="false"/>
          <w:color w:val="000000"/>
          <w:sz w:val="20"/>
        </w:rPr>
        <w:t>s when they subscribe for the new shares o</w:t>
      </w:r>
      <w:r>
        <w:rPr>
          <w:rFonts w:ascii="Times New Roman;sans-serif" w:hAnsi="Times New Roman;sans-serif"/>
          <w:b w:val="false"/>
          <w:color w:val="000000"/>
          <w:sz w:val="20"/>
          <w:shd w:fill="FFFFFF" w:val="clear"/>
        </w:rPr>
        <w:t xml:space="preserve">f ACM Shanghai, and we account for those stock-based awards in accordance with Accounting Standards Codification, or ASC, Topic 718, </w:t>
      </w:r>
      <w:r>
        <w:rPr>
          <w:rFonts w:ascii="Times New Roman;sans-serif" w:hAnsi="Times New Roman;sans-serif"/>
          <w:b w:val="false"/>
          <w:i/>
          <w:color w:val="000000"/>
          <w:sz w:val="20"/>
          <w:shd w:fill="FFFFFF" w:val="clear"/>
        </w:rPr>
        <w:t>Compensation—Stock Compensation</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Mainland China Government Research and Development Funding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Shanghai has received seven special government grants.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The fifth grant was made in 2020, and relates to the development of Tahoe single bench cleaning technologies. As of December 31, 2021, the fourth and fifth grants had been fully utilized. The sixth grant was made in 2020, and relates to the development of other cleaning technologies. The seventh grant was made in 2021, and relates to the development of the R&amp;D and production center in the Lin-gang Special Area of Shanghai. These governmental authorities provide significant funding, although ACM Shanghai and ACM Shengwei is also required to invest certain amounts in the projects.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governmental grants contain certain operating conditions, and we are required to go through a government due diligence process once the project is complete. The grants therefore are recorded as long-term liabilities upon receipt,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71"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we are not required to return any funds ACM Shanghai receives. Grant amounts are recognized in our statements of comprehensive income (loss) as follows: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shd w:fill="FFFFFF" w:val="clear"/>
        </w:rPr>
        <w:t>Government subsidies relating to current expenses are recorded as reductions of those expenses in the periods in which the current expenses are recorded. For the years ended December 31, 2023, 2022, and 2021, related government subsidies recognized as reductions of relevant expenses in the consolidated statements of comprehensive income</w:t>
      </w:r>
      <w:r>
        <w:rPr>
          <w:color w:val="000000"/>
        </w:rPr>
        <w:t xml:space="preserve"> </w:t>
      </w:r>
      <w:r>
        <w:rPr>
          <w:rFonts w:ascii="Times New Roman;sans-serif" w:hAnsi="Times New Roman;sans-serif"/>
          <w:b w:val="false"/>
          <w:color w:val="000000"/>
          <w:sz w:val="20"/>
        </w:rPr>
        <w:t>(loss) we</w:t>
      </w:r>
      <w:r>
        <w:rPr>
          <w:rFonts w:ascii="Times New Roman;sans-serif" w:hAnsi="Times New Roman;sans-serif"/>
          <w:b w:val="false"/>
          <w:color w:val="000000"/>
          <w:sz w:val="20"/>
          <w:shd w:fill="FFFFFF" w:val="clear"/>
        </w:rPr>
        <w:t>re $1.7 million, $1.2 million, and $11.3 million, respectively.</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Government subsidies related to depreciable assets are credited to income over the useful lives of the related assets for which the grant was received. For the years ended December 31, 2023, 2022, and 2021, related government subsidies recognized as other income in the consolidated statements of comprehensive income (loss) were $0.5 million, $0.3 million, and $0.2 million, respectively.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Unearned government subsidies received are deferred for recognition and recorded as other long-term liabilities (see note 13 in the Notes to Consolidated Financial Statements included herein under “Item 8. Financial Statements and Supplementary Data.”) in the consolidated balance sheet until the criteria for such recognition are satisfied.</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Income Attributable to Non-Controlling Interests and Redeemable Non-Controlling Interests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2019 ACM Shanghai sold a total number of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During the year-ended December 31,2023, ACM's ownership declined to 82.1% due to the exercise of 2,150,309 stock options related to ACM Shanghai shares (note 18). As a result, we reflect the portion of our net income allocable to the minority holders of ACM Shanghai shares as net income attributable to non-controlling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Policies and Estimates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preparing our consolidated financial statements in conformity with GAAP, we make assumptions, judgments and estimates in applying our accounting policies that can have a significant impact on our revenue, operating income and net income, as well as on the value of certain assets and liabilities on our consolidated balance sheets. We base our assumptions, judgments and estimates on historical experience and various other factors that we believe to be reasonable under the circumstances. At least quarterly, we evaluate our assumptions, judgments and estimates and make changes as deemed necessary. Actual results could differ materially from these estimates under different assumptions or conditions.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the assumptions, judgments and estimates involved in the accounting for the following accounting policies have the greatest potential impact on our consolidated financial statements, and we therefore consider these to be our critical accounting estimates. For information on our significant accounting policies, see Note 2 in the notes to consolidated financial statements.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jc w:val="both"/>
        <w:rPr/>
      </w:pPr>
      <w:r>
        <w:rPr>
          <w:rFonts w:ascii="Times New Roman;sans-serif" w:hAnsi="Times New Roman;sans-serif"/>
          <w:b w:val="false"/>
          <w:color w:val="000000"/>
          <w:sz w:val="20"/>
        </w:rPr>
        <w:t xml:space="preserve">We derive revenue principally from the sale of semiconductor capital equipment. Revenue from contracts with customers is recognized using the following five steps pursuant to ASC Topic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1.Identify the contract(s) with a customer;</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2.Identify the performance obligations in the contract;</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3.Determine the transaction price;</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4.Allocate the transaction price to the performance obligations in the contract; and</w:t>
      </w:r>
    </w:p>
    <w:p>
      <w:pPr>
        <w:pStyle w:val="TextBody"/>
        <w:bidi w:val="0"/>
        <w:spacing w:lineRule="auto" w:line="26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5.Recognize revenue when, or as, a performance obligation is satisfied.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Identify the contract(s) with a customer.</w:t>
      </w:r>
      <w:r>
        <w:rPr>
          <w:color w:val="000000"/>
          <w:shd w:fill="FFFFFF" w:val="clear"/>
        </w:rPr>
        <w:t xml:space="preserve"> </w:t>
      </w:r>
      <w:r>
        <w:rPr>
          <w:rFonts w:ascii="Times New Roman;sans-serif" w:hAnsi="Times New Roman;sans-serif"/>
          <w:b w:val="false"/>
          <w:color w:val="000000"/>
          <w:sz w:val="20"/>
          <w:shd w:fill="FFFFFF" w:val="clear"/>
        </w:rPr>
        <w:t>We generally consider written documentation including, but not limited to, signed purchase orders, master agreements, and sales orders as contracts, provided it has approval and commitment from the customer, the rights of the parties are identified, payment terms are identified, the contract has commercial substance, and collection is probable. Collectability is assessed based on our management’s assessment of the customer’s creditworthiness, historical payment experience, as well as other relevant factors.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72"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62</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jc w:val="both"/>
        <w:rPr/>
      </w:pPr>
      <w:r>
        <w:rPr>
          <w:rFonts w:ascii="Times New Roman;sans-serif" w:hAnsi="Times New Roman;sans-serif"/>
          <w:b w:val="false"/>
          <w:i/>
          <w:color w:val="000000"/>
          <w:sz w:val="20"/>
          <w:shd w:fill="FFFFFF" w:val="clear"/>
        </w:rPr>
        <w:t xml:space="preserve">Identify the performance obligations in the contract. </w:t>
      </w:r>
      <w:r>
        <w:rPr>
          <w:rFonts w:ascii="Times New Roman;sans-serif" w:hAnsi="Times New Roman;sans-serif"/>
          <w:b w:val="false"/>
          <w:color w:val="000000"/>
          <w:sz w:val="20"/>
          <w:shd w:fill="FFFFFF" w:val="clear"/>
        </w:rPr>
        <w:t>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Our performance obligations generally include sales of tools and spare parts. In addition, customer contracts can contain provisions for installation, training, software updates, most-favored pricing for spare parts, and other items which have been deemed immaterial in the context of the contract.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 xml:space="preserve">Determine the transaction price. </w:t>
      </w:r>
      <w:r>
        <w:rPr>
          <w:rFonts w:ascii="Times New Roman;sans-serif" w:hAnsi="Times New Roman;sans-serif"/>
          <w:b w:val="false"/>
          <w:color w:val="000000"/>
          <w:sz w:val="20"/>
          <w:shd w:fill="FFFFFF" w:val="clear"/>
        </w:rPr>
        <w:t xml:space="preserve">The transaction price for our contracts with customers may include fixed and variable consideration. We include variable consideration in the transaction price to the extent that it is probable that a significant reversal of revenue will not occur in the future based on our historical experience with similar arrangements. </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i/>
          <w:color w:val="000000"/>
          <w:sz w:val="20"/>
          <w:shd w:fill="FFFFFF" w:val="clear"/>
        </w:rPr>
        <w:t xml:space="preserve">Allocate the transaction price to the performance obligations in the contract. </w:t>
      </w:r>
      <w:r>
        <w:rPr>
          <w:rFonts w:ascii="Times New Roman;sans-serif" w:hAnsi="Times New Roman;sans-serif"/>
          <w:b w:val="false"/>
          <w:color w:val="000000"/>
          <w:sz w:val="20"/>
          <w:shd w:fill="FFFFFF" w:val="clear"/>
        </w:rPr>
        <w:t>For contracts that contain multiple performance obligations, we allocate the transaction price to the performance obligations on a relative standalone selling price basis. We defer revenue associated with spare parts, sold together with its tools, based on its stand-alone observable selling prices or using an expected cost-plus-margin approach when a stand-alone selling price is not directly observable, and recognizes revenue upon subsequent delivery.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 xml:space="preserve">Recognize revenue when, or as, a performance obligation is satisfied. </w:t>
      </w:r>
      <w:r>
        <w:rPr>
          <w:rFonts w:ascii="Times New Roman;sans-serif" w:hAnsi="Times New Roman;sans-serif"/>
          <w:b w:val="false"/>
          <w:color w:val="000000"/>
          <w:sz w:val="20"/>
          <w:shd w:fill="FFFFFF" w:val="clear"/>
        </w:rPr>
        <w:t>We recognize revenue from tools and spare parts at a point in time, when we have satisfied our performance obligation. Our sales arrangements do not include a general right of return. For shipments made to a customer that has not previously accepted a specific type of tool in the past, or first tools, revenues are recognized when the goods are accepted by the customer. For shipments made to a customer that has previously accepted a specific type of tool, revenues are recognized upon shipment or delivery because we can objectively demonstrate that the goods meet all the required customer specifications.</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Stock-based compensation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account for grants of stock options based on their grant date fair value and recognize compensation expense over the vesting periods. We estimate the fair value of the stock options granted with a service period-based condition and/or performance condition at the date of grant using the Black-Scholes option pricing model. We estimate the fair value of the stock options granted with a market-based condition at the date of grant using the Monte Carlo simulation model.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options granted with a service period-based and/or performance condition, we estimate the fair value of these stock option grants using the Black-Scholes option pricing model, which requires the input of subjective assumptions, including (a)Fair value of share of common stock, (b)the risk-free interest rate, (c) volatility, and (d) the expected term of the award.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We use the market closing price for the Class A common stock as reported on the Nasdaq Global Market to determine the fair value of the Class A common stock. We use the market closing price for the ACM Shanghai’s common stock as reported on the STAR Market to determine the fair value of ACM Shanghai’s common stock.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For options granted by ACM Research, risk-free interest rate is based on the yields of U.S. Treasury securities with maturities similar to the expected term of the share options in effect at the time of grant. For options granted by ACM Shanghai, risk-free interest rate is based on the yields of RMB deposit in mainland China with maturities similar to the expected term of the share options in effect at the time of grant.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use historical volatility of our shares in the period equal to the expected term of each grant.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expected term of share options is based on the average of the vesting period and the contractual term for each grant.</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Inventory</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Inventories consist of finished goods, raw materials, work-in-process and consumable materials. Finished goods are comprised of direct materials, direct labor, depreciation and manufacturing overhead.</w:t>
      </w:r>
      <w:r>
        <w:rPr>
          <w:color w:val="000000"/>
        </w:rPr>
        <w:t xml:space="preserve"> </w:t>
      </w:r>
      <w:r>
        <w:rPr>
          <w:rFonts w:ascii="Times New Roman;sans-serif" w:hAnsi="Times New Roman;sans-serif"/>
          <w:b w:val="false"/>
          <w:color w:val="000000"/>
          <w:sz w:val="20"/>
        </w:rPr>
        <w:t>Inventory is stated at the lower of cost and net realizable value of the inventory on a moving weighted average basis. The cost of an inventory item purchased specifically for a customized tool is determined using the specific identification method. Market value is determined as the lower of replacement cost and net realizable value, which is the estimated selling price, in the ordinary</w:t>
      </w:r>
      <w:r>
        <w:rPr>
          <w:color w:val="000000"/>
          <w:shd w:fill="FFFFFF" w:val="clear"/>
        </w:rPr>
        <w:t xml:space="preserve"> </w:t>
      </w:r>
      <w:r>
        <w:rPr>
          <w:rFonts w:ascii="Times New Roman;sans-serif" w:hAnsi="Times New Roman;sans-serif"/>
          <w:b w:val="false"/>
          <w:color w:val="000000"/>
          <w:sz w:val="20"/>
          <w:shd w:fill="FFFFFF" w:val="clear"/>
        </w:rPr>
        <w:t>course of business, less estimated costs to complete or dispose.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73"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assess the recoverability of all inventories quarterly to determine if any adjustments are required. We recognize a loss or impairment if in our judgement the inventory cannot be sold or used for production, if it has been damaged or should be considered as obsolete, or if the net realizable value is lower than the cost. We also assess the status of our raw materials. We recognize a loss or impairment for any raw materials aged more than three years. The three-year aging is based on our assessment of technology change, our requirement to maintain stock for warranty coverage, and other factors. Actual demand may differ from forecasted demand, and those differences may have a material effect on recorded inventory values.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manufacturing overhead standards for product costs are calculated assuming full absorption of forecasted spending over projected volumes, adjusted for excess capacity. Abnormal inventory costs such as costs of idle facilities, excess freight and handling costs, and spoilage are recognized as current period charges.</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Allowance for Credit Losses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Accounts receivables are reflected in our consolidated balance sheets at their estimated collectible amounts. A substantial majority of our accounts receivable are derived from sales to large multinational semiconductor manufacturers in Asia.</w:t>
      </w:r>
      <w:r>
        <w:rPr>
          <w:color w:val="000000"/>
        </w:rPr>
        <w:t xml:space="preserve"> </w:t>
      </w:r>
      <w:r>
        <w:rPr>
          <w:rFonts w:ascii="Times New Roman;sans-serif" w:hAnsi="Times New Roman;sans-serif"/>
          <w:b w:val="false"/>
          <w:color w:val="000000"/>
          <w:sz w:val="20"/>
          <w:shd w:fill="FFFFFF" w:val="clear"/>
        </w:rPr>
        <w:t>We assess collectability by reviewing accounts receivable on a collective basis where similar characteristics exist and on an individual basis when we identify specific customers with known disputes or collectability issues. In determining the amount of the allowance for credit losses, we consider historical collectability based on past due status, the age of the accounts receivable balances, credit quality of our customers based on ongoing credit evaluations, current economic conditions, reasonable and supportable forecasts of future economic conditions, and other factors that may affect our ability to collect from customers.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Income taxes are accounted for using the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would be provided for the deferred tax assets if it is more likely than not that the related benefit will not be realized.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 quarterly basis, we provide income tax provisions based upon an estimated annual effective income tax rate. The effective tax rate is highly dependent upon the geographic composition of worldwide earnings, tax regulations governing each region, availability of tax credits and the effectiveness of our tax planning strategies. We carefully monitor the changes in many factors and adjust our effective income tax rate on a timely basis. If actual results differ from these estimates, this could have a material effect on our financial condition and results of operations.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maintained a partial valuation allowance as of December 31, 2023 with respect to certain net deferred tax assets based on our estimates of recoverability. We determined that the partial valuation allowance was appropriate given our historical operating losses and uncertainty with respect to our ability to generate profits from our business model sufficient to take advantage of the deferred tax assets in all applicable tax jurisdictions.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calculation of our tax liabilities involves dealing with uncertainties in the application of complex tax regulations. In accordance with the authoritative guidance on accounting for uncertainty in income taxes, we recognize liabilities for uncertain tax positions based on the two-step process. The first step is to evaluate the tax position for recognition by determining if the weight of available evidence indicates that it is more likely than not that the position will be sustained in audit, including resolution of related appeals or litigation processes, if any. The second step is to measure the tax benefit as the largest amount that is more than fifty percent likely of being realized upon ultimate settlement. We reevaluate these uncertain tax positions on a quarterly basis. This evaluation is based on factors including changes in facts or circumstances, changes in tax law, effectively settled issues under audit and new audit activity. Any change in these factors could result in the recognition of a tax benefit or an additional charge to the tax provision.</w:t>
      </w:r>
    </w:p>
    <w:p>
      <w:pPr>
        <w:pStyle w:val="TextBody"/>
        <w:bidi w:val="0"/>
        <w:spacing w:lineRule="auto" w:line="268" w:before="240" w:after="283"/>
        <w:jc w:val="both"/>
        <w:rPr/>
      </w:pPr>
      <w:r>
        <w:rPr>
          <w:rFonts w:ascii="Times New Roman;sans-serif" w:hAnsi="Times New Roman;sans-serif"/>
          <w:b w:val="false"/>
          <w:color w:val="000000"/>
          <w:sz w:val="20"/>
          <w:shd w:fill="FFFFFF" w:val="clear"/>
        </w:rPr>
        <w:t xml:space="preserve">Interest and penalties related to uncertain tax positions are recorded in the provision for income tax expense on the consolidated statements of </w:t>
      </w:r>
      <w:r>
        <w:rPr>
          <w:rFonts w:ascii="Times New Roman;sans-serif" w:hAnsi="Times New Roman;sans-serif"/>
          <w:b w:val="false"/>
          <w:color w:val="000000"/>
          <w:sz w:val="20"/>
        </w:rPr>
        <w:t>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74"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Warranty</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have provided standard assurance type warranty coverage on our tools for 12 to 36 months, covering labor and parts necessary to repair a tool during the warranty period. Warranty obligations are affected by historical failure rates and associated replacement costs. Utilizing historical warranty cost records, we calculate a rate of warranty expenses to revenue to determine the estimated warranty charge. We update these estimated charges on a regular basis. The actual product performance and field expense profiles </w:t>
      </w:r>
      <w:r>
        <w:rPr>
          <w:rFonts w:ascii="Times New Roman;sans-serif" w:hAnsi="Times New Roman;sans-serif"/>
          <w:b w:val="false"/>
          <w:color w:val="000000"/>
          <w:sz w:val="20"/>
        </w:rPr>
        <w:t>may differ, and in those cases, we adjust our warranty accruals according</w:t>
      </w:r>
      <w:r>
        <w:rPr>
          <w:rFonts w:ascii="Times New Roman;sans-serif" w:hAnsi="Times New Roman;sans-serif"/>
          <w:b w:val="false"/>
          <w:color w:val="000000"/>
          <w:sz w:val="20"/>
          <w:shd w:fill="FFFFFF" w:val="clear"/>
        </w:rPr>
        <w:t>ly. As of December 31, 2023 and 2022, we had accrued $9.8 million and $8.8 million, respectively, in liability contingency for potential warranty claims.</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Accounting Pronouncements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a discussion of recent accounting pronouncements we expect will have an impact when adopted, see note 2 in the Notes to Consolidated Financial Statements included herein under “Item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Results of Operations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The following table sets forth our results of operations for the peri</w:t>
      </w:r>
      <w:r>
        <w:rPr>
          <w:rFonts w:ascii="Times New Roman;sans-serif" w:hAnsi="Times New Roman;sans-serif"/>
          <w:b w:val="false"/>
          <w:color w:val="000000"/>
          <w:sz w:val="20"/>
        </w:rPr>
        <w:t>ods presented, as percentages of revenue.</w:t>
      </w:r>
    </w:p>
    <w:tbl>
      <w:tblPr>
        <w:tblW w:w="8287" w:type="dxa"/>
        <w:jc w:val="left"/>
        <w:tblInd w:w="0" w:type="dxa"/>
        <w:tblLayout w:type="fixed"/>
        <w:tblCellMar>
          <w:top w:w="28" w:type="dxa"/>
          <w:left w:w="28" w:type="dxa"/>
          <w:bottom w:w="28" w:type="dxa"/>
          <w:right w:w="28" w:type="dxa"/>
        </w:tblCellMar>
      </w:tblPr>
      <w:tblGrid>
        <w:gridCol w:w="1725"/>
        <w:gridCol w:w="1520"/>
        <w:gridCol w:w="1524"/>
        <w:gridCol w:w="308"/>
        <w:gridCol w:w="308"/>
        <w:gridCol w:w="300"/>
        <w:gridCol w:w="120"/>
        <w:gridCol w:w="120"/>
        <w:gridCol w:w="120"/>
        <w:gridCol w:w="308"/>
        <w:gridCol w:w="308"/>
        <w:gridCol w:w="300"/>
        <w:gridCol w:w="120"/>
        <w:gridCol w:w="120"/>
        <w:gridCol w:w="120"/>
        <w:gridCol w:w="308"/>
        <w:gridCol w:w="308"/>
        <w:gridCol w:w="350"/>
      </w:tblGrid>
      <w:tr>
        <w:trPr/>
        <w:tc>
          <w:tcPr>
            <w:tcW w:w="172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 net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sale of short-term investments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equity method investments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ACM Research, Inc.</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75"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Comparison of Years Ended December 31, 2023, 2022, and 2021</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w:t>
      </w:r>
    </w:p>
    <w:tbl>
      <w:tblPr>
        <w:tblW w:w="10205" w:type="dxa"/>
        <w:jc w:val="left"/>
        <w:tblInd w:w="0" w:type="dxa"/>
        <w:tblLayout w:type="fixed"/>
        <w:tblCellMar>
          <w:top w:w="28" w:type="dxa"/>
          <w:left w:w="28" w:type="dxa"/>
          <w:bottom w:w="28" w:type="dxa"/>
          <w:right w:w="28" w:type="dxa"/>
        </w:tblCellMar>
      </w:tblPr>
      <w:tblGrid>
        <w:gridCol w:w="1098"/>
        <w:gridCol w:w="941"/>
        <w:gridCol w:w="946"/>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62"/>
        <w:gridCol w:w="264"/>
        <w:gridCol w:w="611"/>
        <w:gridCol w:w="109"/>
        <w:gridCol w:w="109"/>
        <w:gridCol w:w="109"/>
        <w:gridCol w:w="307"/>
        <w:gridCol w:w="309"/>
        <w:gridCol w:w="676"/>
      </w:tblGrid>
      <w:tr>
        <w:trPr/>
        <w:tc>
          <w:tcPr>
            <w:tcW w:w="109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2022 v 2021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wafer cleaning, Tahoe and semi-critical cleaning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6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6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ECP (front-end and packaging), furnace and other technologies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6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6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packaging (excluding ECP), services &amp; spares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6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 By Product Category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557,723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388,832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259,751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43.4</w:t>
            </w:r>
            <w:r>
              <w:rPr>
                <w:color w:val="000000"/>
              </w:rPr>
              <w:t> </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49.7</w:t>
            </w:r>
            <w:r>
              <w:rPr>
                <w:color w:val="000000"/>
              </w:rPr>
              <w:t> </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tbl>
      <w:tblPr>
        <w:tblW w:w="5636" w:type="dxa"/>
        <w:jc w:val="left"/>
        <w:tblInd w:w="0" w:type="dxa"/>
        <w:tblLayout w:type="fixed"/>
        <w:tblCellMar>
          <w:top w:w="28" w:type="dxa"/>
          <w:left w:w="28" w:type="dxa"/>
          <w:bottom w:w="28" w:type="dxa"/>
          <w:right w:w="28" w:type="dxa"/>
        </w:tblCellMar>
      </w:tblPr>
      <w:tblGrid>
        <w:gridCol w:w="527"/>
        <w:gridCol w:w="462"/>
        <w:gridCol w:w="465"/>
        <w:gridCol w:w="211"/>
        <w:gridCol w:w="841"/>
        <w:gridCol w:w="109"/>
        <w:gridCol w:w="109"/>
        <w:gridCol w:w="109"/>
        <w:gridCol w:w="109"/>
        <w:gridCol w:w="211"/>
        <w:gridCol w:w="841"/>
        <w:gridCol w:w="109"/>
        <w:gridCol w:w="109"/>
        <w:gridCol w:w="109"/>
        <w:gridCol w:w="109"/>
        <w:gridCol w:w="211"/>
        <w:gridCol w:w="841"/>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Regions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557,723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388,832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259,751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increase in revenue for 2023 compared to 2022 was driven by higher sales of single wafer cleaning, Tahoe and semi-critical cleaning equipment, ECP (front-end and packaging), furnace and other technologies, and Advance packaging (excluding ECP), and services and spares. We attribute the revenue growth to continued investments in mature process nodes by current and new mainland China-based customers amidst an ongoing target to achieve a greater share of the global semiconductor market, incremental contribution from newly introduced tools, and better penetration of our product portfolio across our customer base.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increase in revenue for 2022 compared to 2021 was driven primarily by higher sales of single wafer cleaning, Tahoe and semi-critical cleaning equipment, and increased contribution from newer ECP (front-end and packaging), furnace and other technologies. Our Shanghai production operations were adversely impacted in the first half of 2022 to COVID-19-related restrictions, with a return to more normal operations in the second half of the year. The U.S. export regulations imposed in October of 2022 had an adverse impact on ACM Shanghai’s shipments and sales in the fourth quarter of 2022.</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Cost of Revenue and Gross Margin</w:t>
      </w:r>
    </w:p>
    <w:tbl>
      <w:tblPr>
        <w:tblW w:w="8984" w:type="dxa"/>
        <w:jc w:val="left"/>
        <w:tblInd w:w="0" w:type="dxa"/>
        <w:tblLayout w:type="fixed"/>
        <w:tblCellMar>
          <w:top w:w="28" w:type="dxa"/>
          <w:left w:w="28" w:type="dxa"/>
          <w:bottom w:w="28" w:type="dxa"/>
          <w:right w:w="28" w:type="dxa"/>
        </w:tblCellMar>
      </w:tblPr>
      <w:tblGrid>
        <w:gridCol w:w="504"/>
        <w:gridCol w:w="444"/>
        <w:gridCol w:w="446"/>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55"/>
        <w:gridCol w:w="256"/>
        <w:gridCol w:w="634"/>
        <w:gridCol w:w="109"/>
        <w:gridCol w:w="109"/>
        <w:gridCol w:w="109"/>
        <w:gridCol w:w="255"/>
        <w:gridCol w:w="256"/>
        <w:gridCol w:w="702"/>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2022 v 2021</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pPr>
      <w:r>
        <w:rPr>
          <w:rFonts w:ascii="Times New Roman;sans-serif" w:hAnsi="Times New Roman;sans-serif"/>
          <w:b w:val="false"/>
          <w:color w:val="000000"/>
          <w:sz w:val="20"/>
          <w:shd w:fill="FFFFFF" w:val="clear"/>
        </w:rPr>
        <w:t xml:space="preserve">Cost of revenue and gross profit increased in 2023 as compared to 2022 due to the increased sales volume and an increase in gross margin. The increased gross margin versus the prior-year period was primarily due to </w:t>
      </w:r>
      <w:r>
        <w:rPr>
          <w:rFonts w:ascii="Times New Roman;sans-serif" w:hAnsi="Times New Roman;sans-serif"/>
          <w:b w:val="false"/>
          <w:color w:val="000000"/>
          <w:sz w:val="20"/>
        </w:rPr>
        <w:t>improved gross margins for certain products, overall product mix</w:t>
      </w:r>
      <w:r>
        <w:rPr>
          <w:rFonts w:ascii="Times New Roman;sans-serif" w:hAnsi="Times New Roman;sans-serif"/>
          <w:b w:val="false"/>
          <w:color w:val="000000"/>
          <w:sz w:val="20"/>
          <w:shd w:fill="FFFFFF" w:val="clear"/>
        </w:rPr>
        <w:t>, and a positive impact due to a change in the RMB to U.S. dollar currency exchange rate.</w:t>
      </w:r>
    </w:p>
    <w:p>
      <w:pPr>
        <w:pStyle w:val="TextBody"/>
        <w:bidi w:val="0"/>
        <w:spacing w:lineRule="auto" w:line="288" w:before="1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 of revenue and gross profit increased in 2022 as compared to 2021 due to the increased sales volume and an increase in gross margin. The increased gross margin versus the prior-year period was primarily due to a higher mix of ECP (front-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76"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66</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1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end and packaging), furnace, and other technologies, and a positive impact due to a change in the RMB to U.S. dollar currency exchange rate.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Gross margin may vary from period to period, primarily related to the level of utilization and the timing and mix of revenue. We expect gross margin to be between 40.0% and 45.0% for the foreseeable future, with direct manufacturing costs approximating 50.0% to 55.0% of revenue and overhead costs totaling 5.0%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Operating Expenses</w:t>
      </w:r>
    </w:p>
    <w:tbl>
      <w:tblPr>
        <w:tblW w:w="10013" w:type="dxa"/>
        <w:jc w:val="left"/>
        <w:tblInd w:w="0" w:type="dxa"/>
        <w:tblLayout w:type="fixed"/>
        <w:tblCellMar>
          <w:top w:w="28" w:type="dxa"/>
          <w:left w:w="28" w:type="dxa"/>
          <w:bottom w:w="28" w:type="dxa"/>
          <w:right w:w="28" w:type="dxa"/>
        </w:tblCellMar>
      </w:tblPr>
      <w:tblGrid>
        <w:gridCol w:w="1089"/>
        <w:gridCol w:w="959"/>
        <w:gridCol w:w="96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634"/>
        <w:gridCol w:w="109"/>
        <w:gridCol w:w="109"/>
        <w:gridCol w:w="109"/>
        <w:gridCol w:w="255"/>
        <w:gridCol w:w="256"/>
        <w:gridCol w:w="702"/>
      </w:tblGrid>
      <w:tr>
        <w:trPr/>
        <w:tc>
          <w:tcPr>
            <w:tcW w:w="108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2022 v 2021</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76,154 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6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7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jc w:val="both"/>
        <w:rPr/>
      </w:pPr>
      <w:r>
        <w:rPr>
          <w:rFonts w:ascii="Times New Roman;sans-serif" w:hAnsi="Times New Roman;sans-serif"/>
          <w:b w:val="false"/>
          <w:i/>
          <w:color w:val="000000"/>
          <w:sz w:val="20"/>
          <w:shd w:fill="FFFFFF" w:val="clear"/>
        </w:rPr>
        <w:t>Sales and marketing expense</w:t>
      </w:r>
      <w:r>
        <w:rPr>
          <w:color w:val="000000"/>
          <w:shd w:fill="FFFFFF" w:val="clear"/>
        </w:rPr>
        <w:t xml:space="preserve"> </w:t>
      </w:r>
      <w:r>
        <w:rPr>
          <w:rFonts w:ascii="Times New Roman;sans-serif" w:hAnsi="Times New Roman;sans-serif"/>
          <w:b w:val="false"/>
          <w:color w:val="000000"/>
          <w:sz w:val="20"/>
          <w:shd w:fill="FFFFFF" w:val="clear"/>
        </w:rPr>
        <w:t>increased in 2023 as compared to 2022, and reflected an increase of $8.1 million due to higher costs for personnel, commissions, travel and entertainment and other costs, an increase of $4.7 million due to higher costs for professional services, outside services and other costs, and an increase of $3.8 million due to higher stock -based compensation, partly offset by a decrease of ($9.6 million) for the cost of tools built for promotional purposes.</w:t>
      </w:r>
    </w:p>
    <w:p>
      <w:pPr>
        <w:pStyle w:val="TextBody"/>
        <w:bidi w:val="0"/>
        <w:spacing w:lineRule="auto" w:line="288" w:before="1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Sales and marketing expense increased in 2022 as compared to 2021, and reflected an increase of $7.9 million due to higher costs of tools built for promotional purposes for potential new customers, and an increase of $5.3 million due to increased costs for personnel, commissions, outside services, travel and entertainment and other costs.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for the foreseeable future, sales and marketing expense will increase in absolute dollars, as we continue to invest in sales and marketing by hiring additional employees and expanding marketing programs in existing or new markets. We must invest in sales and marketing processes in order to develop and maintain close relationships with customers. We are making dollar-based investments in order to support growth of our customer base in the United States, and the relative strength of the dollar could have a significant effect on our sales and marketing expense.</w:t>
      </w:r>
    </w:p>
    <w:p>
      <w:pPr>
        <w:pStyle w:val="TextBody"/>
        <w:bidi w:val="0"/>
        <w:spacing w:lineRule="auto" w:line="288" w:before="240" w:after="283"/>
        <w:jc w:val="both"/>
        <w:rPr/>
      </w:pPr>
      <w:r>
        <w:rPr>
          <w:rFonts w:ascii="Times New Roman;sans-serif" w:hAnsi="Times New Roman;sans-serif"/>
          <w:b w:val="false"/>
          <w:i/>
          <w:color w:val="000000"/>
          <w:sz w:val="20"/>
          <w:shd w:fill="FFFFFF" w:val="clear"/>
        </w:rPr>
        <w:t>Research and development expense</w:t>
      </w:r>
      <w:r>
        <w:rPr>
          <w:color w:val="000000"/>
          <w:shd w:fill="FFFFFF" w:val="clear"/>
        </w:rPr>
        <w:t xml:space="preserve"> </w:t>
      </w:r>
      <w:r>
        <w:rPr>
          <w:rFonts w:ascii="Times New Roman;sans-serif" w:hAnsi="Times New Roman;sans-serif"/>
          <w:b w:val="false"/>
          <w:color w:val="000000"/>
          <w:sz w:val="20"/>
          <w:shd w:fill="FFFFFF" w:val="clear"/>
        </w:rPr>
        <w:t>increased in 2023 as compared to 2022, reflecting an increase of $15.4 million in costs of components, costs of tools built for product development purposes, and costs of other research and development supplies, an increase of $7.1 million for personnel-related costs, an increase of $5.9 million in stock-based compensation, and an increase of $4.2 million in travel and entertainment costs to support product development, professional services, and other research and development related expenses, offset by a decrease of ($2.1 million) for outside services.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Research and development expense represented 16.6% and 16.0% of our revenue in the years ended December 31, 2023 and 2022, respectively. Without reduction by grant amounts received from mainland China governmental authorities (see “—mainland China Government Research and Development Funding”), gross research and development expense totaled $94.5 million, or 16.9% of total revenue, in the year ended December 31, 2023 as compared to $63.4 million, or 16.3% of revenue, in the corresponding period in 2022.</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Research and development expense increased in 2022 as compared to 2021, reflecting an increase of $6.9 million in costs of components, costs of tools built for product development purposes, and costs of other research and development supplies, and an increase of $16.7 million for personnel, stock-based compensation, and travel and entertainment costs to support product development, and an increase of $4.4 million for outside services and other research and development related expenses.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for the foreseeable future, research and development expense will increase in absolute dollars as compared to 2023, as we continue to invest in research and development to advance our technologies. We intend to continue to invest in research and development to support and enhance our cleaning, plating, advanced packaging, furnace and future product offerings to build and maintain our technology leadership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77"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pPr>
      <w:r>
        <w:rPr>
          <w:rFonts w:ascii="Times New Roman;sans-serif" w:hAnsi="Times New Roman;sans-serif"/>
          <w:b w:val="false"/>
          <w:i/>
          <w:color w:val="000000"/>
          <w:sz w:val="20"/>
          <w:shd w:fill="FFFFFF" w:val="clear"/>
        </w:rPr>
        <w:t>General and administrative expense</w:t>
      </w:r>
      <w:r>
        <w:rPr>
          <w:color w:val="000000"/>
          <w:shd w:fill="FFFFFF" w:val="clear"/>
        </w:rPr>
        <w:t xml:space="preserve"> </w:t>
      </w:r>
      <w:r>
        <w:rPr>
          <w:rFonts w:ascii="Times New Roman;sans-serif" w:hAnsi="Times New Roman;sans-serif"/>
          <w:b w:val="false"/>
          <w:color w:val="000000"/>
          <w:sz w:val="20"/>
          <w:shd w:fill="FFFFFF" w:val="clear"/>
        </w:rPr>
        <w:t xml:space="preserve">increased in 2023 as compared to 2022, reflecting an increase of $9.0 million in stock-based compensation, $3.3 million in personnel and professional services costs, $2.7 million in allowance for credit losses, and $3.1 million for travel &amp; entertainment, depreciation and amortization, outside services, taxes and other general and administrative expenses.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General and administrative expense increased in 2022 as compared to 2021, primarily due to an increase in stock-based compensation, increased employee count, and an increase in legal, payroll tax and other fees.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for the foreseeable future, general and administrative expense will increase in absolute dollars, as we incur additional costs associated with growing our business and operating as a public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Stock-Based Compensation Expense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 of revenue and operating expenses during the periods presented below have included stock-based compensation as follows:</w:t>
      </w:r>
    </w:p>
    <w:tbl>
      <w:tblPr>
        <w:tblW w:w="6837" w:type="dxa"/>
        <w:jc w:val="left"/>
        <w:tblInd w:w="0" w:type="dxa"/>
        <w:tblLayout w:type="fixed"/>
        <w:tblCellMar>
          <w:top w:w="28" w:type="dxa"/>
          <w:left w:w="28" w:type="dxa"/>
          <w:bottom w:w="28" w:type="dxa"/>
          <w:right w:w="28" w:type="dxa"/>
        </w:tblCellMar>
      </w:tblPr>
      <w:tblGrid>
        <w:gridCol w:w="1168"/>
        <w:gridCol w:w="1026"/>
        <w:gridCol w:w="1031"/>
        <w:gridCol w:w="211"/>
        <w:gridCol w:w="721"/>
        <w:gridCol w:w="109"/>
        <w:gridCol w:w="109"/>
        <w:gridCol w:w="109"/>
        <w:gridCol w:w="109"/>
        <w:gridCol w:w="211"/>
        <w:gridCol w:w="616"/>
        <w:gridCol w:w="109"/>
        <w:gridCol w:w="109"/>
        <w:gridCol w:w="109"/>
        <w:gridCol w:w="109"/>
        <w:gridCol w:w="211"/>
        <w:gridCol w:w="61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Stock-Based Compensation Expense:</w:t>
            </w:r>
          </w:p>
        </w:tc>
        <w:tc>
          <w:tcPr>
            <w:tcW w:w="3612" w:type="dxa"/>
            <w:gridSpan w:val="15"/>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income (expense), net, Other Income (expense), net</w:t>
      </w:r>
    </w:p>
    <w:tbl>
      <w:tblPr>
        <w:tblW w:w="9489" w:type="dxa"/>
        <w:jc w:val="left"/>
        <w:tblInd w:w="0" w:type="dxa"/>
        <w:tblLayout w:type="fixed"/>
        <w:tblCellMar>
          <w:top w:w="28" w:type="dxa"/>
          <w:left w:w="28" w:type="dxa"/>
          <w:bottom w:w="28" w:type="dxa"/>
          <w:right w:w="28" w:type="dxa"/>
        </w:tblCellMar>
      </w:tblPr>
      <w:tblGrid>
        <w:gridCol w:w="918"/>
        <w:gridCol w:w="805"/>
        <w:gridCol w:w="812"/>
        <w:gridCol w:w="211"/>
        <w:gridCol w:w="691"/>
        <w:gridCol w:w="109"/>
        <w:gridCol w:w="109"/>
        <w:gridCol w:w="109"/>
        <w:gridCol w:w="109"/>
        <w:gridCol w:w="211"/>
        <w:gridCol w:w="616"/>
        <w:gridCol w:w="109"/>
        <w:gridCol w:w="109"/>
        <w:gridCol w:w="109"/>
        <w:gridCol w:w="109"/>
        <w:gridCol w:w="211"/>
        <w:gridCol w:w="541"/>
        <w:gridCol w:w="109"/>
        <w:gridCol w:w="109"/>
        <w:gridCol w:w="109"/>
        <w:gridCol w:w="109"/>
        <w:gridCol w:w="355"/>
        <w:gridCol w:w="321"/>
        <w:gridCol w:w="634"/>
        <w:gridCol w:w="109"/>
        <w:gridCol w:w="109"/>
        <w:gridCol w:w="109"/>
        <w:gridCol w:w="413"/>
        <w:gridCol w:w="413"/>
        <w:gridCol w:w="702"/>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2022 v 2021</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1,630.7 </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-2,825.0 </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-625.4 </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(expense), net, decreased in 2023 compared to 2022, principally as a result of reduced interest income from lower interest income on reduced cash balances, offset by increase in interest expenses incurred from a higher balance of total bank loans.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 increased in 2022 compared to 2021, principally as a result of reduced interest income from lower interest rates on reduced cash balances, offset by increase in interest expenses incurred from short-term and long-term bank loans.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income (expense), net primarily reflects (a) gains or losses recognized from the impact of exchange rates on our foreign currency-denominated working-capital transactions and (b) depreciation of assets acquired with government subsidies, as described under “—Government Research and Development Funding” above. We realized $1.6 million of other expense in the year ended December 31, 2023, of which $2.0 million was due to loss realized from transactions that resulted from changes in the RMB-to-U.S. dollar exchange rate, as compared to a foreign exchange gain of 1.7 million in the corresponding period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78"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68</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income (expense) increased by $3.3 million in the year ended December 31, 2022, of which $1.7 million was due to gains realized from transactions that resulted from changes in the RMB-to-U.S. dollar exchange rate, as compared to a loss of ($0.6 million) in the corresponding period in 2021.</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Realized gain and unrealized loss from short-term investments, and income from equity method investments .</w:t>
      </w:r>
    </w:p>
    <w:tbl>
      <w:tblPr>
        <w:tblW w:w="10205" w:type="dxa"/>
        <w:jc w:val="left"/>
        <w:tblInd w:w="0" w:type="dxa"/>
        <w:tblLayout w:type="fixed"/>
        <w:tblCellMar>
          <w:top w:w="28" w:type="dxa"/>
          <w:left w:w="28" w:type="dxa"/>
          <w:bottom w:w="28" w:type="dxa"/>
          <w:right w:w="28" w:type="dxa"/>
        </w:tblCellMar>
      </w:tblPr>
      <w:tblGrid>
        <w:gridCol w:w="717"/>
        <w:gridCol w:w="630"/>
        <w:gridCol w:w="632"/>
        <w:gridCol w:w="211"/>
        <w:gridCol w:w="648"/>
        <w:gridCol w:w="109"/>
        <w:gridCol w:w="109"/>
        <w:gridCol w:w="109"/>
        <w:gridCol w:w="109"/>
        <w:gridCol w:w="211"/>
        <w:gridCol w:w="648"/>
        <w:gridCol w:w="109"/>
        <w:gridCol w:w="109"/>
        <w:gridCol w:w="109"/>
        <w:gridCol w:w="109"/>
        <w:gridCol w:w="211"/>
        <w:gridCol w:w="616"/>
        <w:gridCol w:w="109"/>
        <w:gridCol w:w="109"/>
        <w:gridCol w:w="109"/>
        <w:gridCol w:w="109"/>
        <w:gridCol w:w="308"/>
        <w:gridCol w:w="308"/>
        <w:gridCol w:w="575"/>
        <w:gridCol w:w="109"/>
        <w:gridCol w:w="109"/>
        <w:gridCol w:w="109"/>
        <w:gridCol w:w="390"/>
        <w:gridCol w:w="391"/>
        <w:gridCol w:w="575"/>
        <w:gridCol w:w="109"/>
        <w:gridCol w:w="109"/>
        <w:gridCol w:w="109"/>
        <w:gridCol w:w="251"/>
        <w:gridCol w:w="733"/>
        <w:gridCol w:w="188"/>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2022 v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2023 v 2022</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sale of short-term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710.7 </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-1394.1 </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equity method investments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realized gain on sale of short-term investments of $9.0 million for the year ended December 31, 2023 as compared to a realized gain of $1.1 million for the same period in 2022 primarily due to the sales of ACM Shanghai’s indirect investment in publicly traded shares.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an unrealized loss on short-term investments of $2.7 million for the year ended December 31, 2023 as compared to an unrealized loss of $7.9 million for the same period in 2022, due primarily to a change in market value of ACM Shanghai’s indirect investment in publicly traded shares.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recorded an unrealized loss on short-term investments of $7.9 million for the year ended December 31, 2022 as compared to an unrealized gain of $0.7 million for the same period in 2021, due primarily to a change in market value of ACM Shanghai’s indirect investment in publicly traded shares.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investments for the year ended December 31, 2023 increased by $5.3 million compared to the year ended December 31, 2022 primarily due to higher net income from equity method investments.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Income from equity method investments for the year ended December 31, 2022 was unchanged versus the year ended December 31, 2021. Income from equity method investments increased by $4.0 million for the year ended December 31, 2021 due to higher net income from equity method investments.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79"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69</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Tax Benefit (Expense)</w:t>
      </w:r>
    </w:p>
    <w:tbl>
      <w:tblPr>
        <w:tblW w:w="6792" w:type="dxa"/>
        <w:jc w:val="left"/>
        <w:tblInd w:w="0" w:type="dxa"/>
        <w:tblLayout w:type="fixed"/>
        <w:tblCellMar>
          <w:top w:w="28" w:type="dxa"/>
          <w:left w:w="28" w:type="dxa"/>
          <w:bottom w:w="28" w:type="dxa"/>
          <w:right w:w="28" w:type="dxa"/>
        </w:tblCellMar>
      </w:tblPr>
      <w:tblGrid>
        <w:gridCol w:w="1083"/>
        <w:gridCol w:w="954"/>
        <w:gridCol w:w="963"/>
        <w:gridCol w:w="211"/>
        <w:gridCol w:w="796"/>
        <w:gridCol w:w="109"/>
        <w:gridCol w:w="109"/>
        <w:gridCol w:w="109"/>
        <w:gridCol w:w="109"/>
        <w:gridCol w:w="211"/>
        <w:gridCol w:w="796"/>
        <w:gridCol w:w="109"/>
        <w:gridCol w:w="109"/>
        <w:gridCol w:w="109"/>
        <w:gridCol w:w="109"/>
        <w:gridCol w:w="211"/>
        <w:gridCol w:w="541"/>
        <w:gridCol w:w="154"/>
      </w:tblGrid>
      <w:tr>
        <w:trPr/>
        <w:tc>
          <w:tcPr>
            <w:tcW w:w="108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thousands) </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tax expense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benefit (expense)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recognized a tax expense of $19.4 million for the year ended December 31, 2023 as compared to a tax expense of $16.8 million for the prior year period. The increased tax expense in 2023 primarily resulted from the tax effect of increased operating profit generated.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we collect and prepare necessary data, and interpret the guidance issued by the U.S. Treasury Department, the Internal Revenue Service, and other standard-setting bodies, we may make adjustments to the provisional amounts. Those adjustments may materially affect our provision for income taxes and effective tax rate in the period in which the adjustments are made. There were no adjustments made in 2023.</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Our effective tax rate differs from statutory rates of 21% for U.S. federal income tax purposes and 12.5% to 25% for mainland China income tax purposes due to the effects of the valuation allowance and certain permanent differences as it pertains to book-tax differences in the treatment of stock-based compensation and non-U.S. research expenses. Our four mainland China subsidiaries, ACM Shanghai, ACM Wuxi, ACM Beijing, and ACM Lingang, are liable for mainland China corporate income taxes at the rates of 15%, 25%, 25%, and 15%, respectively. Pursuant to the Corporate Income Tax Law of mainland China, our mainland China subsidiaries generally would be liable for mainland China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2018, and 2021, </w:t>
      </w:r>
      <w:r>
        <w:rPr>
          <w:rFonts w:ascii="Times New Roman;sans-serif" w:hAnsi="Times New Roman;sans-serif"/>
          <w:b w:val="false"/>
          <w:color w:val="000000"/>
          <w:sz w:val="20"/>
        </w:rPr>
        <w:t>effective until December 31, 2023, and is expected to be re-certified for future years in 2024</w:t>
      </w:r>
      <w:r>
        <w:rPr>
          <w:rFonts w:ascii="Times New Roman;sans-serif" w:hAnsi="Times New Roman;sans-serif"/>
          <w:b w:val="false"/>
          <w:color w:val="000000"/>
          <w:sz w:val="20"/>
          <w:shd w:fill="FFFFFF" w:val="clear"/>
        </w:rPr>
        <w:t>. In 2021, ACM Shanghai was certified as an eligible integrated circuit production enterprise and is entitled to a preferential income tax rate of 12.5% from January 1, 2020 to December 31, 2022.</w:t>
      </w:r>
      <w:r>
        <w:rPr>
          <w:color w:val="000000"/>
        </w:rPr>
        <w:t xml:space="preserve"> </w:t>
      </w:r>
      <w:r>
        <w:rPr>
          <w:rFonts w:ascii="Times New Roman;sans-serif" w:hAnsi="Times New Roman;sans-serif"/>
          <w:b w:val="false"/>
          <w:color w:val="000000"/>
          <w:sz w:val="20"/>
        </w:rPr>
        <w:t>Certain entities which meet requirements according to the Policy of the Lingang New area in China (Shanghai) Pilot Free Trade Zone are entitled to a preferential income tax rate of 15%. ACM Lingang was certified for this in 2021, and this preferential income tax rate is valid from December 31, 2020 until December 31, 2024.</w:t>
      </w:r>
    </w:p>
    <w:p>
      <w:pPr>
        <w:pStyle w:val="TextBody"/>
        <w:bidi w:val="0"/>
        <w:spacing w:lineRule="auto" w:line="268" w:before="240" w:after="283"/>
        <w:jc w:val="both"/>
        <w:rPr/>
      </w:pPr>
      <w:r>
        <w:rPr>
          <w:rFonts w:ascii="Times New Roman;sans-serif" w:hAnsi="Times New Roman;sans-serif"/>
          <w:b w:val="false"/>
          <w:color w:val="000000"/>
          <w:sz w:val="20"/>
          <w:shd w:fill="FFFFFF" w:val="clear"/>
        </w:rPr>
        <w:t xml:space="preserve">We file income tax returns in the United States and state and foreign jurisdictions. </w:t>
      </w:r>
      <w:r>
        <w:rPr>
          <w:rFonts w:ascii="Times New Roman;sans-serif" w:hAnsi="Times New Roman;sans-serif"/>
          <w:b w:val="false"/>
          <w:color w:val="000000"/>
          <w:sz w:val="20"/>
        </w:rPr>
        <w:t>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80"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Net Income Attributable to Non-Controlling Interests</w:t>
      </w:r>
    </w:p>
    <w:tbl>
      <w:tblPr>
        <w:tblW w:w="10205" w:type="dxa"/>
        <w:jc w:val="left"/>
        <w:tblInd w:w="0" w:type="dxa"/>
        <w:tblLayout w:type="fixed"/>
        <w:tblCellMar>
          <w:top w:w="28" w:type="dxa"/>
          <w:left w:w="28" w:type="dxa"/>
          <w:bottom w:w="28" w:type="dxa"/>
          <w:right w:w="28" w:type="dxa"/>
        </w:tblCellMar>
      </w:tblPr>
      <w:tblGrid>
        <w:gridCol w:w="1255"/>
        <w:gridCol w:w="1102"/>
        <w:gridCol w:w="110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55"/>
        <w:gridCol w:w="256"/>
        <w:gridCol w:w="609"/>
        <w:gridCol w:w="109"/>
        <w:gridCol w:w="109"/>
        <w:gridCol w:w="109"/>
        <w:gridCol w:w="308"/>
        <w:gridCol w:w="308"/>
        <w:gridCol w:w="679"/>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2022 v 2021</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6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ACM Research owns 82.1% of ACM Shanghai’s (note 1) outstanding shares which is reflected in our consolidated financial statements (note 2). We reflect the</w:t>
      </w:r>
      <w:r>
        <w:rPr>
          <w:color w:val="000000"/>
        </w:rPr>
        <w:t xml:space="preserve"> </w:t>
      </w:r>
      <w:r>
        <w:rPr>
          <w:rFonts w:ascii="Times New Roman;sans-serif" w:hAnsi="Times New Roman;sans-serif"/>
          <w:b w:val="false"/>
          <w:color w:val="000000"/>
          <w:sz w:val="20"/>
          <w:shd w:fill="FFFFFF" w:val="clear"/>
        </w:rPr>
        <w:t>portion of net income allocable to the minority holders of ACM Shanghai shares as net income attributable to non-controlling interests.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Foreign currency translation adjustment</w:t>
      </w:r>
    </w:p>
    <w:tbl>
      <w:tblPr>
        <w:tblW w:w="10205" w:type="dxa"/>
        <w:jc w:val="left"/>
        <w:tblInd w:w="0" w:type="dxa"/>
        <w:tblLayout w:type="fixed"/>
        <w:tblCellMar>
          <w:top w:w="28" w:type="dxa"/>
          <w:left w:w="28" w:type="dxa"/>
          <w:bottom w:w="28" w:type="dxa"/>
          <w:right w:w="28" w:type="dxa"/>
        </w:tblCellMar>
      </w:tblPr>
      <w:tblGrid>
        <w:gridCol w:w="1114"/>
        <w:gridCol w:w="979"/>
        <w:gridCol w:w="982"/>
        <w:gridCol w:w="211"/>
        <w:gridCol w:w="788"/>
        <w:gridCol w:w="109"/>
        <w:gridCol w:w="109"/>
        <w:gridCol w:w="109"/>
        <w:gridCol w:w="109"/>
        <w:gridCol w:w="211"/>
        <w:gridCol w:w="788"/>
        <w:gridCol w:w="109"/>
        <w:gridCol w:w="109"/>
        <w:gridCol w:w="109"/>
        <w:gridCol w:w="109"/>
        <w:gridCol w:w="211"/>
        <w:gridCol w:w="616"/>
        <w:gridCol w:w="109"/>
        <w:gridCol w:w="109"/>
        <w:gridCol w:w="109"/>
        <w:gridCol w:w="109"/>
        <w:gridCol w:w="285"/>
        <w:gridCol w:w="286"/>
        <w:gridCol w:w="623"/>
        <w:gridCol w:w="109"/>
        <w:gridCol w:w="109"/>
        <w:gridCol w:w="109"/>
        <w:gridCol w:w="390"/>
        <w:gridCol w:w="391"/>
        <w:gridCol w:w="695"/>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2022 v 2021</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-1358.8 </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recorded a foreign currency translation adjustment of ($10.6 million) for the year ended December 31, 2023, as compared to $(59.1) million for 2022, based on the net effect of RMB to dollar exchange rate fluctuations for the period on the converted value of ACM Shanghai’s RMB-denominated balances to U.S. dollar equivalents. The 2022 amount was especially large due to a weakening of the RMB versus the U.S. dollar during the year ended December 31, 2022 together with a more significant RMB-denominated asset balance in 2022.</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Comprehensive income (loss) attributable to non-controlling interests</w:t>
      </w:r>
    </w:p>
    <w:tbl>
      <w:tblPr>
        <w:tblW w:w="10205" w:type="dxa"/>
        <w:jc w:val="left"/>
        <w:tblInd w:w="0" w:type="dxa"/>
        <w:tblLayout w:type="fixed"/>
        <w:tblCellMar>
          <w:top w:w="28" w:type="dxa"/>
          <w:left w:w="28" w:type="dxa"/>
          <w:bottom w:w="28" w:type="dxa"/>
          <w:right w:w="28" w:type="dxa"/>
        </w:tblCellMar>
      </w:tblPr>
      <w:tblGrid>
        <w:gridCol w:w="1284"/>
        <w:gridCol w:w="1129"/>
        <w:gridCol w:w="1134"/>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308"/>
        <w:gridCol w:w="308"/>
        <w:gridCol w:w="591"/>
        <w:gridCol w:w="109"/>
        <w:gridCol w:w="109"/>
        <w:gridCol w:w="109"/>
        <w:gridCol w:w="285"/>
        <w:gridCol w:w="286"/>
        <w:gridCol w:w="659"/>
      </w:tblGrid>
      <w:tr>
        <w:trPr/>
        <w:tc>
          <w:tcPr>
            <w:tcW w:w="128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3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2022 v 2021</w:t>
            </w:r>
          </w:p>
        </w:tc>
      </w:tr>
      <w:tr>
        <w:trPr/>
        <w:tc>
          <w:tcPr>
            <w:tcW w:w="3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non-controlling interests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854.1 </w:t>
            </w:r>
          </w:p>
        </w:tc>
        <w:tc>
          <w:tcPr>
            <w:tcW w:w="5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Comprehensive income attributable to non-controlling interest increased by $15.8 million compared to a decrease of $(3.8) million for the years ended December 31, 2023 and 2022 compared to the prior year, due to a significant change in net income generated from the non-controlling interests as impacted from foreign exchange rate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81"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71</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chart depicts our corporate organization as of December 31, 2023:</w:t>
      </w:r>
    </w:p>
    <w:p>
      <w:pPr>
        <w:pStyle w:val="TextBody"/>
        <w:bidi w:val="0"/>
        <w:spacing w:before="240" w:after="283"/>
        <w:jc w:val="center"/>
        <w:rPr/>
      </w:pPr>
      <w:r>
        <w:rPr/>
        <w:drawing>
          <wp:inline distT="0" distB="0" distL="0" distR="0">
            <wp:extent cx="6286500" cy="2495550"/>
            <wp:effectExtent l="0" t="0" r="0" b="0"/>
            <wp:docPr id="8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1" descr=""/>
                    <pic:cNvPicPr>
                      <a:picLocks noChangeAspect="1" noChangeArrowheads="1"/>
                    </pic:cNvPicPr>
                  </pic:nvPicPr>
                  <pic:blipFill>
                    <a:blip r:embed="rId12"/>
                    <a:stretch>
                      <a:fillRect/>
                    </a:stretch>
                  </pic:blipFill>
                  <pic:spPr bwMode="auto">
                    <a:xfrm>
                      <a:off x="0" y="0"/>
                      <a:ext cx="6286500" cy="2495550"/>
                    </a:xfrm>
                    <a:prstGeom prst="rect">
                      <a:avLst/>
                    </a:prstGeom>
                  </pic:spPr>
                </pic:pic>
              </a:graphicData>
            </a:graphic>
          </wp:inline>
        </w:drawing>
      </w:r>
    </w:p>
    <w:p>
      <w:pPr>
        <w:pStyle w:val="TextBody"/>
        <w:bidi w:val="0"/>
        <w:spacing w:lineRule="auto" w:line="288" w:before="240" w:after="283"/>
        <w:jc w:val="both"/>
        <w:rPr/>
      </w:pPr>
      <w:r>
        <w:rPr>
          <w:rFonts w:ascii="Times New Roman;sans-serif" w:hAnsi="Times New Roman;sans-serif"/>
          <w:b w:val="false"/>
          <w:color w:val="000000"/>
          <w:sz w:val="20"/>
          <w:shd w:fill="FFFFFF" w:val="clear"/>
        </w:rPr>
        <w:t>A detailed description of how cash is transferred through our organization is set forth unde</w:t>
      </w:r>
      <w:r>
        <w:rPr>
          <w:rFonts w:ascii="Times New Roman;sans-serif" w:hAnsi="Times New Roman;sans-serif"/>
          <w:b w:val="false"/>
          <w:color w:val="000000"/>
          <w:sz w:val="20"/>
        </w:rPr>
        <w:t xml:space="preserve">r “Note 2 – Summary of </w:t>
      </w:r>
      <w:r>
        <w:rPr>
          <w:rFonts w:ascii="Times New Roman;sans-serif" w:hAnsi="Times New Roman;sans-serif"/>
          <w:b w:val="false"/>
          <w:color w:val="000000"/>
          <w:sz w:val="20"/>
          <w:shd w:fill="FFFFFF" w:val="clear"/>
        </w:rPr>
        <w:t>Significant Accounting Policies – Cash and Cash Equivalents” to the Consolidated Financial Statements of this report.</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During the year ended December 31, 2023, we funded our technology development and operations principally through our beginning global cash balances, including the cash balances at ACM Shanghai, borrowings by ACM Shanghai from local financial institutions and our loan from China CITIC Bank. Cash and cash equivalents, restricted cash, short-term time deposits and long-term time deposits were $304.5 million at December 31, 2023, compared to $420.9 million at December 31, 2022. The ($116.4 million) decrease was primarily driven by ($75.3 million) of cash used in operations, ($60.2 million) used in investing activities excluding the change in time deposits, $18.5 million net cash provided by financing activitie</w:t>
      </w:r>
      <w:r>
        <w:rPr>
          <w:rFonts w:ascii="Times New Roman;sans-serif" w:hAnsi="Times New Roman;sans-serif"/>
          <w:b w:val="false"/>
          <w:color w:val="000000"/>
          <w:sz w:val="20"/>
        </w:rPr>
        <w:t xml:space="preserve">s, a $1.7 million decrease from the effect of </w:t>
      </w:r>
      <w:r>
        <w:rPr>
          <w:rFonts w:ascii="Times New Roman;sans-serif" w:hAnsi="Times New Roman;sans-serif"/>
          <w:b w:val="false"/>
          <w:color w:val="000000"/>
          <w:sz w:val="20"/>
          <w:shd w:fill="FFFFFF" w:val="clear"/>
        </w:rPr>
        <w:t xml:space="preserve">exchange rate on cash, cash equivalents and restricted cash, </w:t>
      </w:r>
      <w:r>
        <w:rPr>
          <w:rFonts w:ascii="Times New Roman;sans-serif" w:hAnsi="Times New Roman;sans-serif"/>
          <w:b w:val="false"/>
          <w:color w:val="000000"/>
          <w:sz w:val="20"/>
        </w:rPr>
        <w:t>and a $2.4 million incr</w:t>
      </w:r>
      <w:r>
        <w:rPr>
          <w:rFonts w:ascii="Times New Roman;sans-serif" w:hAnsi="Times New Roman;sans-serif"/>
          <w:b w:val="false"/>
          <w:color w:val="000000"/>
          <w:sz w:val="20"/>
          <w:shd w:fill="FFFFFF" w:val="clear"/>
        </w:rPr>
        <w:t>ease</w:t>
      </w:r>
      <w:r>
        <w:rPr>
          <w:color w:val="000000"/>
        </w:rPr>
        <w:t xml:space="preserve"> </w:t>
      </w:r>
      <w:r>
        <w:rPr>
          <w:rFonts w:ascii="Times New Roman;sans-serif" w:hAnsi="Times New Roman;sans-serif"/>
          <w:b w:val="false"/>
          <w:color w:val="000000"/>
          <w:sz w:val="20"/>
        </w:rPr>
        <w:t>from the effect of exchange rate on time deposits.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The table below represents the cash an</w:t>
      </w:r>
      <w:r>
        <w:rPr>
          <w:rFonts w:ascii="Times New Roman;sans-serif" w:hAnsi="Times New Roman;sans-serif"/>
          <w:b w:val="false"/>
          <w:color w:val="000000"/>
          <w:sz w:val="20"/>
        </w:rPr>
        <w:t>d cash equivalents, restricted cash, and time</w:t>
      </w:r>
      <w:r>
        <w:rPr>
          <w:color w:val="000000"/>
          <w:shd w:fill="FFFFFF" w:val="clear"/>
        </w:rPr>
        <w:t xml:space="preserve"> </w:t>
      </w:r>
      <w:r>
        <w:rPr>
          <w:rFonts w:ascii="Times New Roman;sans-serif" w:hAnsi="Times New Roman;sans-serif"/>
          <w:b w:val="false"/>
          <w:color w:val="000000"/>
          <w:sz w:val="20"/>
          <w:shd w:fill="FFFFFF" w:val="clear"/>
        </w:rPr>
        <w:t>deposits as of December 31, 2023 and 2022:</w:t>
      </w:r>
    </w:p>
    <w:tbl>
      <w:tblPr>
        <w:tblW w:w="7868" w:type="dxa"/>
        <w:jc w:val="left"/>
        <w:tblInd w:w="0" w:type="dxa"/>
        <w:tblLayout w:type="fixed"/>
        <w:tblCellMar>
          <w:top w:w="28" w:type="dxa"/>
          <w:left w:w="28" w:type="dxa"/>
          <w:bottom w:w="28" w:type="dxa"/>
          <w:right w:w="28" w:type="dxa"/>
        </w:tblCellMar>
      </w:tblPr>
      <w:tblGrid>
        <w:gridCol w:w="1872"/>
        <w:gridCol w:w="1649"/>
        <w:gridCol w:w="1653"/>
        <w:gridCol w:w="211"/>
        <w:gridCol w:w="841"/>
        <w:gridCol w:w="109"/>
        <w:gridCol w:w="109"/>
        <w:gridCol w:w="109"/>
        <w:gridCol w:w="109"/>
        <w:gridCol w:w="211"/>
        <w:gridCol w:w="841"/>
        <w:gridCol w:w="154"/>
      </w:tblGrid>
      <w:tr>
        <w:trPr/>
        <w:tc>
          <w:tcPr>
            <w:tcW w:w="187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 restricted cash, and time deposits: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time deposits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time deposits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304,515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420,899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future working capital needs beyond the next twelve months will depend on many factors, including the rate of our business and revenue growth, the payment schedules of our customers, the timing and magnitude of our capital expenditures, and the timing of investment in our research and development as well as sales and marketing. We believe our existing cash and cash equivalents and short-term and long-term time deposits, our cash flow from operating activities, and bank borrowings by us and ACM Shanghai will be sufficient to meet our anticipated cash needs within our longer-term planning horizon.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ACM Shanghai has historically participated in certain mainland China government-sponsored grant and subsidy programs, as described under “—Key Components of Results of Operations—mainland China Government Research and Development Funding” and “—Contractual Obligations” and we expect that ACM Shanghai will continue to take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83"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72</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advantage of these programs when they are available and fit with our business strategy. ACM Shanghai generally applies for these grants and subsidies through the applicable mainland China government agency’s defined processes. Periodically, the public relations department researches the availability of these grants and subsidies through mainland China government agencies with whom ACM Shanghai files business surveys and taxes. Management of ACM Shanghai then assesses which grants and subsidies for which ACM Shanghai may be eligible and submits the relevant application. The decision to award the grant to ACM Shanghai is made by the relevant mainland China government agencies based on suitability and the merits of the application. Neither ACM Research, nor ACM Shanghai or any of our other subsidiaries, has any direct relationship with any mainland China government agency, and our anticipated cash needs for the next twelve months neither anticipate, nor require, receipt of any mainland China government grants or subsidies.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Restrictions under mainland China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Factors–Regulatory Risks–Mainland China’s currency exchange control and government restrictions on investment repatriation may impact our ability to transfer funds outside of mainland China, which could materially and adversely affect our ability to grow, make investments or acquisitions that could benefit our business, otherwise fund and conduct our business, or pay dividends on our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years ended December 31, 2023 and 2022, with the exception of sales and services-related transfer-pricing payments in the ordinary course of business, and dividends paid by ACM Shanghai to ACM Research, no transfers or distributions have been made between ACM Research, and its subsidiaries, including ACM Shanghai, or to holders of ACM Research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cash and cash equivalents at December 31, 2023 were held for working capital purposes and other potential investments. ACM Shanghai, our only direct mainland China subsidiary, is, however, subject to mainland China restrictions on distributions to equity holders. The use of proceeds raised by the STAR Market IPO, without further approvals, are limited to specific usage. We currently intend for ACM Shanghai to retain all available funds from any future earnings for use in the operation of its business and do not anticipate it paying any cash dividends. Our accounts receivable balance fluctuates from period to period, which affects our cash flow from operating activities. Fluctuations vary depending on cash collections, client mix, and the timing of shipment and acceptance of our tools.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84"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pPr>
      <w:r>
        <w:rPr>
          <w:rFonts w:ascii="Times New Roman;sans-serif" w:hAnsi="Times New Roman;sans-serif"/>
          <w:b/>
          <w:i/>
          <w:color w:val="000000"/>
          <w:sz w:val="20"/>
          <w:shd w:fill="FFFFFF" w:val="clear"/>
        </w:rPr>
        <w:t xml:space="preserve">Cash Flow Used in Operating Activities. </w:t>
      </w:r>
      <w:r>
        <w:rPr>
          <w:rFonts w:ascii="Times New Roman;sans-serif" w:hAnsi="Times New Roman;sans-serif"/>
          <w:b w:val="false"/>
          <w:color w:val="000000"/>
          <w:sz w:val="20"/>
          <w:shd w:fill="FFFFFF" w:val="clear"/>
        </w:rPr>
        <w:t>Net cash used by operations of ($75.3 million) during the year ended December 31, 2023 consisted of:</w:t>
      </w:r>
    </w:p>
    <w:tbl>
      <w:tblPr>
        <w:tblW w:w="8276" w:type="dxa"/>
        <w:jc w:val="left"/>
        <w:tblInd w:w="0" w:type="dxa"/>
        <w:tblLayout w:type="fixed"/>
        <w:tblCellMar>
          <w:top w:w="28" w:type="dxa"/>
          <w:left w:w="28" w:type="dxa"/>
          <w:bottom w:w="28" w:type="dxa"/>
          <w:right w:w="28" w:type="dxa"/>
        </w:tblCellMar>
      </w:tblPr>
      <w:tblGrid>
        <w:gridCol w:w="1532"/>
        <w:gridCol w:w="1343"/>
        <w:gridCol w:w="1354"/>
        <w:gridCol w:w="211"/>
        <w:gridCol w:w="796"/>
        <w:gridCol w:w="109"/>
        <w:gridCol w:w="109"/>
        <w:gridCol w:w="109"/>
        <w:gridCol w:w="109"/>
        <w:gridCol w:w="211"/>
        <w:gridCol w:w="796"/>
        <w:gridCol w:w="109"/>
        <w:gridCol w:w="109"/>
        <w:gridCol w:w="109"/>
        <w:gridCol w:w="109"/>
        <w:gridCol w:w="211"/>
        <w:gridCol w:w="796"/>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Non-cash operating lease cost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Provision for inventory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Provision for credit losses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disposals of property plant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short-term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equity method investments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short-term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operating assets and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(85,926)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flow used in operating activities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(75,323)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(62,194)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(40,093)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Significant changes in operating asset and liability accounts during the year-ended December 31, 2023 included the following uses of cash: increases of inventories of $164.0 million (Note 5), and an increase of accounts receivable of $108.7 million (Note 4). As described under “—Key Components of Results of Operations—mainland China Government Research and Development Funding,” ACM Shanghai has received research and development grants from local and central mainland China governmental author</w:t>
      </w:r>
      <w:r>
        <w:rPr>
          <w:rFonts w:ascii="Times New Roman;sans-serif" w:hAnsi="Times New Roman;sans-serif"/>
          <w:b w:val="false"/>
          <w:color w:val="000000"/>
          <w:sz w:val="20"/>
        </w:rPr>
        <w:t>ities. ACM Shanghai receiv</w:t>
      </w:r>
      <w:r>
        <w:rPr>
          <w:rFonts w:ascii="Times New Roman;sans-serif" w:hAnsi="Times New Roman;sans-serif"/>
          <w:b w:val="false"/>
          <w:color w:val="000000"/>
          <w:sz w:val="20"/>
          <w:shd w:fill="FFFFFF" w:val="clear"/>
        </w:rPr>
        <w:t>ed $51,000 of payments related to such grants in the year ended December 31, 2023, as compared to cash receipts of $1.1 million in the same</w:t>
      </w:r>
      <w:r>
        <w:rPr>
          <w:color w:val="000000"/>
        </w:rPr>
        <w:t xml:space="preserve"> </w:t>
      </w:r>
      <w:r>
        <w:rPr>
          <w:rFonts w:ascii="Times New Roman;sans-serif" w:hAnsi="Times New Roman;sans-serif"/>
          <w:b w:val="false"/>
          <w:color w:val="000000"/>
          <w:sz w:val="20"/>
        </w:rPr>
        <w:t>period of 2022.</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The uses of cash are offset by the following significant sources of cash: an increase in advances from customers of $30.0 (Note 3), an increase in other payables and accrued expenses</w:t>
      </w:r>
      <w:r>
        <w:rPr>
          <w:color w:val="000000"/>
        </w:rPr>
        <w:t xml:space="preserve"> </w:t>
      </w:r>
      <w:r>
        <w:rPr>
          <w:rFonts w:ascii="Times New Roman;sans-serif" w:hAnsi="Times New Roman;sans-serif"/>
          <w:b w:val="false"/>
          <w:color w:val="000000"/>
          <w:sz w:val="20"/>
        </w:rPr>
        <w:t>of $21.4 million,</w:t>
      </w:r>
      <w:r>
        <w:rPr>
          <w:color w:val="000000"/>
          <w:shd w:fill="FFFFFF" w:val="clear"/>
        </w:rPr>
        <w:t xml:space="preserve"> </w:t>
      </w:r>
      <w:r>
        <w:rPr>
          <w:rFonts w:ascii="Times New Roman;sans-serif" w:hAnsi="Times New Roman;sans-serif"/>
          <w:b w:val="false"/>
          <w:color w:val="000000"/>
          <w:sz w:val="20"/>
          <w:shd w:fill="FFFFFF" w:val="clear"/>
        </w:rPr>
        <w:t>and an increase in accounts payable of $42.3 million.</w:t>
      </w:r>
    </w:p>
    <w:p>
      <w:pPr>
        <w:pStyle w:val="TextBody"/>
        <w:bidi w:val="0"/>
        <w:spacing w:lineRule="auto" w:line="288" w:before="240" w:after="283"/>
        <w:jc w:val="both"/>
        <w:rPr/>
      </w:pPr>
      <w:r>
        <w:rPr>
          <w:rFonts w:ascii="Times New Roman;sans-serif" w:hAnsi="Times New Roman;sans-serif"/>
          <w:b/>
          <w:i/>
          <w:color w:val="000000"/>
          <w:sz w:val="20"/>
          <w:shd w:fill="FFFFFF" w:val="clear"/>
        </w:rPr>
        <w:t xml:space="preserve">Cash Flow Used in Investing Activities. </w:t>
      </w:r>
      <w:r>
        <w:rPr>
          <w:rFonts w:ascii="Times New Roman;sans-serif" w:hAnsi="Times New Roman;sans-serif"/>
          <w:b w:val="false"/>
          <w:color w:val="000000"/>
          <w:sz w:val="20"/>
          <w:shd w:fill="FFFFFF" w:val="clear"/>
        </w:rPr>
        <w:t xml:space="preserve">Net cash used in investing activities for the year ended December 31, 2023, excluding net cash proceeds from the sale of time deposits, was ($60.2 million), primarily consisting of ($64.3 million) purchase of property and equipment and intangible assets, and ($7.5 million) purchase of long-term investments (note 14), partly offset by $3.4 million net proceeds from the sale of short-term investments, and $8.2 million of dividends received from long-term investments (note 14). </w:t>
      </w:r>
    </w:p>
    <w:p>
      <w:pPr>
        <w:pStyle w:val="TextBody"/>
        <w:bidi w:val="0"/>
        <w:spacing w:lineRule="auto" w:line="288" w:before="240" w:after="283"/>
        <w:jc w:val="both"/>
        <w:rPr/>
      </w:pPr>
      <w:r>
        <w:rPr>
          <w:rFonts w:ascii="Times New Roman;sans-serif" w:hAnsi="Times New Roman;sans-serif"/>
          <w:b/>
          <w:i/>
          <w:color w:val="000000"/>
          <w:sz w:val="20"/>
          <w:shd w:fill="FFFFFF" w:val="clear"/>
        </w:rPr>
        <w:t xml:space="preserve">Cash Flow provided by Financing Activities. </w:t>
      </w:r>
      <w:r>
        <w:rPr>
          <w:rFonts w:ascii="Times New Roman;sans-serif" w:hAnsi="Times New Roman;sans-serif"/>
          <w:b w:val="false"/>
          <w:color w:val="000000"/>
          <w:sz w:val="20"/>
          <w:shd w:fill="FFFFFF" w:val="clear"/>
        </w:rPr>
        <w:t>Net cash provided by financing</w:t>
      </w:r>
      <w:r>
        <w:rPr>
          <w:color w:val="000000"/>
          <w:shd w:fill="FFFFFF" w:val="clear"/>
        </w:rPr>
        <w:t xml:space="preserve"> </w:t>
      </w:r>
      <w:r>
        <w:rPr>
          <w:rFonts w:ascii="Times New Roman;sans-serif" w:hAnsi="Times New Roman;sans-serif"/>
          <w:b w:val="false"/>
          <w:color w:val="000000"/>
          <w:sz w:val="20"/>
          <w:shd w:fill="FFFFFF" w:val="clear"/>
        </w:rPr>
        <w:t>for the year ended December 31, 2023 was $18.5 million, primarily consisting of $16.3 million net proceeds from short and long-term borrowings, and $6.1 million in proceeds from the exercise of stock options, partly offset by ($4.0 million) of dividends paid by ACM Shanghai.</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ACM Shanghai, together with the subsidiaries of ACM Shanghai, have short-term and long-term borrowings with six banks,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85"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74</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760"/>
        <w:gridCol w:w="642"/>
        <w:gridCol w:w="248"/>
        <w:gridCol w:w="109"/>
        <w:gridCol w:w="109"/>
        <w:gridCol w:w="109"/>
        <w:gridCol w:w="348"/>
        <w:gridCol w:w="348"/>
        <w:gridCol w:w="349"/>
        <w:gridCol w:w="109"/>
        <w:gridCol w:w="109"/>
        <w:gridCol w:w="109"/>
        <w:gridCol w:w="480"/>
        <w:gridCol w:w="419"/>
        <w:gridCol w:w="341"/>
        <w:gridCol w:w="109"/>
        <w:gridCol w:w="109"/>
        <w:gridCol w:w="109"/>
        <w:gridCol w:w="273"/>
        <w:gridCol w:w="238"/>
        <w:gridCol w:w="423"/>
        <w:gridCol w:w="109"/>
        <w:gridCol w:w="109"/>
        <w:gridCol w:w="109"/>
        <w:gridCol w:w="361"/>
        <w:gridCol w:w="928"/>
        <w:gridCol w:w="111"/>
        <w:gridCol w:w="175"/>
        <w:gridCol w:w="175"/>
        <w:gridCol w:w="176"/>
        <w:gridCol w:w="342"/>
        <w:gridCol w:w="942"/>
        <w:gridCol w:w="110"/>
        <w:gridCol w:w="109"/>
        <w:gridCol w:w="109"/>
        <w:gridCol w:w="109"/>
        <w:gridCol w:w="109"/>
        <w:gridCol w:w="109"/>
        <w:gridCol w:w="163"/>
      </w:tblGrid>
      <w:tr>
        <w:trPr/>
        <w:tc>
          <w:tcPr>
            <w:tcW w:w="7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Agreement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Annual</w:t>
              <w:br/>
              <w:t xml:space="preserve">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Maximum Borrowing</w:t>
              <w:br/>
              <w:t>Amount(1)</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 Outstanding</w:t>
              <w:br/>
              <w:t>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CITIC Bank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December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RMB200,000</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Everbright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RMB150,000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RMB17,440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Bank of China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RMB40,000</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RMB40,000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Merchants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RMB200,000</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ans-serif" w:hAnsi="Times New Roman;sans-serif"/>
                <w:b w:val="false"/>
                <w:color w:val="000000"/>
                <w:sz w:val="20"/>
              </w:rPr>
              <w:t xml:space="preserve">RMB153,000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China Merchants Bank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November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RMB128,500</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RMB94,633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Bank of China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June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RMB7,500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Bank of China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September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RMB35,000</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RMB28,000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Bank of Shanghai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China CITIC Bank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August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Industrial Bank of Korea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July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KRW500,000</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KRW100,000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Industrial Bank of Korea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KRW2,000,000</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KRW2,000,000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137,976 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92,070 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86"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75</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ind w:left="0" w:right="0" w:hanging="540"/>
        <w:jc w:val="both"/>
        <w:rPr/>
      </w:pPr>
      <w:r>
        <w:rPr>
          <w:rFonts w:ascii="Arial;sans-serif" w:hAnsi="Arial;sans-serif"/>
          <w:b w:val="false"/>
          <w:color w:val="000000"/>
          <w:sz w:val="24"/>
        </w:rPr>
        <w:t>(1)</w:t>
      </w:r>
      <w:r>
        <w:rPr>
          <w:rFonts w:ascii="Times New Roman;sans-serif" w:hAnsi="Times New Roman;sans-serif"/>
          <w:b w:val="false"/>
          <w:color w:val="000000"/>
          <w:sz w:val="20"/>
        </w:rPr>
        <w:t>Converted from RMB to dollars as of December 31, 2023. The loan from China Merchants Bank is secured by a pledge of the property of ACM Lingang and guaranteed by ACM Shanghai, as described above under “—Contractual Obligations.”</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(2)This China CITIC bank facility agreement is with ACM Research, Inc.</w:t>
      </w:r>
    </w:p>
    <w:p>
      <w:pPr>
        <w:pStyle w:val="TextBody"/>
        <w:bidi w:val="0"/>
        <w:spacing w:lineRule="auto" w:line="288" w:before="240" w:after="283"/>
        <w:jc w:val="both"/>
        <w:rPr/>
      </w:pPr>
      <w:r>
        <w:rPr>
          <w:rFonts w:ascii="Times New Roman;sans-serif" w:hAnsi="Times New Roman;sans-serif"/>
          <w:b/>
          <w:i/>
          <w:color w:val="000000"/>
          <w:sz w:val="20"/>
          <w:shd w:fill="FFFFFF" w:val="clear"/>
        </w:rPr>
        <w:t xml:space="preserve">Effect of exchange rate changes on cash, cash equivalents and restricted cash. </w:t>
      </w:r>
      <w:r>
        <w:rPr>
          <w:rFonts w:ascii="Times New Roman;sans-serif" w:hAnsi="Times New Roman;sans-serif"/>
          <w:b w:val="false"/>
          <w:color w:val="000000"/>
          <w:sz w:val="20"/>
          <w:shd w:fill="FFFFFF" w:val="clear"/>
        </w:rPr>
        <w:t>The impact of fluctuations of the RMB to U.S. dollar currency exchange rate on a significant balance of our cash, and cash equivalents held in RMB-denominated accounts (Note 2) contributed t</w:t>
      </w:r>
      <w:r>
        <w:rPr>
          <w:rFonts w:ascii="Times New Roman;sans-serif" w:hAnsi="Times New Roman;sans-serif"/>
          <w:b w:val="false"/>
          <w:color w:val="000000"/>
          <w:sz w:val="20"/>
        </w:rPr>
        <w:t>o a $1.7 million decrease</w:t>
      </w:r>
      <w:r>
        <w:rPr>
          <w:color w:val="000000"/>
          <w:shd w:fill="FFFFFF" w:val="clear"/>
        </w:rPr>
        <w:t xml:space="preserve"> </w:t>
      </w:r>
      <w:r>
        <w:rPr>
          <w:rFonts w:ascii="Times New Roman;sans-serif" w:hAnsi="Times New Roman;sans-serif"/>
          <w:b w:val="false"/>
          <w:color w:val="000000"/>
          <w:sz w:val="20"/>
          <w:shd w:fill="FFFFFF" w:val="clear"/>
        </w:rPr>
        <w:t>in the value of these items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240" w:after="283"/>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Grant Contract for State-owned Construction Land Use Right in Shanghai City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2020 ACM Shanghai, through its wholly-owned subsidiary ACM Lingang, entered into a Grant Contract for State-owned Construction Land Use Right in Shanghai City (Category of R&amp;D Headquarters and Industrial Projects), or the Grant Agreement, with the China (Shanghai) Pilot Free Trade Zone Lin-gang Special Area Administration, or the Grantor. ACM Lingang obtained rights to use approximately 43,000 square meters (10.6 acres) of land in the Lingang Heavy Equipment Industrial Zone of Lin-gang Special Area of China (Shanghai) Pilot Free Trade Zone, or the Land Use Right, for a period of fifty years, commencing on the date of delivery of the land in July 2020, which we refer to as the Delivery Date.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exchange for its land use rights, ACM Lingang paid aggregate grant fees of RMB 61.7 million ($9.5 million), or the Grant Fees, and a performance deposit of RMB 12.3 million ($1.9 million), which is equal to 20% of the aggregate Grant Fees, to secure its achievement of the following performance milestones: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shd w:fill="FFFFFF" w:val="clear"/>
        </w:rPr>
        <w:t>the start of construction within 6 months after the Delivery Date (60% of the performance deposit), or Construction Start Milestone;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the completion of construction within 30 months after the Delivery Date (20% of the performance deposit), or Construction Completion Milestone;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the start of production within 42 months after the Delivery Date (20% of the performance deposit), or Production Start Milestone.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Upon satisfaction of a milestone, the portion of the performance deposit attributable to that milestone will be repayable to ACM Shengwei within ten business days. If the achievement of any of the above milestones is delayed or abandoned, ACM Shengwei may be subject to additional penalties and may lose its rights to both the use of the granted land and any partially completed facilities on that land.</w:t>
      </w:r>
    </w:p>
    <w:p>
      <w:pPr>
        <w:pStyle w:val="TextBody"/>
        <w:bidi w:val="0"/>
        <w:spacing w:lineRule="auto" w:line="288" w:before="240" w:after="283"/>
        <w:jc w:val="both"/>
        <w:rPr/>
      </w:pPr>
      <w:r>
        <w:rPr>
          <w:rFonts w:ascii="Times New Roman;sans-serif" w:hAnsi="Times New Roman;sans-serif"/>
          <w:b w:val="false"/>
          <w:color w:val="000000"/>
          <w:sz w:val="20"/>
        </w:rPr>
        <w:t>The status of the performance milestones for the period ended December 31</w:t>
      </w:r>
      <w:r>
        <w:rPr>
          <w:rFonts w:ascii="Times New Roman;sans-serif" w:hAnsi="Times New Roman;sans-serif"/>
          <w:b w:val="false"/>
          <w:color w:val="000000"/>
          <w:sz w:val="20"/>
          <w:shd w:fill="FFFFFF" w:val="clear"/>
        </w:rPr>
        <w:t>, 2023</w:t>
      </w:r>
      <w:r>
        <w:rPr>
          <w:color w:val="000000"/>
        </w:rPr>
        <w:t xml:space="preserve"> </w:t>
      </w:r>
      <w:r>
        <w:rPr>
          <w:rFonts w:ascii="Times New Roman;sans-serif" w:hAnsi="Times New Roman;sans-serif"/>
          <w:b w:val="false"/>
          <w:color w:val="000000"/>
          <w:sz w:val="20"/>
        </w:rPr>
        <w:t>is as follows:</w:t>
      </w:r>
    </w:p>
    <w:p>
      <w:pPr>
        <w:pStyle w:val="TextBody"/>
        <w:bidi w:val="0"/>
        <w:spacing w:lineRule="auto" w:line="276"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ACM Lingang achieved the Construction Start Milestone and 60% of the performance deposit was refunded to ACM Shanghai in 2020.</w:t>
      </w:r>
    </w:p>
    <w:p>
      <w:pPr>
        <w:pStyle w:val="TextBody"/>
        <w:bidi w:val="0"/>
        <w:spacing w:lineRule="auto" w:line="276" w:before="0" w:after="0"/>
        <w:ind w:left="0" w:right="0" w:hanging="720"/>
        <w:jc w:val="both"/>
        <w:rPr/>
      </w:pPr>
      <w:r>
        <w:rPr>
          <w:color w:val="000000"/>
        </w:rPr>
        <w:t>•</w:t>
      </w:r>
      <w:r>
        <w:rPr>
          <w:rFonts w:ascii="Times New Roman;sans-serif" w:hAnsi="Times New Roman;sans-serif"/>
          <w:b w:val="false"/>
          <w:color w:val="000000"/>
          <w:sz w:val="20"/>
        </w:rPr>
        <w:t>The Construction Completion Milestone was required to be met by January 9, 2024 but was not achieved. However, ACM Lingang believes it will receive the refund without penalty based on its explanation to the respective regulatory authorities of logistic-related delays, and expectations that it will meet the milestone before July 9, 2024. We cannot guarantee that ACM Lingang will achieve the missed milestone in 2024, or even if it does achieve the milestone in 2024, that it will be refunded some or all of the 20% portion of the performance deposit of RMB 2.5 million ($0.4 million).</w:t>
      </w:r>
    </w:p>
    <w:p>
      <w:pPr>
        <w:pStyle w:val="TextBody"/>
        <w:bidi w:val="0"/>
        <w:spacing w:lineRule="auto" w:line="276" w:before="240" w:after="283"/>
        <w:jc w:val="both"/>
        <w:rPr/>
      </w:pPr>
      <w:r>
        <w:rPr>
          <w:rFonts w:ascii="Times New Roman;sans-serif" w:hAnsi="Times New Roman;sans-serif"/>
          <w:b w:val="false"/>
          <w:i/>
          <w:color w:val="000000"/>
          <w:sz w:val="20"/>
          <w:shd w:fill="FFFFFF" w:val="clear"/>
        </w:rPr>
        <w:t>Contractual penalties in the case of a delay of Construction Completion Milestone</w:t>
      </w:r>
      <w:r>
        <w:rPr>
          <w:rFonts w:ascii="Times New Roman;sans-serif" w:hAnsi="Times New Roman;sans-serif"/>
          <w:b w:val="false"/>
          <w:color w:val="000000"/>
          <w:sz w:val="20"/>
          <w:shd w:fill="FFFFFF" w:val="clear"/>
        </w:rPr>
        <w:t>:</w:t>
      </w:r>
    </w:p>
    <w:p>
      <w:pPr>
        <w:pStyle w:val="TextBody"/>
        <w:bidi w:val="0"/>
        <w:spacing w:lineRule="auto" w:line="276"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If ACM Lingang fails to complete the construction pursuant to the date agreed under the Grant Agreement or any extended completion date approved by the Grantor, ACM Lingang shall pay 50% of the deposit for timely completion of construction as liquidated damages;</w:t>
      </w:r>
    </w:p>
    <w:p>
      <w:pPr>
        <w:pStyle w:val="TextBody"/>
        <w:bidi w:val="0"/>
        <w:spacing w:lineRule="auto" w:line="276" w:before="0" w:after="0"/>
        <w:ind w:left="0" w:right="0" w:hanging="720"/>
        <w:jc w:val="both"/>
        <w:rPr/>
      </w:pPr>
      <w:r>
        <w:rPr>
          <w:color w:val="000000"/>
        </w:rPr>
        <w:t>◦</w:t>
      </w:r>
      <w:r>
        <w:rPr>
          <w:rFonts w:ascii="Times New Roman;sans-serif" w:hAnsi="Times New Roman;sans-serif"/>
          <w:b w:val="false"/>
          <w:color w:val="000000"/>
          <w:sz w:val="20"/>
          <w:shd w:fill="FFFFFF" w:val="clear"/>
        </w:rPr>
        <w:t>If ACM Lingang delays the completion for more than six months beyond the date agreed under the Grant Agreement, or beyond any extended completion date approved by the Grantor, it shall pay the total deposit for timely completion of construction as liquidated damages.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87"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76" w:before="0" w:after="0"/>
        <w:ind w:left="0" w:right="0" w:hanging="720"/>
        <w:jc w:val="both"/>
        <w:rPr/>
      </w:pPr>
      <w:r>
        <w:rPr>
          <w:color w:val="000000"/>
        </w:rPr>
        <w:t>◦</w:t>
      </w:r>
      <w:r>
        <w:rPr>
          <w:rFonts w:ascii="Times New Roman;sans-serif" w:hAnsi="Times New Roman;sans-serif"/>
          <w:b w:val="false"/>
          <w:color w:val="000000"/>
          <w:sz w:val="20"/>
          <w:shd w:fill="FFFFFF" w:val="clear"/>
        </w:rPr>
        <w:t>If the delay is more than one year, the Grantor is entitled to terminate the Grant Agreement and take back the Land Use Right. In such case, the Grantor shall refund the Grant Fees for the remaining land use term after deducting the deposit agreed under the Grant Agreement and refund the deposit for timely commencement of production and relevant bank interests in full to ACM Lingang.</w:t>
      </w:r>
    </w:p>
    <w:p>
      <w:pPr>
        <w:pStyle w:val="TextBody"/>
        <w:bidi w:val="0"/>
        <w:spacing w:before="0" w:after="0"/>
        <w:ind w:left="0" w:right="0" w:hanging="360"/>
        <w:jc w:val="both"/>
        <w:rPr/>
      </w:pPr>
      <w:r>
        <w:rPr/>
      </w:r>
    </w:p>
    <w:p>
      <w:pPr>
        <w:pStyle w:val="TextBody"/>
        <w:bidi w:val="0"/>
        <w:spacing w:lineRule="auto" w:line="276" w:before="0" w:after="0"/>
        <w:ind w:left="0" w:right="0" w:hanging="720"/>
        <w:jc w:val="both"/>
        <w:rPr/>
      </w:pPr>
      <w:r>
        <w:rPr>
          <w:color w:val="000000"/>
        </w:rPr>
        <w:t>•</w:t>
      </w:r>
      <w:r>
        <w:rPr>
          <w:rFonts w:ascii="Times New Roman;sans-serif" w:hAnsi="Times New Roman;sans-serif"/>
          <w:b w:val="false"/>
          <w:color w:val="000000"/>
          <w:sz w:val="20"/>
        </w:rPr>
        <w:t>The Production Start Milestone is now required to be met by January 9, 2025. The Production Start Milestone was originally required to be met prior to January 9, 2024, but due to COVID-related delays, ACM filed multiple requests for extensions, the latest of which was granted on July 7, 2023. We cannot guarantee that ACM Lingang will meet any extended deadline or be refunded this 20% portion of the performance deposit.</w:t>
      </w:r>
    </w:p>
    <w:p>
      <w:pPr>
        <w:pStyle w:val="TextBody"/>
        <w:bidi w:val="0"/>
        <w:spacing w:lineRule="auto" w:line="276" w:before="240" w:after="283"/>
        <w:jc w:val="both"/>
        <w:rPr/>
      </w:pPr>
      <w:r>
        <w:rPr>
          <w:rFonts w:ascii="Times New Roman;sans-serif" w:hAnsi="Times New Roman;sans-serif"/>
          <w:b w:val="false"/>
          <w:i/>
          <w:color w:val="000000"/>
          <w:sz w:val="20"/>
          <w:shd w:fill="FFFFFF" w:val="clear"/>
        </w:rPr>
        <w:t>Contractual penalties in the case of a delay of Production Start Milestone</w:t>
      </w:r>
      <w:r>
        <w:rPr>
          <w:rFonts w:ascii="Times New Roman;sans-serif" w:hAnsi="Times New Roman;sans-serif"/>
          <w:b w:val="false"/>
          <w:color w:val="000000"/>
          <w:sz w:val="20"/>
          <w:shd w:fill="FFFFFF" w:val="clear"/>
        </w:rPr>
        <w:t>:</w:t>
      </w:r>
    </w:p>
    <w:p>
      <w:pPr>
        <w:pStyle w:val="TextBody"/>
        <w:bidi w:val="0"/>
        <w:spacing w:lineRule="auto" w:line="276"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If ACM Lingang fails to commence production pursuant to the date agreed under the Grant Agreement or any extended commencement date approved by the Grantor, ACM Lingang shall pay the total deposit for timely commencement of production as liquidated damages;</w:t>
      </w:r>
    </w:p>
    <w:p>
      <w:pPr>
        <w:pStyle w:val="TextBody"/>
        <w:bidi w:val="0"/>
        <w:spacing w:lineRule="auto" w:line="276" w:before="0" w:after="0"/>
        <w:ind w:left="0" w:right="0" w:hanging="720"/>
        <w:jc w:val="both"/>
        <w:rPr/>
      </w:pPr>
      <w:r>
        <w:rPr>
          <w:color w:val="000000"/>
        </w:rPr>
        <w:t>◦</w:t>
      </w:r>
      <w:r>
        <w:rPr>
          <w:rFonts w:ascii="Times New Roman;sans-serif" w:hAnsi="Times New Roman;sans-serif"/>
          <w:b w:val="false"/>
          <w:color w:val="000000"/>
          <w:sz w:val="20"/>
          <w:shd w:fill="FFFFFF" w:val="clear"/>
        </w:rPr>
        <w:t>If ACM Lingang fails to commence production pursuant to the extended commencement of production date (more than six months beyond the production start milestone), the Grantor is entitled to terminate the Grant Agreement and take back the Land Use Right. In such case, the Grantor shall refund the Grant Fees for the remaining land use term after deducting the deposit agreed under the Grant Agreement to ACM Lingang.</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the milestones, covenants in the Grant Agreement require that, among other things, ACM Lingang will be required to pay liquidated damages in the event that:</w:t>
      </w:r>
    </w:p>
    <w:p>
      <w:pPr>
        <w:pStyle w:val="TextBody"/>
        <w:bidi w:val="0"/>
        <w:spacing w:lineRule="auto" w:line="276" w:before="240" w:after="283"/>
        <w:ind w:left="0" w:right="0" w:hanging="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(a)it does not make a total investment (including the costs of construction, fixtures, equipment and grant fees) of at least RMB 450.0 million ($63.4 million). ACM Lingang shall pay the liquidated damages equal to the same proportion of the Grant Fees as the proportion of the actual shortfall amount of investment in the total agreed investment amount or the investment intensity.</w:t>
      </w:r>
    </w:p>
    <w:p>
      <w:pPr>
        <w:pStyle w:val="TextBody"/>
        <w:bidi w:val="0"/>
        <w:spacing w:lineRule="auto" w:line="276" w:before="0" w:after="0"/>
        <w:ind w:left="0" w:right="0" w:hanging="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(b)within six years after the Delivery Date, or prior to July 9, 2026, it does not (i) generate a minimum specified amount of annual sales of products manufactured on the granted land or (ii) pay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total tax revenue of the project fails to reach but is no less than 80% of the standard agreed under the Grant Agreement, ACM Lingang shall pay 20% of the actual shortfall amount of the tax revenue as liquidated damages. If the total tax revenue of the project fails to reach 80% of the standard agreed under the Grant Agreement within 1 month after the agreed date of reaching target production, the Grantor is entitled to terminate the Grant Agreement, take back the Land Use Right, and shall refund the Grant Fees for the remaining land use term to ACM Lingang.</w:t>
      </w:r>
    </w:p>
    <w:p>
      <w:pPr>
        <w:pStyle w:val="TextBody"/>
        <w:bidi w:val="0"/>
        <w:spacing w:lineRule="auto" w:line="276"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Grant Agreement is terminated because of breach of any terms above, the Grantor shall take back the buildings, fixtures and auxiliary facilities on the land area and provide ACM Lingang with corresponding compensation according to the residual value of the buildings, fixtures and auxiliary facilities when they are taken back. The total cumulative investment of land, buildings and construction in progress related to ACM Lingang amounted to $116.9 million and $35.4 million at December 31, 2023 and December 31, 2022, respectively.</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How We Evaluate Our Operations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present information below with respect to four measures of financial performance:</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shd w:fill="FFFFFF" w:val="clear"/>
        </w:rPr>
        <w:t>We define “shipments” of tools to include (a) a “repeat” delivery to a customer of a type of tool that the customer has previously accepted, for which we recognize revenue upon delivery, and (b) a “first-time” delivery of a “first tool” to a customer on an approval basis, for which we may recognize revenue in the future if contractual conditions are met, or if a purchase order is received.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We define “adjusted EBITDA” as net income excluding interest expense (net), income tax benefit (expense), depreciation and amortization, unrealized (gain) loss on short-term investments, and stock-based compensation. We define adjusted EBITDA to also exclude restructuring costs, although we have not incurred any such costs to date.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We define “free cash flow” as net cash provided by operating activities less purchases of property and equipment (net of proceeds from disposals).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88"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77</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We define “adjusted operating income (loss)” as our income (loss) from operations excluding stock-based compensation.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financial measures are not based on any standardized methodologies prescribed by accounting principles generally accepted in the United States, or GAAP, and are not necessarily comparable to similarly titled measures presented by other companies.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Shipments, adjusted EBITDA, free cash flow and adjusted operating income (loss) are not prepared in accordance with GAAP, and should not be considered in isolation of, or as an alternative to, measures prepared in accordance with GAAP.</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Shipments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consider shipments a key operating metric as it reflects the total value of products delivered to customers and prospective customers by our productive assets.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Shipments consist of two components: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shd w:fill="FFFFFF" w:val="clear"/>
        </w:rPr>
        <w:t>a shipment to a customer of a type of tool that the customer has previously accepted, for which we recognize revenue when the tool is delivered;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customer’s subsequent discretionary commitment to purchase the tool.</w:t>
      </w:r>
    </w:p>
    <w:p>
      <w:pPr>
        <w:pStyle w:val="TextBody"/>
        <w:bidi w:val="0"/>
        <w:spacing w:lineRule="auto" w:line="288" w:before="240" w:after="283"/>
        <w:jc w:val="both"/>
        <w:rPr>
          <w:color w:val="000000"/>
          <w:shd w:fill="FFFFFF" w:val="clear"/>
        </w:rPr>
      </w:pPr>
      <w:r>
        <w:rPr>
          <w:color w:val="000000"/>
          <w:shd w:fill="FFFFFF" w:val="clear"/>
        </w:rPr>
        <w:t>“</w:t>
      </w:r>
      <w:r>
        <w:rPr>
          <w:rFonts w:ascii="Times New Roman;sans-serif" w:hAnsi="Times New Roman;sans-serif"/>
          <w:b w:val="false"/>
          <w:color w:val="000000"/>
          <w:sz w:val="20"/>
          <w:shd w:fill="FFFFFF" w:val="clear"/>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Shipments for the years ended December 31, 2023, 2022, and 2021 totaled $597 million, $539 million, and $372 million, respectively. Repeat tool shipments in the years ended December 31, 2023, 2022, and 2021 totaled $310 million, $288 million and $210 million, respectively. First tool shipments for the years ended December 31, 2023, 2022, and 2021 totaled $286 million, $251 million, and $162 million, respectively.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 condensed consolidated financial statements included in this report). “First tool” shipments exclude deliveries to customers for which ACM does not have a basis to expect future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89"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Adjusted EBITDA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are a number of limitations related to the use of adjusted EBITDA rather than net income (loss), which is the nearest GAAP equivalent. Some of these limitations are:</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shd w:fill="FFFFFF" w:val="clear"/>
        </w:rPr>
        <w:t>adjusted EBITDA excludes depreciation and amortization and, although these are non-cash expenses, the assets being depreciated or amortized may have to be replaced in the future;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the expenses and other items that we exclude in our calculation of adjusted EBITDA may differ from the expenses and other items, if any, that other companies may exclude from adjusted EBITDA when they report their operating results;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adjusted EBITDA does not reflect changes in, or cash requirements for, working capital needs;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adjusted EBITDA does not reflect interest expense, or the requirements necessary to service interest or principal payments on debt;</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adjusted EBITDA does not reflect income tax expense (benefit) or the cash requirements to pay taxes;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adjusted EBITDA does not reflect historical cash expenditures or future requirements for capital expenditures or contractual commitments;</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although depreciation and amortization charges are non-cash charges, the assets being depreciated and amortized will often have to be replaced in the future, and adjusted EBITDA does not reflect any cash requirements for such replacements;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shd w:fill="FFFFFF" w:val="clear"/>
        </w:rPr>
        <w:t>adjusted EBITDA includes expense reductions and non-operating other income attributable to mainland China governmental grants, which may mask the effect of underlying developments in net income, including trends in current expenses and interest expense, and free cash flow includes the mainland China governmental grants, the amount and timing of which can be difficult to predict and are outside our control.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reconciles net income, the most directly comparable GAAP financial measure, to adjusted EBITDA:</w:t>
      </w:r>
    </w:p>
    <w:tbl>
      <w:tblPr>
        <w:tblW w:w="10205" w:type="dxa"/>
        <w:jc w:val="left"/>
        <w:tblInd w:w="0" w:type="dxa"/>
        <w:tblLayout w:type="fixed"/>
        <w:tblCellMar>
          <w:top w:w="28" w:type="dxa"/>
          <w:left w:w="28" w:type="dxa"/>
          <w:bottom w:w="28" w:type="dxa"/>
          <w:right w:w="28" w:type="dxa"/>
        </w:tblCellMar>
      </w:tblPr>
      <w:tblGrid>
        <w:gridCol w:w="1215"/>
        <w:gridCol w:w="958"/>
        <w:gridCol w:w="965"/>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306"/>
        <w:gridCol w:w="310"/>
        <w:gridCol w:w="607"/>
        <w:gridCol w:w="109"/>
        <w:gridCol w:w="109"/>
        <w:gridCol w:w="109"/>
        <w:gridCol w:w="253"/>
        <w:gridCol w:w="866"/>
        <w:gridCol w:w="189"/>
      </w:tblGrid>
      <w:tr>
        <w:trPr/>
        <w:tc>
          <w:tcPr>
            <w:tcW w:w="121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Absolute</w:t>
              <w:br/>
              <w:t>Change 2023 v</w:t>
              <w:br/>
              <w:t>2022</w:t>
            </w:r>
          </w:p>
        </w:tc>
      </w:tr>
      <w:tr>
        <w:trPr/>
        <w:tc>
          <w:tcPr>
            <w:tcW w:w="3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Data:</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46,288 </w:t>
            </w:r>
          </w:p>
        </w:tc>
        <w:tc>
          <w:tcPr>
            <w:tcW w:w="1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1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2,726 </w:t>
            </w:r>
          </w:p>
        </w:tc>
        <w:tc>
          <w:tcPr>
            <w:tcW w:w="1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253.7 </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19,608 </w:t>
            </w:r>
          </w:p>
        </w:tc>
        <w:tc>
          <w:tcPr>
            <w:tcW w:w="1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67,482 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$67.5 million increase in adjusted EBITDA for the year ended December 31, 2023 as compared to the year ended December 31, 2022 reflected higher income tax expense, a decrease in unrealized loss on short-term investments, an increase in net income, an increase in stock-based compensation, and an increase in depreciation and amortization, partly offset by a negative impact from an increase in interest income, net.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do not exclude from adjusted EBITDA expense reductions and non-operating other income attributable to mainland China governmental grants because we consider and incorporate the expected amounts and timing of those grants in incurring expenses and capital expenditures. If we did not receive the grants, our cash expenses therefore would be lower,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90"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79</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and our cash position would not be affected, to the extent we have accurately anticipated the amounts of the grants. For additional information regarding our mainland China grants, please see “—Key Components of Results of Operations—mainland China Government Research and Development Funding.”</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Free Cash Flow</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reconciles net cash provided by (used in) operating activities, the most directly comparable GAAP financial measure, to free cash flow:</w:t>
      </w:r>
    </w:p>
    <w:tbl>
      <w:tblPr>
        <w:tblW w:w="10205" w:type="dxa"/>
        <w:jc w:val="left"/>
        <w:tblInd w:w="0" w:type="dxa"/>
        <w:tblLayout w:type="fixed"/>
        <w:tblCellMar>
          <w:top w:w="28" w:type="dxa"/>
          <w:left w:w="28" w:type="dxa"/>
          <w:bottom w:w="28" w:type="dxa"/>
          <w:right w:w="28" w:type="dxa"/>
        </w:tblCellMar>
      </w:tblPr>
      <w:tblGrid>
        <w:gridCol w:w="1060"/>
        <w:gridCol w:w="867"/>
        <w:gridCol w:w="871"/>
        <w:gridCol w:w="211"/>
        <w:gridCol w:w="893"/>
        <w:gridCol w:w="109"/>
        <w:gridCol w:w="109"/>
        <w:gridCol w:w="109"/>
        <w:gridCol w:w="109"/>
        <w:gridCol w:w="211"/>
        <w:gridCol w:w="893"/>
        <w:gridCol w:w="109"/>
        <w:gridCol w:w="109"/>
        <w:gridCol w:w="109"/>
        <w:gridCol w:w="109"/>
        <w:gridCol w:w="211"/>
        <w:gridCol w:w="788"/>
        <w:gridCol w:w="109"/>
        <w:gridCol w:w="109"/>
        <w:gridCol w:w="109"/>
        <w:gridCol w:w="109"/>
        <w:gridCol w:w="284"/>
        <w:gridCol w:w="287"/>
        <w:gridCol w:w="623"/>
        <w:gridCol w:w="109"/>
        <w:gridCol w:w="109"/>
        <w:gridCol w:w="109"/>
        <w:gridCol w:w="250"/>
        <w:gridCol w:w="936"/>
        <w:gridCol w:w="185"/>
      </w:tblGrid>
      <w:tr>
        <w:trPr/>
        <w:tc>
          <w:tcPr>
            <w:tcW w:w="106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2023 v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Absolute</w:t>
              <w:br/>
              <w:t>Change 2023 v</w:t>
              <w:br/>
              <w:t>2022</w:t>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 Data:</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long-term investments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6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changes in free cash flow for the years ended December 31, 2023, 2022, and 2021 reflected the factors driving net cash used in operating activities, and an increase of purchases of property and equipment. Consistent with our methodology for calculating adjusted EBITDA, we do not adjust free cash flow for the effects of mainland China government subsidies, because we take those subsidies into account in incurring expenses and capital expenditures. We do not adjust free cash flow for the effects of time-deposits, which for our internal purposes are considered as largely similar to cash.</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Adjusted Operating Income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If we did not pay out a portion of our compensation in the form of stock-based compensation, the cash salary expense included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91"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80</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operating expenses would be higher and our cash holdings would be less. The following tables reflect the exclusion of stock-based compensation, or SBC, from line items comprising income from operations:</w:t>
      </w:r>
    </w:p>
    <w:tbl>
      <w:tblPr>
        <w:tblW w:w="12811" w:type="dxa"/>
        <w:jc w:val="left"/>
        <w:tblInd w:w="0" w:type="dxa"/>
        <w:tblLayout w:type="fixed"/>
        <w:tblCellMar>
          <w:top w:w="28" w:type="dxa"/>
          <w:left w:w="28" w:type="dxa"/>
          <w:bottom w:w="28" w:type="dxa"/>
          <w:right w:w="28" w:type="dxa"/>
        </w:tblCellMar>
      </w:tblPr>
      <w:tblGrid>
        <w:gridCol w:w="641"/>
        <w:gridCol w:w="234"/>
        <w:gridCol w:w="236"/>
        <w:gridCol w:w="196"/>
        <w:gridCol w:w="736"/>
        <w:gridCol w:w="109"/>
        <w:gridCol w:w="109"/>
        <w:gridCol w:w="109"/>
        <w:gridCol w:w="109"/>
        <w:gridCol w:w="196"/>
        <w:gridCol w:w="661"/>
        <w:gridCol w:w="109"/>
        <w:gridCol w:w="109"/>
        <w:gridCol w:w="109"/>
        <w:gridCol w:w="109"/>
        <w:gridCol w:w="200"/>
        <w:gridCol w:w="753"/>
        <w:gridCol w:w="113"/>
        <w:gridCol w:w="109"/>
        <w:gridCol w:w="109"/>
        <w:gridCol w:w="109"/>
        <w:gridCol w:w="196"/>
        <w:gridCol w:w="736"/>
        <w:gridCol w:w="109"/>
        <w:gridCol w:w="109"/>
        <w:gridCol w:w="109"/>
        <w:gridCol w:w="109"/>
        <w:gridCol w:w="196"/>
        <w:gridCol w:w="571"/>
        <w:gridCol w:w="109"/>
        <w:gridCol w:w="109"/>
        <w:gridCol w:w="109"/>
        <w:gridCol w:w="109"/>
        <w:gridCol w:w="200"/>
        <w:gridCol w:w="753"/>
        <w:gridCol w:w="113"/>
        <w:gridCol w:w="109"/>
        <w:gridCol w:w="109"/>
        <w:gridCol w:w="109"/>
        <w:gridCol w:w="196"/>
        <w:gridCol w:w="736"/>
        <w:gridCol w:w="109"/>
        <w:gridCol w:w="109"/>
        <w:gridCol w:w="109"/>
        <w:gridCol w:w="109"/>
        <w:gridCol w:w="196"/>
        <w:gridCol w:w="571"/>
        <w:gridCol w:w="109"/>
        <w:gridCol w:w="109"/>
        <w:gridCol w:w="109"/>
        <w:gridCol w:w="109"/>
        <w:gridCol w:w="200"/>
        <w:gridCol w:w="752"/>
        <w:gridCol w:w="159"/>
      </w:tblGrid>
      <w:tr>
        <w:trPr/>
        <w:tc>
          <w:tcPr>
            <w:tcW w:w="64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0"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Year Ended December 31, </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Actual</w:t>
              <w:br/>
              <w:t xml:space="preserve">(GAAP)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SBC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Adjusted</w:t>
              <w:br/>
              <w:t xml:space="preserve">(Non-GAAP)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Actual</w:t>
              <w:br/>
              <w:t xml:space="preserve">(GAAP)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SBC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Adjusted</w:t>
              <w:br/>
              <w:t xml:space="preserve">(Non-GAAP)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Actual</w:t>
              <w:br/>
              <w:t xml:space="preserve">(GAAP)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SBC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Adjusted</w:t>
              <w:br/>
              <w:t xml:space="preserve">(Non-GAAP) </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0"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 xml:space="preserve">(in thousands) </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557,723 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388,832 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259,751 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(280,102)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(204,697)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(144,498)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277,621 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184,135 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115,253 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(41,335)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(24,931)</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(59,661)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(33,092)</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(13,411)</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95,839 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(27,338)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123,177 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59,035 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66,765 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38,702 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43,819 </w:t>
            </w:r>
          </w:p>
        </w:tc>
        <w:tc>
          <w:tcPr>
            <w:tcW w:w="1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Adjusted operating income for the year ended December 31, 2023, as compared with the year ended December 31, 2022, increased by $56.4 million due to a $36.8 million increase in income from operations and a $19.6 million increase in stock-based compensation expense. Adjusted operating income for the year ended December 31, 2022, as compared with the year ended December 31, 2021, increased by $22.9 million due to a $20.3 million increase in income from operations and a $2.6 million increase in stock-based compensation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of our operating, investing and financing activities, we are exposed to market risks such as interest rate risk and foreign currency exchange rate risk. We are also exposed to credit risk as a result of our normal business activities.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Foreign Currency Exchange Risk</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Our consolidated financial statements are presented in U.S. dollars, which is our reporting currency, while the functional currency of our subsidiaries in mainland China is RMB, and the functional currency of our subsidiary in Korea is the Korean Won, or the KRW. Transactions in foreign currencies are initially recorded at the functional currency rate prevailing at the date of the transactions. Any difference between the initially recorded amount and the settlement amount is recorded as a gain or loss on foreign currency transaction in our consolidated statements of comprehensive income (loss). Monetary assets and liabilities denominated in a foreign currency are translated at the functional currency rate of exchange as of the date of a consolidated balance sheet. Any difference is recorded as a gain or loss on foreign currency translation in the appropriate consolidated statement of operations. In accordance with ASC Topic 830, </w:t>
      </w:r>
      <w:r>
        <w:rPr>
          <w:rFonts w:ascii="Times New Roman;sans-serif" w:hAnsi="Times New Roman;sans-serif"/>
          <w:b w:val="false"/>
          <w:i/>
          <w:color w:val="000000"/>
          <w:sz w:val="20"/>
          <w:shd w:fill="FFFFFF" w:val="clear"/>
        </w:rPr>
        <w:t>Foreign Currency Matters</w:t>
      </w:r>
      <w:r>
        <w:rPr>
          <w:rFonts w:ascii="Times New Roman;sans-serif" w:hAnsi="Times New Roman;sans-serif"/>
          <w:b w:val="false"/>
          <w:color w:val="000000"/>
          <w:sz w:val="20"/>
          <w:shd w:fill="FFFFFF" w:val="clear"/>
        </w:rPr>
        <w:t>, we translate the assets and liabilities into U.S. dollars from RMB using the rate of exchange prevailing at the applicable balance sheet date and the consolidated statements of comprehensive income (loss) and cash flows are translated at an average rate during the reporting period. Adjustments resulting from the translation are recorded in stockholders’ equity as part of accumulated other comprehensive income.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majority of our business is conducted through our ACM Shanghai subsidiary that manufactures and sells our products in various global markets, and we also have operations in Korea, the Taiwan Region, the United States, and other countries. We sell the majority of our products in transactions denominated in U.S. dollars; however, we purchase raw materials, pay wages, and make payments to our supply chain in foreign currencies, primarily RMB, and also the KRW. As a result, our earnings, cash flows and cash balances are exposed to fluctuations in foreign currency exchange rates. For example, because of our significant manufacturing operations in mainland China, a weakening RMB is advantageous and a strengthening RMB is disadvantageous to our financial results. At this time, we have not established a formal hedging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92"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policy to attempt to reduce the inherent risks of potential currency fluctuations on our global operations. We report the impact of foreign exchange fluctuations in the other income (expense) line item of our Consolidated Statements of Comprehensive Income statements. For 2023, 2022, and 2021, the effect of fluctuations of foreign currencies contributed realized gains (losses) of $(2.0) million, 1.7 million, and ($0.6 million), respectively.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mainland China government imposes significant exchange restrictions on fund transfers out of mainland China that are not related to business operations. To date these restrictions have not had a material impact on us because we have not engaged in any significant transactions that are subject to the restrictions.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Rate Risk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2022, and 2021, the balance of our short term bank borrowings (see note 9 in the Notes to Consolidated Financial Statements included herein under “Item 8. Financial Statements and Supplementary Data.”), mature at various dates within the following year and do not expose us to interest rate risk. As of December 31, 2023, the balance of our long-term borrowings (see note 12 in the Notes to Consolidated Financial Statements included herein under “Item 8. Financial Statements and Supplementary Data.”) carries a fixed interest rated and we may be exposed to fair value interest rate risk.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implemented policies and procedures to measure, manage, monitor and report risk exposures, which are reviewed regularly by management and the board of directors. We identify risk exposures and monitor and manage such risks on an ongoing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93"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82</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220" w:type="dxa"/>
        <w:jc w:val="left"/>
        <w:tblInd w:w="0" w:type="dxa"/>
        <w:tblLayout w:type="fixed"/>
        <w:tblCellMar>
          <w:top w:w="28" w:type="dxa"/>
          <w:left w:w="28" w:type="dxa"/>
          <w:bottom w:w="28" w:type="dxa"/>
          <w:right w:w="28" w:type="dxa"/>
        </w:tblCellMar>
      </w:tblPr>
      <w:tblGrid>
        <w:gridCol w:w="1672"/>
        <w:gridCol w:w="1470"/>
        <w:gridCol w:w="2078"/>
      </w:tblGrid>
      <w:tr>
        <w:trPr/>
        <w:tc>
          <w:tcPr>
            <w:tcW w:w="1672"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c>
      </w:tr>
    </w:tbl>
    <w:tbl>
      <w:tblPr>
        <w:tblW w:w="10205" w:type="dxa"/>
        <w:jc w:val="left"/>
        <w:tblInd w:w="0" w:type="dxa"/>
        <w:tblLayout w:type="fixed"/>
        <w:tblCellMar>
          <w:top w:w="28" w:type="dxa"/>
          <w:left w:w="28" w:type="dxa"/>
          <w:bottom w:w="28" w:type="dxa"/>
          <w:right w:w="28" w:type="dxa"/>
        </w:tblCellMar>
      </w:tblPr>
      <w:tblGrid>
        <w:gridCol w:w="3518"/>
        <w:gridCol w:w="3049"/>
        <w:gridCol w:w="3065"/>
        <w:gridCol w:w="167"/>
        <w:gridCol w:w="167"/>
        <w:gridCol w:w="239"/>
      </w:tblGrid>
      <w:tr>
        <w:trPr/>
        <w:tc>
          <w:tcPr>
            <w:tcW w:w="3518"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31e2a52ea3c48e999a1ab1df704a5e6_91">
              <w:r>
                <w:rPr>
                  <w:rStyle w:val="InternetLink"/>
                  <w:rFonts w:ascii="Times New Roman;sans-serif" w:hAnsi="Times New Roman;sans-serif"/>
                  <w:b w:val="false"/>
                  <w:strike w:val="false"/>
                  <w:dstrike w:val="false"/>
                  <w:color w:val="000000"/>
                  <w:sz w:val="20"/>
                  <w:u w:val="none"/>
                  <w:effect w:val="none"/>
                </w:rPr>
                <w:t>Consolidated Financial Statements</w:t>
              </w:r>
            </w:hyperlink>
          </w:p>
        </w:tc>
        <w:tc>
          <w:tcPr>
            <w:tcW w:w="5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331e2a52ea3c48e999a1ab1df704a5e6_91">
              <w:r>
                <w:rPr>
                  <w:rStyle w:val="InternetLink"/>
                  <w:rFonts w:ascii="Times New Roman;sans-serif" w:hAnsi="Times New Roman;sans-serif"/>
                  <w:b w:val="false"/>
                  <w:strike w:val="false"/>
                  <w:dstrike w:val="false"/>
                  <w:color w:val="000000"/>
                  <w:sz w:val="20"/>
                  <w:u w:val="none"/>
                  <w:effect w:val="none"/>
                </w:rPr>
                <w:t>83</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31e2a52ea3c48e999a1ab1df704a5e6_97">
              <w:r>
                <w:rPr>
                  <w:rStyle w:val="InternetLink"/>
                  <w:rFonts w:ascii="Times New Roman;sans-serif" w:hAnsi="Times New Roman;sans-serif"/>
                  <w:b w:val="false"/>
                  <w:strike w:val="false"/>
                  <w:dstrike w:val="false"/>
                  <w:color w:val="000000"/>
                  <w:sz w:val="20"/>
                  <w:u w:val="none"/>
                  <w:effect w:val="none"/>
                </w:rPr>
                <w:t>Report of Independent Registered Public Accounting Firm</w:t>
              </w:r>
            </w:hyperlink>
            <w:r>
              <w:rPr>
                <w:rFonts w:ascii="Times New Roman;sans-serif" w:hAnsi="Times New Roman;sans-serif"/>
                <w:b w:val="false"/>
                <w:color w:val="000000"/>
                <w:sz w:val="20"/>
              </w:rPr>
              <w:t xml:space="preserve"> (Ernst &amp; Young Hua Ming LLP, Shanghai, China, PCAOB ID#1408)</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31e2a52ea3c48e999a1ab1df704a5e6_100">
              <w:r>
                <w:rPr>
                  <w:rStyle w:val="InternetLink"/>
                  <w:rFonts w:ascii="Times New Roman;sans-serif" w:hAnsi="Times New Roman;sans-serif"/>
                  <w:b w:val="false"/>
                  <w:strike w:val="false"/>
                  <w:dstrike w:val="false"/>
                  <w:color w:val="000000"/>
                  <w:sz w:val="20"/>
                  <w:u w:val="none"/>
                  <w:effect w:val="none"/>
                </w:rPr>
                <w:t>Report of Independent Registered Public Accounting Firm</w:t>
              </w:r>
            </w:hyperlink>
            <w:r>
              <w:rPr>
                <w:rFonts w:ascii="Times New Roman;sans-serif" w:hAnsi="Times New Roman;sans-serif"/>
                <w:b w:val="false"/>
                <w:color w:val="000000"/>
                <w:sz w:val="20"/>
              </w:rPr>
              <w:t xml:space="preserve"> (Armanino LLP , San Ramon, CA, PCAOB ID#32)</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(BDO China Shu Lun Pan Certified Public Accountants LLP, Shenzhen, China, PCAOB ID#1818)</w:t>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31e2a52ea3c48e999a1ab1df704a5e6_103">
              <w:r>
                <w:rPr>
                  <w:rStyle w:val="InternetLink"/>
                  <w:rFonts w:ascii="Times New Roman;sans-serif" w:hAnsi="Times New Roman;sans-serif"/>
                  <w:b w:val="false"/>
                  <w:strike w:val="false"/>
                  <w:dstrike w:val="false"/>
                  <w:color w:val="000080"/>
                  <w:sz w:val="20"/>
                  <w:u w:val="single"/>
                  <w:effect w:val="none"/>
                </w:rPr>
                <w:t>Consolidated Balance Sheets as of December 31, 202</w:t>
              </w:r>
            </w:hyperlink>
            <w:hyperlink w:anchor="i331e2a52ea3c48e999a1ab1df704a5e6_103">
              <w:r>
                <w:rPr>
                  <w:rStyle w:val="InternetLink"/>
                  <w:rFonts w:ascii="Times New Roman;sans-serif" w:hAnsi="Times New Roman;sans-serif"/>
                  <w:b w:val="false"/>
                  <w:strike w:val="false"/>
                  <w:dstrike w:val="false"/>
                  <w:color w:val="000080"/>
                  <w:sz w:val="20"/>
                  <w:u w:val="single"/>
                  <w:effect w:val="none"/>
                </w:rPr>
                <w:t>3</w:t>
              </w:r>
            </w:hyperlink>
            <w:hyperlink w:anchor="i331e2a52ea3c48e999a1ab1df704a5e6_103">
              <w:r>
                <w:rPr>
                  <w:rStyle w:val="InternetLink"/>
                  <w:rFonts w:ascii="Times New Roman;sans-serif" w:hAnsi="Times New Roman;sans-serif"/>
                  <w:b w:val="false"/>
                  <w:strike w:val="false"/>
                  <w:dstrike w:val="false"/>
                  <w:color w:val="000080"/>
                  <w:sz w:val="20"/>
                  <w:u w:val="single"/>
                  <w:effect w:val="none"/>
                </w:rPr>
                <w:t xml:space="preserve"> and 202</w:t>
              </w:r>
            </w:hyperlink>
            <w:hyperlink w:anchor="i331e2a52ea3c48e999a1ab1df704a5e6_103">
              <w:r>
                <w:rPr>
                  <w:rStyle w:val="InternetLink"/>
                  <w:rFonts w:ascii="Times New Roman;sans-serif" w:hAnsi="Times New Roman;sans-serif"/>
                  <w:b w:val="false"/>
                  <w:strike w:val="false"/>
                  <w:dstrike w:val="false"/>
                  <w:color w:val="000080"/>
                  <w:sz w:val="20"/>
                  <w:u w:val="single"/>
                  <w:effect w:val="none"/>
                </w:rPr>
                <w:t>2</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31e2a52ea3c48e999a1ab1df704a5e6_103">
              <w:r>
                <w:rPr>
                  <w:rStyle w:val="InternetLink"/>
                  <w:rFonts w:ascii="Times New Roman;sans-serif" w:hAnsi="Times New Roman;sans-serif"/>
                  <w:b w:val="false"/>
                  <w:strike w:val="false"/>
                  <w:dstrike w:val="false"/>
                  <w:color w:val="000000"/>
                  <w:sz w:val="20"/>
                  <w:u w:val="none"/>
                  <w:effect w:val="none"/>
                </w:rPr>
                <w:t>89</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31e2a52ea3c48e999a1ab1df704a5e6_106">
              <w:r>
                <w:rPr>
                  <w:rStyle w:val="InternetLink"/>
                  <w:rFonts w:ascii="Times New Roman;sans-serif" w:hAnsi="Times New Roman;sans-serif"/>
                  <w:b w:val="false"/>
                  <w:strike w:val="false"/>
                  <w:dstrike w:val="false"/>
                  <w:color w:val="000080"/>
                  <w:sz w:val="20"/>
                  <w:u w:val="single"/>
                  <w:effect w:val="none"/>
                </w:rPr>
                <w:t xml:space="preserve">Consolidated Statements of </w:t>
              </w:r>
            </w:hyperlink>
            <w:hyperlink w:anchor="i331e2a52ea3c48e999a1ab1df704a5e6_106">
              <w:r>
                <w:rPr>
                  <w:rStyle w:val="InternetLink"/>
                  <w:rFonts w:ascii="Times New Roman;sans-serif" w:hAnsi="Times New Roman;sans-serif"/>
                  <w:b w:val="false"/>
                  <w:strike w:val="false"/>
                  <w:dstrike w:val="false"/>
                  <w:color w:val="000080"/>
                  <w:sz w:val="20"/>
                  <w:u w:val="single"/>
                  <w:effect w:val="none"/>
                </w:rPr>
                <w:t xml:space="preserve">Comprehensive Income (Loss) for the Years ended December 31, </w:t>
              </w:r>
            </w:hyperlink>
            <w:hyperlink w:anchor="i331e2a52ea3c48e999a1ab1df704a5e6_106">
              <w:r>
                <w:rPr>
                  <w:rStyle w:val="InternetLink"/>
                  <w:rFonts w:ascii="Times New Roman;sans-serif" w:hAnsi="Times New Roman;sans-serif"/>
                  <w:b w:val="false"/>
                  <w:strike w:val="false"/>
                  <w:dstrike w:val="false"/>
                  <w:color w:val="000080"/>
                  <w:sz w:val="20"/>
                  <w:u w:val="single"/>
                  <w:effect w:val="none"/>
                </w:rPr>
                <w:t>2023, 2022, and 2021</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31e2a52ea3c48e999a1ab1df704a5e6_106">
              <w:r>
                <w:rPr>
                  <w:rStyle w:val="InternetLink"/>
                  <w:rFonts w:ascii="Times New Roman;sans-serif" w:hAnsi="Times New Roman;sans-serif"/>
                  <w:b w:val="false"/>
                  <w:strike w:val="false"/>
                  <w:dstrike w:val="false"/>
                  <w:color w:val="000000"/>
                  <w:sz w:val="20"/>
                  <w:u w:val="none"/>
                  <w:effect w:val="none"/>
                </w:rPr>
                <w:t>90</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31e2a52ea3c48e999a1ab1df704a5e6_109">
              <w:r>
                <w:rPr>
                  <w:rStyle w:val="InternetLink"/>
                  <w:rFonts w:ascii="Times New Roman;sans-serif" w:hAnsi="Times New Roman;sans-serif"/>
                  <w:b w:val="false"/>
                  <w:strike w:val="false"/>
                  <w:dstrike w:val="false"/>
                  <w:color w:val="000080"/>
                  <w:sz w:val="20"/>
                  <w:u w:val="single"/>
                  <w:effect w:val="none"/>
                </w:rPr>
                <w:t xml:space="preserve">Consolidated Statements of Changes in Stockholders’ Equity for the Years ended December 31, </w:t>
              </w:r>
            </w:hyperlink>
            <w:hyperlink w:anchor="i331e2a52ea3c48e999a1ab1df704a5e6_109">
              <w:r>
                <w:rPr>
                  <w:rStyle w:val="InternetLink"/>
                  <w:rFonts w:ascii="Times New Roman;sans-serif" w:hAnsi="Times New Roman;sans-serif"/>
                  <w:b w:val="false"/>
                  <w:strike w:val="false"/>
                  <w:dstrike w:val="false"/>
                  <w:color w:val="000080"/>
                  <w:sz w:val="20"/>
                  <w:u w:val="single"/>
                  <w:effect w:val="none"/>
                </w:rPr>
                <w:t>2023, 2022, and 2021</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31e2a52ea3c48e999a1ab1df704a5e6_109">
              <w:r>
                <w:rPr>
                  <w:rStyle w:val="InternetLink"/>
                  <w:rFonts w:ascii="Times New Roman;sans-serif" w:hAnsi="Times New Roman;sans-serif"/>
                  <w:b w:val="false"/>
                  <w:strike w:val="false"/>
                  <w:dstrike w:val="false"/>
                  <w:color w:val="000000"/>
                  <w:sz w:val="20"/>
                  <w:u w:val="none"/>
                  <w:effect w:val="none"/>
                </w:rPr>
                <w:t>91</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31e2a52ea3c48e999a1ab1df704a5e6_112">
              <w:r>
                <w:rPr>
                  <w:rStyle w:val="InternetLink"/>
                  <w:rFonts w:ascii="Times New Roman;sans-serif" w:hAnsi="Times New Roman;sans-serif"/>
                  <w:b w:val="false"/>
                  <w:strike w:val="false"/>
                  <w:dstrike w:val="false"/>
                  <w:color w:val="000080"/>
                  <w:sz w:val="20"/>
                  <w:u w:val="single"/>
                  <w:effect w:val="none"/>
                </w:rPr>
                <w:t xml:space="preserve">Consolidated Statements of Cash Flows for the Years ended December 31, </w:t>
              </w:r>
            </w:hyperlink>
            <w:hyperlink w:anchor="i331e2a52ea3c48e999a1ab1df704a5e6_112">
              <w:r>
                <w:rPr>
                  <w:rStyle w:val="InternetLink"/>
                  <w:rFonts w:ascii="Times New Roman;sans-serif" w:hAnsi="Times New Roman;sans-serif"/>
                  <w:b w:val="false"/>
                  <w:strike w:val="false"/>
                  <w:dstrike w:val="false"/>
                  <w:color w:val="000080"/>
                  <w:sz w:val="20"/>
                  <w:u w:val="single"/>
                  <w:effect w:val="none"/>
                </w:rPr>
                <w:t>2023, 2022, and 2021</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31e2a52ea3c48e999a1ab1df704a5e6_112">
              <w:r>
                <w:rPr>
                  <w:rStyle w:val="InternetLink"/>
                  <w:rFonts w:ascii="Times New Roman;sans-serif" w:hAnsi="Times New Roman;sans-serif"/>
                  <w:b w:val="false"/>
                  <w:strike w:val="false"/>
                  <w:dstrike w:val="false"/>
                  <w:color w:val="000000"/>
                  <w:sz w:val="20"/>
                  <w:u w:val="none"/>
                  <w:effect w:val="none"/>
                </w:rPr>
                <w:t>92</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31e2a52ea3c48e999a1ab1df704a5e6_115">
              <w:r>
                <w:rPr>
                  <w:rStyle w:val="InternetLink"/>
                  <w:rFonts w:ascii="Times New Roman;sans-serif" w:hAnsi="Times New Roman;sans-serif"/>
                  <w:b w:val="false"/>
                  <w:strike w:val="false"/>
                  <w:dstrike w:val="false"/>
                  <w:color w:val="000000"/>
                  <w:sz w:val="20"/>
                  <w:u w:val="none"/>
                  <w:effect w:val="none"/>
                </w:rPr>
                <w:t>Notes to Consolidated Financial Statements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31e2a52ea3c48e999a1ab1df704a5e6_115">
              <w:r>
                <w:rPr>
                  <w:rStyle w:val="InternetLink"/>
                  <w:rFonts w:ascii="Times New Roman;sans-serif" w:hAnsi="Times New Roman;sans-serif"/>
                  <w:b w:val="false"/>
                  <w:strike w:val="false"/>
                  <w:dstrike w:val="false"/>
                  <w:color w:val="000000"/>
                  <w:sz w:val="20"/>
                  <w:u w:val="none"/>
                  <w:effect w:val="none"/>
                </w:rPr>
                <w:t>93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94"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83</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before="0" w:after="0"/>
        <w:jc w:val="center"/>
        <w:rPr/>
      </w:pPr>
      <w:r>
        <w:rPr/>
      </w:r>
    </w:p>
    <w:p>
      <w:pPr>
        <w:pStyle w:val="TextBody"/>
        <w:bidi w:val="0"/>
        <w:spacing w:lineRule="auto" w:line="393"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39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the Board of Directors of ACM Research, Inc. </w:t>
      </w:r>
    </w:p>
    <w:p>
      <w:pPr>
        <w:pStyle w:val="TextBody"/>
        <w:bidi w:val="0"/>
        <w:spacing w:before="0" w:after="0"/>
        <w:jc w:val="left"/>
        <w:rPr/>
      </w:pPr>
      <w:r>
        <w:rPr/>
      </w:r>
    </w:p>
    <w:p>
      <w:pPr>
        <w:pStyle w:val="TextBody"/>
        <w:bidi w:val="0"/>
        <w:spacing w:lineRule="auto" w:line="393"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We have audited the accompanying consolidated balance sheet of ACM Research, Inc. (the Company) as of December 31, 2023, the related consolidated statements of comprehensive income</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changes in stockholders' equity and cash flows for the year ended December 31, 2023, and the related notes</w:t>
      </w:r>
      <w:r>
        <w:rPr>
          <w:color w:val="000000"/>
          <w:shd w:fill="F4F4F4" w:val="clear"/>
        </w:rPr>
        <w:t xml:space="preserve"> </w:t>
      </w:r>
      <w:r>
        <w:rPr>
          <w:rFonts w:ascii="Times New Roman;sans-serif" w:hAnsi="Times New Roman;sans-serif"/>
          <w:b w:val="false"/>
          <w:color w:val="000000"/>
          <w:sz w:val="20"/>
        </w:rPr>
        <w:t>(collectively referred to as the “consolidated financial statements”). In our opinion, the consolidated financial statements present fairly, in all material respects, the financial position of the Company at December 31, 2023, and the results of its operations and its cash flows for the year ended December 31, 2023, in conformity with U.S. generally accepted accounting principles.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w:t>
      </w:r>
      <w:r>
        <w:rPr>
          <w:color w:val="000000"/>
        </w:rPr>
        <w:t xml:space="preserve"> </w:t>
      </w:r>
      <w:r>
        <w:rPr>
          <w:rFonts w:ascii="Times New Roman;sans-serif" w:hAnsi="Times New Roman;sans-serif"/>
          <w:b w:val="false"/>
          <w:color w:val="000000"/>
          <w:sz w:val="20"/>
        </w:rPr>
        <w:t>and our report dated February 28, 2024 expressed an unqualified opinion thereon.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jc w:val="both"/>
        <w:rPr/>
      </w:pPr>
      <w:r>
        <w:rPr/>
      </w:r>
    </w:p>
    <w:p>
      <w:pPr>
        <w:pStyle w:val="TextBody"/>
        <w:bidi w:val="0"/>
        <w:spacing w:lineRule="auto" w:line="393"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95"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84</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452"/>
        <w:gridCol w:w="398"/>
        <w:gridCol w:w="400"/>
        <w:gridCol w:w="109"/>
        <w:gridCol w:w="109"/>
        <w:gridCol w:w="109"/>
        <w:gridCol w:w="2694"/>
        <w:gridCol w:w="2456"/>
        <w:gridCol w:w="3478"/>
      </w:tblGrid>
      <w:tr>
        <w:trPr/>
        <w:tc>
          <w:tcPr>
            <w:tcW w:w="45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3478" w:type="dxa"/>
            <w:tcBorders/>
            <w:vAlign w:val="center"/>
          </w:tcPr>
          <w:p>
            <w:pPr>
              <w:pStyle w:val="TableContents"/>
              <w:bidi w:val="0"/>
              <w:spacing w:before="0" w:after="283"/>
              <w:jc w:val="left"/>
              <w:rPr>
                <w:sz w:val="4"/>
                <w:szCs w:val="4"/>
              </w:rPr>
            </w:pPr>
            <w:r>
              <w:rPr>
                <w:sz w:val="4"/>
                <w:szCs w:val="4"/>
              </w:rPr>
            </w:r>
          </w:p>
        </w:tc>
      </w:tr>
      <w:tr>
        <w:trPr/>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tc>
      </w:tr>
      <w:tr>
        <w:trPr/>
        <w:tc>
          <w:tcPr>
            <w:tcW w:w="1250" w:type="dxa"/>
            <w:gridSpan w:val="3"/>
            <w:tcBorders/>
            <w:tcMar>
              <w:top w:w="0" w:type="dxa"/>
              <w:left w:w="0" w:type="dxa"/>
              <w:bottom w:w="0" w:type="dxa"/>
              <w:right w:w="0" w:type="dxa"/>
            </w:tcMar>
            <w:vAlign w:val="center"/>
          </w:tcPr>
          <w:p>
            <w:pPr>
              <w:pStyle w:val="TableContents"/>
              <w:bidi w:val="0"/>
              <w:spacing w:lineRule="auto" w:line="261"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As described in Notes 2 to the consolidated financial statements, t</w:t>
            </w:r>
            <w:r>
              <w:rPr>
                <w:rFonts w:ascii="Times New Roman;sans-serif" w:hAnsi="Times New Roman;sans-serif"/>
                <w:b w:val="false"/>
                <w:color w:val="000000"/>
                <w:sz w:val="20"/>
                <w:shd w:fill="FFFFFF" w:val="clear"/>
              </w:rPr>
              <w:t>he Company recognizes revenue from tools and spare parts at a point in time, when the Company has satisfied its performance obligation. For shipments made to a customer that has not previously accepted a specific type of tool (“first tools”), revenues are recognized when the tools are accepted by the customer. For shipments made to a customer that have previously accepted a specific type of tool (“repeat shipments”), revenues are recognized upon shipment or delivery because the Company can objectively demonstrate that the tools meet all the required customer specifications.</w:t>
            </w:r>
          </w:p>
          <w:p>
            <w:pPr>
              <w:pStyle w:val="TableContents"/>
              <w:bidi w:val="0"/>
              <w:spacing w:before="0" w:after="0"/>
              <w:jc w:val="left"/>
              <w:rPr/>
            </w:pPr>
            <w:r>
              <w:rPr/>
            </w:r>
          </w:p>
          <w:p>
            <w:pPr>
              <w:pStyle w:val="TableContents"/>
              <w:bidi w:val="0"/>
              <w:spacing w:lineRule="auto" w:line="268" w:before="0" w:after="0"/>
              <w:jc w:val="left"/>
              <w:rPr/>
            </w:pPr>
            <w:r>
              <w:rPr>
                <w:rFonts w:ascii="Times New Roman;sans-serif" w:hAnsi="Times New Roman;sans-serif"/>
                <w:b w:val="false"/>
                <w:color w:val="000000"/>
                <w:sz w:val="20"/>
              </w:rPr>
              <w:t xml:space="preserve">Evaluating the sufficiency of audit evidence to validate whether </w:t>
            </w:r>
            <w:r>
              <w:rPr>
                <w:rFonts w:ascii="Times New Roman;sans-serif" w:hAnsi="Times New Roman;sans-serif"/>
                <w:b w:val="false"/>
                <w:color w:val="000000"/>
                <w:sz w:val="20"/>
                <w:shd w:fill="FFFFFF" w:val="clear"/>
              </w:rPr>
              <w:t xml:space="preserve">the Company can objectively identify repeat shipments </w:t>
            </w:r>
            <w:r>
              <w:rPr>
                <w:rFonts w:ascii="Times New Roman;sans-serif" w:hAnsi="Times New Roman;sans-serif"/>
                <w:b w:val="false"/>
                <w:color w:val="000000"/>
                <w:sz w:val="20"/>
              </w:rPr>
              <w:t>required auditor judgment and significant audit effort because the Company’s tools are highly customized for each customer.</w:t>
            </w:r>
          </w:p>
          <w:p>
            <w:pPr>
              <w:pStyle w:val="TableContents"/>
              <w:bidi w:val="0"/>
              <w:spacing w:before="0" w:after="0"/>
              <w:jc w:val="left"/>
              <w:rPr/>
            </w:pPr>
            <w:r>
              <w:rPr/>
            </w:r>
          </w:p>
        </w:tc>
      </w:tr>
      <w:tr>
        <w:trPr/>
        <w:tc>
          <w:tcPr>
            <w:tcW w:w="1250" w:type="dxa"/>
            <w:gridSpan w:val="3"/>
            <w:tcBorders/>
            <w:tcMar>
              <w:top w:w="0" w:type="dxa"/>
              <w:left w:w="0" w:type="dxa"/>
              <w:bottom w:w="0" w:type="dxa"/>
              <w:right w:w="0" w:type="dxa"/>
            </w:tcMar>
            <w:vAlign w:val="center"/>
          </w:tcPr>
          <w:p>
            <w:pPr>
              <w:pStyle w:val="TableContents"/>
              <w:bidi w:val="0"/>
              <w:spacing w:lineRule="auto" w:line="261"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 xml:space="preserve">We obtained an understanding, evaluated the design and tested the operating effectiveness of controls over the Company’s revenue process. </w:t>
            </w:r>
            <w:r>
              <w:rPr>
                <w:rFonts w:ascii="Times New Roman;sans-serif" w:hAnsi="Times New Roman;sans-serif"/>
                <w:b w:val="false"/>
                <w:color w:val="000000"/>
                <w:sz w:val="20"/>
                <w:shd w:fill="FFFFFF" w:val="clear"/>
              </w:rPr>
              <w:t xml:space="preserve">For example, we tested </w:t>
            </w:r>
            <w:r>
              <w:rPr>
                <w:rFonts w:ascii="Times New Roman;sans-serif" w:hAnsi="Times New Roman;sans-serif"/>
                <w:b w:val="false"/>
                <w:color w:val="000000"/>
                <w:sz w:val="20"/>
              </w:rPr>
              <w:t>the controls over management’s review of the Company’s analysis to determine whether the repeat shipments identified have been previously accepted by the same customer.</w:t>
            </w:r>
          </w:p>
          <w:p>
            <w:pPr>
              <w:pStyle w:val="TableContents"/>
              <w:bidi w:val="0"/>
              <w:spacing w:before="0" w:after="0"/>
              <w:jc w:val="left"/>
              <w:rPr/>
            </w:pPr>
            <w:r>
              <w:rPr/>
            </w:r>
          </w:p>
          <w:p>
            <w:pPr>
              <w:pStyle w:val="TableContents"/>
              <w:bidi w:val="0"/>
              <w:spacing w:lineRule="auto" w:line="268" w:before="0" w:after="0"/>
              <w:jc w:val="both"/>
              <w:rPr/>
            </w:pPr>
            <w:r>
              <w:rPr>
                <w:rFonts w:ascii="Times New Roman;sans-serif" w:hAnsi="Times New Roman;sans-serif"/>
                <w:b w:val="false"/>
                <w:color w:val="000000"/>
                <w:sz w:val="20"/>
              </w:rPr>
              <w:t xml:space="preserve">To test whether </w:t>
            </w:r>
            <w:r>
              <w:rPr>
                <w:rFonts w:ascii="Times New Roman;sans-serif" w:hAnsi="Times New Roman;sans-serif"/>
                <w:b w:val="false"/>
                <w:color w:val="000000"/>
                <w:sz w:val="20"/>
                <w:shd w:fill="FFFFFF" w:val="clear"/>
              </w:rPr>
              <w:t>the Company can objectively demonstrate that the highly customized tools are repeat shipments</w:t>
            </w:r>
            <w:r>
              <w:rPr>
                <w:rFonts w:ascii="Times New Roman;sans-serif" w:hAnsi="Times New Roman;sans-serif"/>
                <w:b w:val="false"/>
                <w:color w:val="000000"/>
                <w:sz w:val="20"/>
              </w:rPr>
              <w:t>, our audit procedures, among others, included performing direct inquiries with the Company’s personnel from its sales and engineering department to understand the Company’s process of identifying repeat shipments and the quality control department to understand the quality control process. We applied auditor judgment to determine the nature and extent of procedures to be performed by testing all the sales transactions identified as repeat shipments during the year. Specifically for all repeat shipments, we obtained the quality control reports signed by the Company’s quality control department. We also identified the similar tools previously sold to and accepted by the same customer by comparing the executed contracts or purchase orders of both tools, and inspected the acceptance confirmation from the customer of the previous tools to verify that the Company was able to objectively</w:t>
            </w:r>
            <w:r>
              <w:rPr>
                <w:color w:val="000000"/>
                <w:shd w:fill="FFFFFF" w:val="clear"/>
              </w:rPr>
              <w:t xml:space="preserve"> </w:t>
            </w:r>
            <w:r>
              <w:rPr>
                <w:rFonts w:ascii="Times New Roman;sans-serif" w:hAnsi="Times New Roman;sans-serif"/>
                <w:b w:val="false"/>
                <w:color w:val="000000"/>
                <w:sz w:val="20"/>
                <w:shd w:fill="FFFFFF" w:val="clear"/>
              </w:rPr>
              <w:t>demonstrate that repeat shipments meet all the required customer specifications with its established history of customer acceptance. We evaluated the overall sufficiency of audit evidence obtained by assessing the results of procedures performed over repeat shipments, including the appropriateness of the nature and extent of audit effort.</w:t>
            </w:r>
          </w:p>
          <w:p>
            <w:pPr>
              <w:pStyle w:val="TableContents"/>
              <w:bidi w:val="0"/>
              <w:spacing w:before="0" w:after="0"/>
              <w:jc w:val="both"/>
              <w:rPr/>
            </w:pPr>
            <w:r>
              <w:rPr/>
            </w:r>
          </w:p>
        </w:tc>
      </w:tr>
    </w:tbl>
    <w:p>
      <w:pPr>
        <w:pStyle w:val="TextBody"/>
        <w:bidi w:val="0"/>
        <w:spacing w:lineRule="auto" w:line="39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Ernst &amp; Young Hua Ming LLP </w:t>
      </w:r>
    </w:p>
    <w:p>
      <w:pPr>
        <w:pStyle w:val="TextBody"/>
        <w:bidi w:val="0"/>
        <w:spacing w:before="0" w:after="0"/>
        <w:jc w:val="left"/>
        <w:rPr/>
      </w:pPr>
      <w:r>
        <w:rPr/>
      </w:r>
    </w:p>
    <w:p>
      <w:pPr>
        <w:pStyle w:val="TextBody"/>
        <w:bidi w:val="0"/>
        <w:spacing w:lineRule="auto" w:line="393" w:before="0" w:after="0"/>
        <w:jc w:val="left"/>
        <w:rPr>
          <w:rFonts w:ascii="Times New Roman;sans-serif" w:hAnsi="Times New Roman;sans-serif"/>
          <w:b w:val="false"/>
          <w:color w:val="262626"/>
          <w:sz w:val="20"/>
          <w:shd w:fill="FFFFFF" w:val="clear"/>
        </w:rPr>
      </w:pPr>
      <w:r>
        <w:rPr>
          <w:rFonts w:ascii="Times New Roman;sans-serif" w:hAnsi="Times New Roman;sans-serif"/>
          <w:b w:val="false"/>
          <w:color w:val="262626"/>
          <w:sz w:val="20"/>
          <w:shd w:fill="FFFFFF" w:val="clear"/>
        </w:rPr>
        <w:t>We have served as the Company's auditor since 2023.</w:t>
      </w:r>
    </w:p>
    <w:p>
      <w:pPr>
        <w:pStyle w:val="TextBody"/>
        <w:bidi w:val="0"/>
        <w:spacing w:before="0" w:after="0"/>
        <w:jc w:val="left"/>
        <w:rPr/>
      </w:pPr>
      <w:r>
        <w:rPr/>
      </w:r>
    </w:p>
    <w:p>
      <w:pPr>
        <w:pStyle w:val="TextBody"/>
        <w:bidi w:val="0"/>
        <w:spacing w:lineRule="auto" w:line="39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Shanghai, the People’s Republic of China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96"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85</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before="0" w:after="0"/>
        <w:jc w:val="left"/>
        <w:rPr/>
      </w:pPr>
      <w:r>
        <w:rPr/>
      </w:r>
    </w:p>
    <w:p>
      <w:pPr>
        <w:pStyle w:val="TextBody"/>
        <w:bidi w:val="0"/>
        <w:spacing w:lineRule="auto" w:line="393"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39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the Board of Directors of ACM Research, Inc. </w:t>
      </w:r>
    </w:p>
    <w:p>
      <w:pPr>
        <w:pStyle w:val="TextBody"/>
        <w:bidi w:val="0"/>
        <w:spacing w:before="0" w:after="0"/>
        <w:jc w:val="left"/>
        <w:rPr/>
      </w:pPr>
      <w:r>
        <w:rPr/>
      </w:r>
    </w:p>
    <w:p>
      <w:pPr>
        <w:pStyle w:val="TextBody"/>
        <w:bidi w:val="0"/>
        <w:spacing w:lineRule="auto" w:line="393" w:before="0" w:after="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ACM Research, Inc.’s internal control over financial reporting as of December 31, 2023, based on criteria established in Internal Control—Integrated Framework issued by the Committee of Sponsoring Organizations of the Treadway Commission (2013 framework) (the COSO criteria). In our opinion, ACM Research, Inc. (the Company) maintained, in all material respects, effective internal control over financial reporting as of December 31, 2023, based on the COSO criteria.</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 of the Company as of December 31, 2023, the related consolidated statements of comprehensive income</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changes in stockholders' equity and cash flows for the year ended December 31, 2023, and the related notes</w:t>
      </w:r>
      <w:r>
        <w:rPr>
          <w:color w:val="000000"/>
          <w:shd w:fill="F4F4F4" w:val="clear"/>
        </w:rPr>
        <w:t xml:space="preserve"> </w:t>
      </w:r>
      <w:r>
        <w:rPr>
          <w:rFonts w:ascii="Times New Roman;sans-serif" w:hAnsi="Times New Roman;sans-serif"/>
          <w:b w:val="false"/>
          <w:color w:val="000000"/>
          <w:sz w:val="20"/>
        </w:rPr>
        <w:t>and our report dated February 28, 2024 expressed an unqualified opinion thereon.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39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Hua Ming LLP</w:t>
      </w:r>
    </w:p>
    <w:p>
      <w:pPr>
        <w:pStyle w:val="TextBody"/>
        <w:bidi w:val="0"/>
        <w:spacing w:lineRule="auto" w:line="39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 xml:space="preserve">Shanghai, the People’s Republic of China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97"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86</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Board of Directors and</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Stockholders of ACM Research,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Opinion on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audited the accompanying consolidated balance sheet of ACM Research, Inc. and subsidiaries (the Company) as of December 31, 2022, and the related consolidated statements of comprehensive income (loss), changes in stockholders’ equity, and cash flows for the year ended December 31, 2022,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Basis for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jc w:val="both"/>
        <w:rPr/>
      </w:pPr>
      <w:r>
        <w:rPr/>
      </w:r>
    </w:p>
    <w:p>
      <w:pPr>
        <w:pStyle w:val="TextBody"/>
        <w:bidi w:val="0"/>
        <w:spacing w:lineRule="auto" w:line="39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/s/Armanino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served as the Company’s auditor in 2022. In 2023, we became the predecessor auditor.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San Ramon, California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March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98"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before="240" w:after="283"/>
        <w:jc w:val="center"/>
        <w:rPr/>
      </w:pPr>
      <w:r>
        <w:rPr/>
        <w:drawing>
          <wp:inline distT="0" distB="0" distL="0" distR="0">
            <wp:extent cx="5657850" cy="581025"/>
            <wp:effectExtent l="0" t="0" r="0" b="0"/>
            <wp:docPr id="9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2" descr=""/>
                    <pic:cNvPicPr>
                      <a:picLocks noChangeAspect="1" noChangeArrowheads="1"/>
                    </pic:cNvPicPr>
                  </pic:nvPicPr>
                  <pic:blipFill>
                    <a:blip r:embed="rId13"/>
                    <a:stretch>
                      <a:fillRect/>
                    </a:stretch>
                  </pic:blipFill>
                  <pic:spPr bwMode="auto">
                    <a:xfrm>
                      <a:off x="0" y="0"/>
                      <a:ext cx="5657850" cy="581025"/>
                    </a:xfrm>
                    <a:prstGeom prst="rect">
                      <a:avLst/>
                    </a:prstGeom>
                  </pic:spPr>
                </pic:pic>
              </a:graphicData>
            </a:graphic>
          </wp:inline>
        </w:drawing>
      </w:r>
    </w:p>
    <w:p>
      <w:pPr>
        <w:pStyle w:val="TextBody"/>
        <w:bidi w:val="0"/>
        <w:spacing w:lineRule="auto" w:line="26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Board of Directors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ACM Research, Inc.</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Fremont, California</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Consolidated Financial Statements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We have audited the accompanying consolidated statements of operations and comprehensive income, changes in stockholders’ equity, and cash flows of ACM Research, Inc. and subsidiaries (the “Company”) for the year ended December 31, 2021, and the related notes (collectively referred to as the “consolidated financial statements”). In our opinion, the consolidated financial statements present fairly, in all material respects, the results of its operations and its cash flows for the year ended December 31, 2021</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conformity with accounting principles generally accepted in the United States of America.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39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/s/BDO China Shu Lun Pan Certified Public Accountants LLP</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served as the Company’s auditor from 2015 to 2022.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Shenzhen, The People’s Republic of China</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March 1, 2022, except</w:t>
      </w:r>
      <w:r>
        <w:rPr>
          <w:color w:val="000000"/>
          <w:shd w:fill="FFFFFF" w:val="clear"/>
        </w:rPr>
        <w:t xml:space="preserve"> </w:t>
      </w:r>
      <w:r>
        <w:rPr>
          <w:rFonts w:ascii="Times New Roman;sans-serif" w:hAnsi="Times New Roman;sans-serif"/>
          <w:b w:val="false"/>
          <w:color w:val="000000"/>
          <w:sz w:val="20"/>
        </w:rPr>
        <w:t>for the effects of the common stock split discussed in Notes 1 and 2 to the consolidated financial statements, as to which the date is March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100"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88</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Balance Sheets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per share data)</w:t>
      </w:r>
    </w:p>
    <w:p>
      <w:pPr>
        <w:pStyle w:val="TextBody"/>
        <w:bidi w:val="0"/>
        <w:spacing w:before="0" w:after="0"/>
        <w:jc w:val="center"/>
        <w:rPr/>
      </w:pPr>
      <w:r>
        <w:rPr/>
      </w:r>
    </w:p>
    <w:tbl>
      <w:tblPr>
        <w:tblW w:w="7314" w:type="dxa"/>
        <w:jc w:val="left"/>
        <w:tblInd w:w="0" w:type="dxa"/>
        <w:tblLayout w:type="fixed"/>
        <w:tblCellMar>
          <w:top w:w="28" w:type="dxa"/>
          <w:left w:w="28" w:type="dxa"/>
          <w:bottom w:w="28" w:type="dxa"/>
          <w:right w:w="28" w:type="dxa"/>
        </w:tblCellMar>
      </w:tblPr>
      <w:tblGrid>
        <w:gridCol w:w="1568"/>
        <w:gridCol w:w="1383"/>
        <w:gridCol w:w="1399"/>
        <w:gridCol w:w="211"/>
        <w:gridCol w:w="976"/>
        <w:gridCol w:w="109"/>
        <w:gridCol w:w="109"/>
        <w:gridCol w:w="109"/>
        <w:gridCol w:w="109"/>
        <w:gridCol w:w="211"/>
        <w:gridCol w:w="976"/>
        <w:gridCol w:w="154"/>
      </w:tblGrid>
      <w:tr>
        <w:trPr/>
        <w:tc>
          <w:tcPr>
            <w:tcW w:w="156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(note 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time deposits (note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(note 15)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(note 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 (note 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related party (note 16)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963,806 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(note 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use right, net (note 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 (note 11)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time deposits (note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(note 19)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 (note 14)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(note 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1,235,500 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 (note 9)</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borrowings (note 12)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accounts payable (note 16)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from customers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(note 19)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FIN-48 payable (note 19)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 and accrued expenses (note 10)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liability (note 11)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 (note 12)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liability (note 11)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(note 13)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21)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(note 17)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(note 17)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surplus reserve (note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ACM Research, Inc.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1,235,500 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101"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89</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Comprehensive Income (Loss)</w:t>
      </w:r>
    </w:p>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per share data)</w:t>
      </w:r>
    </w:p>
    <w:tbl>
      <w:tblPr>
        <w:tblW w:w="10205" w:type="dxa"/>
        <w:jc w:val="left"/>
        <w:tblInd w:w="0" w:type="dxa"/>
        <w:tblLayout w:type="fixed"/>
        <w:tblCellMar>
          <w:top w:w="28" w:type="dxa"/>
          <w:left w:w="28" w:type="dxa"/>
          <w:bottom w:w="28" w:type="dxa"/>
          <w:right w:w="28" w:type="dxa"/>
        </w:tblCellMar>
      </w:tblPr>
      <w:tblGrid>
        <w:gridCol w:w="2419"/>
        <w:gridCol w:w="1821"/>
        <w:gridCol w:w="1826"/>
        <w:gridCol w:w="211"/>
        <w:gridCol w:w="826"/>
        <w:gridCol w:w="109"/>
        <w:gridCol w:w="109"/>
        <w:gridCol w:w="109"/>
        <w:gridCol w:w="109"/>
        <w:gridCol w:w="211"/>
        <w:gridCol w:w="826"/>
        <w:gridCol w:w="109"/>
        <w:gridCol w:w="109"/>
        <w:gridCol w:w="109"/>
        <w:gridCol w:w="109"/>
        <w:gridCol w:w="211"/>
        <w:gridCol w:w="826"/>
        <w:gridCol w:w="156"/>
      </w:tblGrid>
      <w:tr>
        <w:trPr/>
        <w:tc>
          <w:tcPr>
            <w:tcW w:w="241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(note 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including cost of revenue from related party of $31,240 and $26,313 for the year ended December 31, 2023 and 2022, respectively (note 16)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sale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equity method investments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(note 19)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ACM Research,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ACM Research,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common stock (note 2):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stock outstanding used in computing per share amounts (note 2):</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60,164,670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59,235,975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57,654,708</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4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64,870,543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65,341,771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65,356,716</w:t>
            </w:r>
          </w:p>
        </w:tc>
      </w:tr>
    </w:tbl>
    <w:p>
      <w:pPr>
        <w:pStyle w:val="TextBody"/>
        <w:bidi w:val="0"/>
        <w:spacing w:before="240" w:after="283"/>
        <w:ind w:left="0" w:right="0" w:firstLine="90"/>
        <w:jc w:val="both"/>
        <w:rPr/>
      </w:pPr>
      <w:r>
        <w:rPr/>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102"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 of Changes in Stockholders’ Equity</w: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per share data)</w:t>
      </w:r>
    </w:p>
    <w:tbl>
      <w:tblPr>
        <w:tblW w:w="12289" w:type="dxa"/>
        <w:jc w:val="left"/>
        <w:tblInd w:w="0" w:type="dxa"/>
        <w:tblLayout w:type="fixed"/>
        <w:tblCellMar>
          <w:top w:w="28" w:type="dxa"/>
          <w:left w:w="28" w:type="dxa"/>
          <w:bottom w:w="28" w:type="dxa"/>
          <w:right w:w="28" w:type="dxa"/>
        </w:tblCellMar>
      </w:tblPr>
      <w:tblGrid>
        <w:gridCol w:w="505"/>
        <w:gridCol w:w="220"/>
        <w:gridCol w:w="221"/>
        <w:gridCol w:w="254"/>
        <w:gridCol w:w="254"/>
        <w:gridCol w:w="258"/>
        <w:gridCol w:w="109"/>
        <w:gridCol w:w="109"/>
        <w:gridCol w:w="109"/>
        <w:gridCol w:w="194"/>
        <w:gridCol w:w="259"/>
        <w:gridCol w:w="118"/>
        <w:gridCol w:w="109"/>
        <w:gridCol w:w="109"/>
        <w:gridCol w:w="109"/>
        <w:gridCol w:w="229"/>
        <w:gridCol w:w="229"/>
        <w:gridCol w:w="233"/>
        <w:gridCol w:w="109"/>
        <w:gridCol w:w="109"/>
        <w:gridCol w:w="109"/>
        <w:gridCol w:w="194"/>
        <w:gridCol w:w="259"/>
        <w:gridCol w:w="118"/>
        <w:gridCol w:w="109"/>
        <w:gridCol w:w="109"/>
        <w:gridCol w:w="109"/>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218"/>
        <w:gridCol w:w="671"/>
        <w:gridCol w:w="132"/>
        <w:gridCol w:w="109"/>
        <w:gridCol w:w="109"/>
        <w:gridCol w:w="109"/>
        <w:gridCol w:w="206"/>
        <w:gridCol w:w="735"/>
        <w:gridCol w:w="125"/>
        <w:gridCol w:w="109"/>
        <w:gridCol w:w="109"/>
        <w:gridCol w:w="109"/>
        <w:gridCol w:w="181"/>
        <w:gridCol w:w="646"/>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Common</w:t>
              <w:br/>
              <w:t>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Common</w:t>
              <w:br/>
              <w:t>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w:t>
              <w:br/>
              <w:t xml:space="preserve">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Statutory 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 xml:space="preserve">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Equity </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2020</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50,690,079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5</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5,407,818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102,000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29,899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4,388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4,857</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67,020</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208,170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5,164 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42,921 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Appropriation to statutory surplus reserves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1,870,803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warrants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728,043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Class B common stock to Class A common stock</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320,004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(320,004)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a subsidiary equity issuance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482,678 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62,834 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545,512 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2021</w:t>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53,608,929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5</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5,087,814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595,045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63,732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8,312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9,109</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135,461</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811,665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76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11,301 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50,564 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Appropriation to statutory surplus reserves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(49,655)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(9,447)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980,354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Class B common stock to Class A common stock</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2022</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54,655,286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5</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5,021,811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604,089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94,426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16,881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(40,546)</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137,315</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812,171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Cumulative effect of change in accounting principle under ASC 326, net of tax</w:t>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(1,769)</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Appropriation to statutory surplus reserves</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(8,803)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1,380,886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3,885 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 Shanghai dividends</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2023</w:t>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56,036,172</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6</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5,021,811</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629,845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156,827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30,060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4"/>
              </w:rPr>
            </w:pPr>
            <w:r>
              <w:rPr>
                <w:rFonts w:ascii="Times New Roman;sans-serif" w:hAnsi="Times New Roman;sans-serif"/>
                <w:b/>
                <w:color w:val="000000"/>
                <w:sz w:val="14"/>
              </w:rPr>
              <w:t>(49,349)</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158,772</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926,162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103"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Cash Flows</w: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w:t>
      </w:r>
    </w:p>
    <w:tbl>
      <w:tblPr>
        <w:tblW w:w="10205" w:type="dxa"/>
        <w:jc w:val="left"/>
        <w:tblInd w:w="0" w:type="dxa"/>
        <w:tblLayout w:type="fixed"/>
        <w:tblCellMar>
          <w:top w:w="28" w:type="dxa"/>
          <w:left w:w="28" w:type="dxa"/>
          <w:bottom w:w="28" w:type="dxa"/>
          <w:right w:w="28" w:type="dxa"/>
        </w:tblCellMar>
      </w:tblPr>
      <w:tblGrid>
        <w:gridCol w:w="2053"/>
        <w:gridCol w:w="1650"/>
        <w:gridCol w:w="1661"/>
        <w:gridCol w:w="211"/>
        <w:gridCol w:w="826"/>
        <w:gridCol w:w="109"/>
        <w:gridCol w:w="109"/>
        <w:gridCol w:w="109"/>
        <w:gridCol w:w="109"/>
        <w:gridCol w:w="211"/>
        <w:gridCol w:w="874"/>
        <w:gridCol w:w="109"/>
        <w:gridCol w:w="109"/>
        <w:gridCol w:w="109"/>
        <w:gridCol w:w="109"/>
        <w:gridCol w:w="211"/>
        <w:gridCol w:w="826"/>
        <w:gridCol w:w="109"/>
        <w:gridCol w:w="109"/>
        <w:gridCol w:w="109"/>
        <w:gridCol w:w="109"/>
        <w:gridCol w:w="109"/>
        <w:gridCol w:w="109"/>
        <w:gridCol w:w="156"/>
      </w:tblGrid>
      <w:tr>
        <w:trPr/>
        <w:tc>
          <w:tcPr>
            <w:tcW w:w="2053"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bookmarkStart w:id="0" w:name="i9a7c53307c52474487e1cb28f6fb3e2c_3-0-1-"/>
            <w:bookmarkEnd w:id="0"/>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from operations to net cash used in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disposals of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recoverable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related party (note 16)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accounts payable (note 16)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from customers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FIN-48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long-term investments (note 14)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investments (note 15)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time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maturity of 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short-term investments (note 15)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disposal of long-term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short-term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short-term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Shanghai dividends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 subsidiary equity issuance, net of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warrant exercise to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changes on cash,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net of capitalized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cash equivalents and restricted cash in consolidated statements of cash flows: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financing activities: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Cashless exercise of stock options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activities: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from inventory to property, plant and equipment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property, plant and equipment through accounts payable and other payable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prepayment for property to property, plant and equipment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104"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NOTE 1 – DESCRIPTION OF BUSINESS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Research, Inc. (“ACM” or "ACM Research") and its subsidiaries (collectively with ACM, the “Company”) develop, manufacture and sell single-wafer wet cleaning equipment used to improve the manufacturing process and yield for advanced integrated chips. The Company markets and sells its single-wafer wet-cleaning equipment, under the brand name “Ultra C,”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was incorporated in California in 1998, and it initially focused on developing tools for manufacturing process steps involving the integration of ultra-low-K materials and copper. The Company’s early efforts focused on stress-free copper-polishing technology, and it sold tools based on that technology in the early 2000s.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2006, the Company established its operational center in Shanghai in the People’s Republic of China ("mainland China"), where it operates through ACM’s subsidiary, ACM Research (Shanghai), Inc. (“ACM Shanghai”). ACM Shanghai was formed to help establish and build relationships with integrated circuit manufacturers in mainland China, and the Company initially financed its Shanghai operations in part through sales of non-controlling equity interests in ACM Shanghai.</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Based on its electro-chemical plating (“ECP”) technology, the Company introduced in March 2019 its Ultra ECP AP, or “Advanced Packaging,” tool for bumping, or applying copper, tin and nickel to semiconductor wafers at the die-level, and its Ultra ECP MAP, or “Multi-Anode Partial Plating,” tool to deliver advanced electrochemical copper plating for copper interconnect applications in front-end wafer fabrication processes. The Company also offers a range of custom-made equipment, including cleaners, coaters and developers, to back-end wafer assembly and packaging factories, principally in mainland China.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2011, ACM Shanghai formed a wholly owned subsidiary in mainland China, ACM Research (Wuxi), Inc. (“ACM Wuxi”), to manage sales and service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2016, ACM re-domesticated from California to Delaware pursuant to a merger in which ACM Research, Inc., a California corporation, was merged into a newly formed, wholly owned Delaware subsidiary, also named ACM Research, Inc.</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2017, ACM formed a wholly owned subsidiary in Hong Kong, CleanChip Technologies Limited (“CleanChip”), to act on the Company’s behalf in Asian markets outside mainland China by, for example, serving as a trading partner between ACM Shanghai and its customers, procuring raw materials and components, performing sales and marketing activities, and making strategic investments.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2017, ACM purchased 18.77% of ACM Shanghai’s equity interests held by Shanghai Science and Technology Venture Capital Co., Ltd. On November 8, 2017, ACM purchased the remaining 18.36% of ACM Shanghai’s equity interest held by third parties, Shanghai Pudong High-Tech Investment Co., Ltd. (“PDHTI”) and Shanghai Zhangjiang Science &amp; Technology Venture Capital Co., Ltd. (“ZSTVC”). At December 31, 2017, ACM owned all of the outstanding equity interests of ACM Shanghai, and indirectly through ACM Shanghai, owned all of the outstanding equity interests of ACM Wuxi.</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 2017, the Registration Statement on Form S-1 (File No. 333- 220451) for ACM’s initial public offering of Class A common stock (the “IPO”) was declared effective by the U.S. Securities and Exchange Commission.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6840"/>
                <wp:effectExtent l="0" t="0" r="0" b="0"/>
                <wp:wrapNone/>
                <wp:docPr id="105"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Class A common stock began trading on the Nasdaq Global Market on November 3, 2017, and the closing for the IPO was held on November 7, 2017.</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2017, ACM formed a wholly owned subsidiary in the Republic of Korea (“Korea”), ACM Research Korea CO., LTD. (“ACM Korea”), to serve customers based in Korea and perform sales, marketing, research and development activities for new products and solutions.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2019, ACM Shanghai formed a wholly owned subsidiary in mainland China, Shengwei Research (Shanghai), Inc. (“ACM Shengwei”), to manage activities related to the addition of future long-term production capacity.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2019, CleanChip formed a wholly owned subsidiary in California, ACM Research (CA), Inc. (“ACM California”), to provide procurement services on behalf of ACM Shanghai.</w:t>
      </w:r>
    </w:p>
    <w:p>
      <w:pPr>
        <w:pStyle w:val="TextBody"/>
        <w:bidi w:val="0"/>
        <w:spacing w:lineRule="auto" w:line="288" w:before="240" w:after="283"/>
        <w:jc w:val="both"/>
        <w:rPr/>
      </w:pPr>
      <w:r>
        <w:rPr>
          <w:rFonts w:ascii="Times New Roman;sans-serif" w:hAnsi="Times New Roman;sans-serif"/>
          <w:b w:val="false"/>
          <w:color w:val="000000"/>
          <w:sz w:val="20"/>
        </w:rPr>
        <w:t>In June 2019, ACM announced plans to complete over the next three years a listing (the “STAR Listing”) of shares of ACM Shanghai on the Shanghai Stock Exchange’s new SciTech innovAtion boaRd,</w:t>
      </w:r>
      <w:r>
        <w:rPr>
          <w:color w:val="000000"/>
        </w:rPr>
        <w:t xml:space="preserve"> </w:t>
      </w:r>
      <w:r>
        <w:rPr>
          <w:rFonts w:ascii="Times New Roman;sans-serif" w:hAnsi="Times New Roman;sans-serif"/>
          <w:b w:val="false"/>
          <w:color w:val="000000"/>
          <w:sz w:val="20"/>
        </w:rPr>
        <w:t>known as the STAR Market, and a concurrent initial public offering (the “STAR IPO”) of ACM Shanghai shares in mainland China. ACM Shanghai is currently ACM’s primary operating subsidiary, and at the time of announcement, was wholly owned by ACM. To meet a STAR Listing requirement that it have multiple independent stockholders in mainland China, ACM Shanghai completed private placements of its shares in June and November 2019, following which, as of September 30, 2020, the private placement investors held a total of 8.3% of the outstanding shares of ACM Shanghai and ACM Research held the remaining 91.7%. As part of the STAR Listing process, in June 2020 the ownership interests held by the private investors were reclassified from redeemable non-controlling interests to non-controlling interests as the redemption feature was terminated. In preparation for the STAR IPO, ACM completed a reorganization in December 2020 that included the sale of all of the shares of CleanChip by ACM to ACM Shanghai for $3,500. The reorganization and sale had no impact on ACM’s consolidated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ACM formed a wholly owned subsidiary in Singapore, ACM research (Singapore) PTE, Ltd. to perform sales, marketing, and other business development activities.</w:t>
      </w:r>
    </w:p>
    <w:p>
      <w:pPr>
        <w:pStyle w:val="TextBody"/>
        <w:bidi w:val="0"/>
        <w:spacing w:lineRule="auto" w:line="288" w:before="240" w:after="283"/>
        <w:jc w:val="both"/>
        <w:rPr/>
      </w:pPr>
      <w:r>
        <w:rPr>
          <w:rFonts w:ascii="Times New Roman;sans-serif" w:hAnsi="Times New Roman;sans-serif"/>
          <w:b w:val="false"/>
          <w:color w:val="000000"/>
          <w:sz w:val="20"/>
        </w:rPr>
        <w:t xml:space="preserve">In November 2021, ACM’s operating subsidiary ACM Shanghai, completed its STAR IPO and its shares began trading on the STAR Market. In the STAR IPO, ACM Shanghai issued 43,355,753 shares, representing 10% of the total 433,557,100 shares outstanding after the issuance. The shares were issued at a public offering price of RMB 85.00 per share, and the net proceeds of the STAR IPO, after issuance costs, totaled $545,512. Upon completion of the STAR IPO, ACM owned 82.5% of the outstanding ACM Shanghai shares. </w:t>
      </w:r>
      <w:r>
        <w:rPr>
          <w:rFonts w:ascii="Times New Roman;sans-serif" w:hAnsi="Times New Roman;sans-serif"/>
          <w:b w:val="false"/>
          <w:color w:val="000000"/>
          <w:sz w:val="20"/>
          <w:shd w:fill="FFFFFF" w:val="clear"/>
        </w:rPr>
        <w:t xml:space="preserve">However, in May 2023, ACM's ownership declined to 82.1% due to the exercise of 2,150,309 stock options related to ACM Shanghai shares.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ACM Shanghai formed a wholly owned subsidiary in China, ACM Research (Beijing), Inc. (“ACM Beijing”), to perform sales, marketing and other business development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ACM formed a wholly owned subsidiary in Korea, Hanguk ACM CO., LTD, to perform business development and other related activities.</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the Board of Directors of ACM declared a 3-for-1 stock split of Class A and Class B common stock effected in the form of a stock dividend (the “Stock Split”). Each stockholder of record at the close of business on March 16, 2022, received a dividend of two additional shares of Class A common stock for each then-held share of Class A common stock and two additional shares of Class B common stock for each then-held share of Class B common stock, which were distributed after the close of trading on March 23, 2022. Unless otherwise indicated, all share numbers, per share amount, share prices, exercise prices and conversion rates set forth in these notes and the accompanying consolidated financial statements have been adjusted retrospectively to reflect the Stock Split.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ACM Shanghai formed a wholly-owned subsidiary in mainland China, Yusheng Micro Semiconductor (Shanghai), Co., Ltd, ("Yusheng Micro") to perform business development activities.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Yusheng Micro together with Wooil Flucon Co. (note 14) and a private investor established ACM-Wooil Microelectronics (Shanghai) Co., Ltd, ("ACM-Wooil"), a partially owned subsidiary based in mainland China to develop and produce key components for the semiconductor equipment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106"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direct or indirect interests in the following subsidiaries:</w:t>
      </w:r>
    </w:p>
    <w:tbl>
      <w:tblPr>
        <w:tblW w:w="9462" w:type="dxa"/>
        <w:jc w:val="left"/>
        <w:tblInd w:w="0" w:type="dxa"/>
        <w:tblLayout w:type="fixed"/>
        <w:tblCellMar>
          <w:top w:w="28" w:type="dxa"/>
          <w:left w:w="28" w:type="dxa"/>
          <w:bottom w:w="28" w:type="dxa"/>
          <w:right w:w="28" w:type="dxa"/>
        </w:tblCellMar>
      </w:tblPr>
      <w:tblGrid>
        <w:gridCol w:w="1571"/>
        <w:gridCol w:w="1378"/>
        <w:gridCol w:w="1386"/>
        <w:gridCol w:w="904"/>
        <w:gridCol w:w="904"/>
        <w:gridCol w:w="907"/>
        <w:gridCol w:w="374"/>
        <w:gridCol w:w="374"/>
        <w:gridCol w:w="374"/>
        <w:gridCol w:w="374"/>
        <w:gridCol w:w="374"/>
        <w:gridCol w:w="542"/>
      </w:tblGrid>
      <w:tr>
        <w:trPr/>
        <w:tc>
          <w:tcPr>
            <w:tcW w:w="157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Place and date of</w:t>
              <w:br/>
              <w:t>incorporation</w:t>
            </w:r>
          </w:p>
        </w:tc>
        <w:tc>
          <w:tcPr>
            <w:tcW w:w="241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Effective interest held as at</w:t>
              <w:br/>
              <w:t>December 31,</w:t>
            </w:r>
          </w:p>
        </w:tc>
      </w:tr>
      <w:tr>
        <w:trPr/>
        <w:tc>
          <w:tcPr>
            <w:tcW w:w="4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subsidiaries</w:t>
            </w:r>
          </w:p>
        </w:tc>
        <w:tc>
          <w:tcPr>
            <w:tcW w:w="2715" w:type="dxa"/>
            <w:gridSpan w:val="3"/>
            <w:vMerge w:val="continue"/>
            <w:tcBorders/>
            <w:tcMar>
              <w:top w:w="0" w:type="dxa"/>
              <w:left w:w="0" w:type="dxa"/>
              <w:bottom w:w="0" w:type="dxa"/>
              <w:right w:w="0" w:type="dxa"/>
            </w:tcMar>
            <w:vAlign w:val="center"/>
          </w:tcPr>
          <w:p>
            <w:pPr>
              <w:pStyle w:val="Normal"/>
              <w:bidi w:val="0"/>
              <w:jc w:val="left"/>
              <w:rPr/>
            </w:pPr>
            <w:r>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(Shanghai), Inc.</w:t>
            </w:r>
          </w:p>
        </w:tc>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May 2005</w:t>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82.5%</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(Wuxi), Inc.</w:t>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July 2011</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CleanChip Technologies Limited</w:t>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 June 2017</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82.5%</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Korea CO., LTD.</w:t>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 December 2017</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(Lingang), Inc. (1)</w:t>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March 2019</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82.5%</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(CA), Inc.</w:t>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 April 2019</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(Cayman), Inc.</w:t>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 April 2019</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(Singapore) PTE. Ltd.</w:t>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August 2021</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(Beijing), Inc.</w:t>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February 2022</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82.5%</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Hanguk ACM CO., LTD</w:t>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 March 2022</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Yusheng Micro Semiconductor (Shanghai) Co., Ltd.</w:t>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June 2023</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ACM-Wooil Microelectronics (Shanghai) Co., Ltd.</w:t>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June 2023</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ACM Research (Lingang) Inc., or ACM Lingang, is the English name referred to by its Chinese language name Shengwei Research (Shanghai), Inc. in prior filings. ACM Research (Lingang), Inc. and Shengwei Research (Shanghai), Inc. refer to the same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Basis of Presentation and Principles of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include the accounts of ACM and its subsidiaries, including ACM Shanghai and its subsidiaries. ACM’s subsidiaries are those entities in which ACM, directly and indirectly, controls more than a majority of the voting power. All significant intercompany transactions and balances have been eliminated upon consolidation. The consolidated financial statements have been prepared in accordance with U.S. generally accepted accounting principles (“GAAP”)</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Use of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revenue recognition and deferred revenue, the valuation and recognition of fair value of certain short-term and long-term investments, stock-based compensation arrangements, realization of deferred tax assets, assessment for impairment of long-lived assets and long-term investments, allowance for credit losses, inventory valuation, useful lives of property, plant and equipment and useful lives of intangible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evaluates these estimates and assumptions on a regular basis. Actual results could differ from those estimates and assumptions.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Common Stock Split</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prior period share and per share amounts and common stock presented in the accompanying financial statements and these notes thereto has been retroactively adjusted to reflect the impact of the Stock Split. Proportional adjustments were also made to outstanding awards under the Company’s stock-based compensation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107"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Reclassifications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year amounts in the consolidated financial statements have been reclassified to conform with the current year presentation. These classifications had no impact on the Company’s results of operations.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and Cash Equivalents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cash on hand and bank deposits that are unrestricted as to withdrawal and use, and highly liquid investments with an original maturity date of three months or less at the date of purchase. At times, cash deposits may exceed government-insured limits.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cash and cash equivalents, according to jurisdiction as of December 31, 2023 and 2022:</w:t>
      </w:r>
    </w:p>
    <w:tbl>
      <w:tblPr>
        <w:tblW w:w="3941" w:type="dxa"/>
        <w:jc w:val="left"/>
        <w:tblInd w:w="0" w:type="dxa"/>
        <w:tblLayout w:type="fixed"/>
        <w:tblCellMar>
          <w:top w:w="28" w:type="dxa"/>
          <w:left w:w="28" w:type="dxa"/>
          <w:bottom w:w="28" w:type="dxa"/>
          <w:right w:w="28" w:type="dxa"/>
        </w:tblCellMar>
      </w:tblPr>
      <w:tblGrid>
        <w:gridCol w:w="582"/>
        <w:gridCol w:w="509"/>
        <w:gridCol w:w="513"/>
        <w:gridCol w:w="211"/>
        <w:gridCol w:w="826"/>
        <w:gridCol w:w="109"/>
        <w:gridCol w:w="211"/>
        <w:gridCol w:w="826"/>
        <w:gridCol w:w="154"/>
      </w:tblGrid>
      <w:tr>
        <w:trPr/>
        <w:tc>
          <w:tcPr>
            <w:tcW w:w="5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Hong Kong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in mainland China do not include short-term and long-term time deposits which totaled $121,342 and $172,448 at December 31, 2023 and 2022,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held in the U.S. exceeds the Federal Deposit Insurance Corporation (“FDIC”) insurance limits and is subject to risk of loss. No losses have been experienced to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amounts at the banks in mainland China are subject to a series of risk control regulatory standards from mainland China bank regulatory authorities. ACM’s subsidiaries in mainland China are required to obtain approval from the State Administration of Foreign Exchange (“SAFE”) to transfer funds into or out of mainland China. SAFE requires a valid agreement to approve the transfers, which are processed through a bank. Other than these mainland China foreign exchange restrictions, ACM’s subsidiaries in mainland China are not subject to any mainland China restrictions and limitations on its ability to transfer funds to ACM Research or among our other subsidiaries. However, cash held by ACM’s subsidiaries in mainland China does exceed applicable insurance limits and is subject to risk of loss, although no such losses have been experienced to date.</w:t>
      </w:r>
    </w:p>
    <w:p>
      <w:pPr>
        <w:pStyle w:val="TextBody"/>
        <w:bidi w:val="0"/>
        <w:spacing w:lineRule="auto" w:line="288" w:before="240" w:after="283"/>
        <w:jc w:val="both"/>
        <w:rPr/>
      </w:pPr>
      <w:r>
        <w:rPr>
          <w:rFonts w:ascii="Times New Roman;sans-serif" w:hAnsi="Times New Roman;sans-serif"/>
          <w:b w:val="false"/>
          <w:color w:val="000000"/>
          <w:sz w:val="20"/>
        </w:rPr>
        <w:t>ACM California periodically procures goods and services on behalf of ACM Shanghai. For these transactions, ACM Shanghai makes cash payments to ACM California in accordance with applicable transfer pricing arrangements. For the years ended December 31, 2023 and December 31, 2022, cash payments from ACM Shanghai to ACM California for the procurement of goods and services were $42.5 million and $30.2</w:t>
      </w:r>
      <w:r>
        <w:rPr>
          <w:color w:val="000000"/>
          <w:shd w:fill="FFFFFF" w:val="clear"/>
        </w:rPr>
        <w:t xml:space="preserve"> </w:t>
      </w:r>
      <w:r>
        <w:rPr>
          <w:rFonts w:ascii="Times New Roman;sans-serif" w:hAnsi="Times New Roman;sans-serif"/>
          <w:b w:val="false"/>
          <w:color w:val="000000"/>
          <w:sz w:val="20"/>
          <w:shd w:fill="FFFFFF" w:val="clear"/>
        </w:rPr>
        <w:t xml:space="preserve">million, </w:t>
      </w:r>
      <w:r>
        <w:rPr>
          <w:rFonts w:ascii="Times New Roman;sans-serif" w:hAnsi="Times New Roman;sans-serif"/>
          <w:b w:val="false"/>
          <w:color w:val="000000"/>
          <w:sz w:val="20"/>
        </w:rPr>
        <w:t>respectively. ACM California periodically borrows funds for working capital advances from its direct parent, CleanChip. ACM California repays or renews these intercompany loans in accordance with their terms.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sales through CleanChip and ACM Research, a certain amount of sales or advance payments from customer proceeds is repatriated back to ACM Shanghai, a subsidiary, in accordance with applicable transfer pricing arrangements in the ordinary course of business. ACM Research provides services to certain customers located in the U.S., Europe and other regions outside of mainland China to support the evaluation of first tools and provide support for tools under warranty on behalf of ACM Shanghai. For these transactions, ACM Shanghai makes cash payments to ACM Research in accordance with applicable transfer pricing arrangements.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ACM Shanghai paid $19,200 in dividends to ACM Research. </w:t>
      </w:r>
    </w:p>
    <w:p>
      <w:pPr>
        <w:pStyle w:val="TextBody"/>
        <w:bidi w:val="0"/>
        <w:spacing w:lineRule="auto" w:line="288" w:before="240" w:after="283"/>
        <w:jc w:val="both"/>
        <w:rPr/>
      </w:pPr>
      <w:r>
        <w:rPr>
          <w:rFonts w:ascii="Times New Roman;sans-serif" w:hAnsi="Times New Roman;sans-serif"/>
          <w:b w:val="false"/>
          <w:color w:val="000000"/>
          <w:sz w:val="20"/>
        </w:rPr>
        <w:t>Subsequent to June 30, 2020, with the exception of sales and services-related transfer-pricing payments in the ordinary course of business,</w:t>
      </w:r>
      <w:r>
        <w:rPr>
          <w:color w:val="000000"/>
          <w:shd w:fill="FFFFFF" w:val="clear"/>
        </w:rPr>
        <w:t xml:space="preserve"> </w:t>
      </w:r>
      <w:r>
        <w:rPr>
          <w:rFonts w:ascii="Times New Roman;sans-serif" w:hAnsi="Times New Roman;sans-serif"/>
          <w:b w:val="false"/>
          <w:color w:val="000000"/>
          <w:sz w:val="20"/>
          <w:shd w:fill="FFFFFF" w:val="clear"/>
        </w:rPr>
        <w:t>and dividends paid by ACM Shanghai to</w:t>
      </w:r>
      <w:r>
        <w:rPr>
          <w:color w:val="000000"/>
        </w:rPr>
        <w:t xml:space="preserve"> </w:t>
      </w:r>
      <w:r>
        <w:rPr>
          <w:rFonts w:ascii="Times New Roman;sans-serif" w:hAnsi="Times New Roman;sans-serif"/>
          <w:b w:val="false"/>
          <w:color w:val="000000"/>
          <w:sz w:val="20"/>
        </w:rPr>
        <w:t xml:space="preserve">ACM Research, no cash transfers or other payments or distributions have been made between ACM Research and ACM Shanghai. ACM Research intends to retain any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108"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earnings to finance the operations and expenses of the business, and do not expect to distribute earnings or declare or pay any dividends in the foreseeable future.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Amounts held in Korea exceed the Korea Deposit Insurance Corporation (“KDIC”) insurance limits and are subject to risk of loss. No losses have been experienced to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no additional restriction for the transfer of cash from bank accounts in the U.S., Korea, Singapore, and Hong Kong.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Time Deposits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Time deposits are deposited with banks in mainland China with fixed terms and interest rates which cannot be withdrawn before maturity</w:t>
      </w:r>
      <w:r>
        <w:rPr>
          <w:rFonts w:ascii="Times New Roman;sans-serif" w:hAnsi="Times New Roman;sans-serif"/>
          <w:b w:val="false"/>
          <w:color w:val="000000"/>
          <w:sz w:val="24"/>
        </w:rPr>
        <w:t xml:space="preserve">, </w:t>
      </w:r>
      <w:r>
        <w:rPr>
          <w:rFonts w:ascii="Times New Roman;sans-serif" w:hAnsi="Times New Roman;sans-serif"/>
          <w:b w:val="false"/>
          <w:color w:val="000000"/>
          <w:sz w:val="20"/>
          <w:shd w:fill="FFFFFF" w:val="clear"/>
        </w:rPr>
        <w:t>and are presented as short-term deposits and long-term deposits in the consolidated financial statements based on their expected time of collection</w:t>
      </w:r>
      <w:r>
        <w:rPr>
          <w:rFonts w:ascii="Times New Roman;sans-serif" w:hAnsi="Times New Roman;sans-serif"/>
          <w:b w:val="false"/>
          <w:color w:val="000000"/>
          <w:sz w:val="20"/>
        </w:rPr>
        <w:t>. They are also subject to the risk control regulatory standards described above upon maturity. Time deposits consisted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0"/>
        <w:gridCol w:w="2381"/>
        <w:gridCol w:w="2389"/>
        <w:gridCol w:w="211"/>
        <w:gridCol w:w="826"/>
        <w:gridCol w:w="109"/>
        <w:gridCol w:w="109"/>
        <w:gridCol w:w="109"/>
        <w:gridCol w:w="109"/>
        <w:gridCol w:w="211"/>
        <w:gridCol w:w="826"/>
        <w:gridCol w:w="155"/>
      </w:tblGrid>
      <w:tr>
        <w:trPr/>
        <w:tc>
          <w:tcPr>
            <w:tcW w:w="2770"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Merchant Bank which matured on January 29, 2023 with an annual interest rate of 2.25%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Everbright Bank which matured on January 29, 2023 with an annual interest rate of 2.25%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Everbright Bank which matured on May 22, 2023 with an annual interest rate of 5.07%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Industrial Bank which matured on January 30, 2023 with an annual interest rate of 2.15%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Merchant Bank which matured on January 29, 2024 with an annual interest rate of 2.85%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Bank of Ningbo which matured on February 17, 2024 with an annual interest rate of 2.85%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matures on October 20, 2025 with an annual interest rate of 3.10%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matures on November 14, 2025 with an annual interest rate of 3.10%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matures on December 8, 2025 with an annual interest rate of 3.10%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matures on December 15, 2025 with an annual interest rate of 3.10%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matures on December 30, 2025 with an annual interest rate of 3.10%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Industrial Bank which matures on January 30, 2026 with an annual interest rate of 3.15%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Everbright Bank which matured on January 5, 2024 with an annual interest rate of 5.38%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Everbright Bank which matures on May 22, 2024 with an annual interest rate of 5.38%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172,448 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For the years ended December 31, 2023 and 2022, respectively, interest income related to time deposits wa</w:t>
      </w:r>
      <w:r>
        <w:rPr>
          <w:rFonts w:ascii="Times New Roman;sans-serif" w:hAnsi="Times New Roman;sans-serif"/>
          <w:b w:val="false"/>
          <w:color w:val="000000"/>
          <w:sz w:val="20"/>
          <w:shd w:fill="FFFFFF" w:val="clear"/>
        </w:rPr>
        <w:t>s $3,689</w:t>
      </w:r>
      <w:r>
        <w:rPr>
          <w:color w:val="000000"/>
        </w:rPr>
        <w:t xml:space="preserve"> </w:t>
      </w:r>
      <w:r>
        <w:rPr>
          <w:rFonts w:ascii="Times New Roman;sans-serif" w:hAnsi="Times New Roman;sans-serif"/>
          <w:b w:val="false"/>
          <w:color w:val="000000"/>
          <w:sz w:val="20"/>
        </w:rPr>
        <w:t>and $3,472,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109" name="Frame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Accounts Receivable</w:t>
      </w:r>
    </w:p>
    <w:p>
      <w:pPr>
        <w:pStyle w:val="TextBody"/>
        <w:bidi w:val="0"/>
        <w:spacing w:lineRule="auto" w:line="288" w:before="240" w:after="283"/>
        <w:jc w:val="both"/>
        <w:rPr/>
      </w:pPr>
      <w:r>
        <w:rPr>
          <w:rFonts w:ascii="Times New Roman;sans-serif" w:hAnsi="Times New Roman;sans-serif"/>
          <w:b w:val="false"/>
          <w:color w:val="000000"/>
          <w:sz w:val="20"/>
        </w:rPr>
        <w:t>Prior to adoption of Accounting Standards Update, or ASU, 2016-13, </w:t>
      </w:r>
      <w:r>
        <w:rPr>
          <w:rFonts w:ascii="Times New Roman;sans-serif" w:hAnsi="Times New Roman;sans-serif"/>
          <w:b w:val="false"/>
          <w:i/>
          <w:color w:val="000000"/>
          <w:sz w:val="20"/>
        </w:rPr>
        <w:t>Financial Instruments-Credit Losses (Topic 326): Measurement of Credit Losses on Financial Instruments</w:t>
      </w:r>
      <w:r>
        <w:rPr>
          <w:color w:val="000000"/>
        </w:rPr>
        <w:t> </w:t>
      </w:r>
      <w:r>
        <w:rPr>
          <w:rFonts w:ascii="Times New Roman;sans-serif" w:hAnsi="Times New Roman;sans-serif"/>
          <w:b w:val="false"/>
          <w:color w:val="000000"/>
          <w:sz w:val="20"/>
        </w:rPr>
        <w:t>(“ASC 326”), the Company reviews its accounts receivable on a periodic basis and makes general and specific allowances when there is doubt as to the collectability of individual balances. After adoption of ASC 326, as of January 1, 2023, the Company assesses collectability by reviewing accounts receivable on a collective basis where similar characteristics exist and on an individual basis when the Company identifies specific customers with known disputes or collectability issues. In determining the amount of the allowance for credit losses, the Company considers historical collectability based on past due status, the age of the accounts receivable balances, credit quality of the Company’s customers based on ongoing credit evaluations, current economic conditions, reasonable and supportable forecasts of future economic conditions, and other factors that may affect the Company’s ability to collect from customers. At December 31, 2023, and 2022, the Company, based on a review of its outstanding balances and its customers, determined the allowance for credit losses were $4,830 and $0, respectively.</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Land Use Right,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land use right represents the cost to purchase a right to use state-owned land in mainland China with lease terms of 50 years expiring in 2070, for which an upfront lump-sum payment was made during the year ended December 31, 2021. The land use rights are treated as operating lease. The Company classifies the land use right as non-current assets on the consolidated balance sheets (note 7).</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Inventory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Inventory consists of raw materials and related goods, work-in-progress, finished goods, and other consumable materials such as spare parts.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Inventory was recorded at the lower of cost or net realizable value at December 31, 2023 and 2022.</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The cost of a general inventory item is determined using the moving weighted average method. The cost of an inventory item purchased specifically for a customized product is determined using the specific identification method. Low-cost consumable materials and packaging materials are expensed as incurred.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Net realizable value is the estimated selling price, in the ordinary course of business, less estimated costs to complete or dispose.</w:t>
      </w:r>
    </w:p>
    <w:p>
      <w:pPr>
        <w:pStyle w:val="TextBody"/>
        <w:bidi w:val="0"/>
        <w:spacing w:lineRule="auto" w:line="288" w:before="240" w:after="283"/>
        <w:jc w:val="both"/>
        <w:rPr/>
      </w:pPr>
      <w:r>
        <w:rPr>
          <w:rFonts w:ascii="Times New Roman;sans-serif" w:hAnsi="Times New Roman;sans-serif"/>
          <w:b w:val="false"/>
          <w:color w:val="000000"/>
          <w:sz w:val="20"/>
        </w:rPr>
        <w:t>The Company assesses the recoverability of all inventories quarterly to determine if any adjustments are required. Potential excess or obsolete inventory is written down</w:t>
      </w:r>
      <w:r>
        <w:rPr>
          <w:color w:val="000000"/>
          <w:shd w:fill="FFFFFF" w:val="clear"/>
        </w:rPr>
        <w:t xml:space="preserve"> </w:t>
      </w:r>
      <w:r>
        <w:rPr>
          <w:rFonts w:ascii="Times New Roman;sans-serif" w:hAnsi="Times New Roman;sans-serif"/>
          <w:b w:val="false"/>
          <w:color w:val="000000"/>
          <w:sz w:val="20"/>
          <w:shd w:fill="FFFFFF" w:val="clear"/>
        </w:rPr>
        <w:t>b</w:t>
      </w:r>
      <w:r>
        <w:rPr>
          <w:rFonts w:ascii="Times New Roman;sans-serif" w:hAnsi="Times New Roman;sans-serif"/>
          <w:b w:val="false"/>
          <w:color w:val="000000"/>
          <w:sz w:val="20"/>
        </w:rPr>
        <w:t>ased on management’s analysis of inventory levels and estimates of future 12-month demand and market conditions.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Property, Plant and Equipment,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are recorded at cost less accumulated depreciation and any provision for impairment in value. Depreciation begins when the asset is placed in service and is calculated by using the straight-line method over the estimated useful life of an asset (or, if shorter, over the lease term). Betterments or renewals are capitalized when incurred.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useful lives of assets are as follows:</w:t>
      </w:r>
    </w:p>
    <w:tbl>
      <w:tblPr>
        <w:tblW w:w="8729" w:type="dxa"/>
        <w:jc w:val="left"/>
        <w:tblInd w:w="0" w:type="dxa"/>
        <w:tblLayout w:type="fixed"/>
        <w:tblCellMar>
          <w:top w:w="28" w:type="dxa"/>
          <w:left w:w="28" w:type="dxa"/>
          <w:bottom w:w="28" w:type="dxa"/>
          <w:right w:w="28" w:type="dxa"/>
        </w:tblCellMar>
      </w:tblPr>
      <w:tblGrid>
        <w:gridCol w:w="977"/>
        <w:gridCol w:w="858"/>
        <w:gridCol w:w="864"/>
        <w:gridCol w:w="1753"/>
        <w:gridCol w:w="1753"/>
        <w:gridCol w:w="2524"/>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Buildings and plants </w:t>
            </w:r>
          </w:p>
        </w:tc>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to 5 years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shorter of lease term or estimated useful life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equipment</w:t>
            </w:r>
          </w:p>
        </w:tc>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3 to 5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equipment</w:t>
            </w:r>
          </w:p>
        </w:tc>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small to medium-sized equipment, 5 to 10 years; for large equipment,</w:t>
            </w:r>
          </w:p>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estimated by purchasing department at time of acceptance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 equipment</w:t>
            </w:r>
          </w:p>
        </w:tc>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to 5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110" name="Frame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Expenditures for maintenance and repairs that neither materially add to the value of the property nor appreciably prolong the life of the property are charged to expense as incurred. Upon retirement or sale of an asset, the cost of the asset and the related accumulated depreciation are eliminated from the accounts and any resulting gain or loss is credited or charged to income.</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Intangible Assets,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consist of purchase software. Assets are valued at cost at the time of acquisition and are amortized over their beneficial periods.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Valuation of Long-Lived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are evaluated for impairment whenever events or changes in circumstance indicate that the carrying value of the assets may not be fully recoverable or that the useful life of the assets is shorter than the Company had originally estimated. When these events or changes occur, the Company evaluates the impairment of the long-lived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Company recognizes an impairment loss based on the excess of the carrying value over the fair value. No impairment charge was recognized for either of the periods presented.</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inception. Operating leases are included in operating lease right-of-use (“ROU”) assets, and operating lease liabilities in the consolidated balance sheets.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its incremental borrowing rate based on the information available at commencement date in determining the present value of lease payments. The Company uses the implicit rate when readily determinable. The operating lease ROU asset also includes any lease payments made and excludes lease incentives. The Company’s lease terms may include options to extend or terminate the lease when it is reasonably certain that the Company will exercise that option. Operating lease expense is recognized on a straight-line basis over the lease term.</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 Recognition</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derives revenue principally from the sale of semiconductor capital equipment. Revenue from contracts with customers is recognized using the following five steps pursuant ASC Topic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1.Identify the contract(s) with a customer;</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2.Identify the performance obligations in the contract;</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3.Determine the transaction price;</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4.Allocate the transaction price to the performance obligations in the contract; and</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5.Recognize revenue when (or as) the entity satisfies a performance obligation.</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Identify the contract(s) with a customer.</w:t>
      </w:r>
      <w:r>
        <w:rPr>
          <w:color w:val="000000"/>
        </w:rPr>
        <w:t xml:space="preserve"> </w:t>
      </w:r>
      <w:r>
        <w:rPr>
          <w:rFonts w:ascii="Times New Roman;sans-serif" w:hAnsi="Times New Roman;sans-serif"/>
          <w:b w:val="false"/>
          <w:color w:val="000000"/>
          <w:sz w:val="20"/>
        </w:rPr>
        <w:t>The Company generally considers written documentation including, but not limited to, signed purchase orders, master agreements, and sales orders as contracts, provided it has approval and commitment from the customer, the rights of the parties are identified, payment terms are identified, the contract has commercial substance, and collection is probable. Collectability is assessed based on management’s assessment of the customer’s creditworthiness, historical payment experience, as well as other relevant factors.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Identify the performance obligations in the contract. </w:t>
      </w:r>
      <w:r>
        <w:rPr>
          <w:rFonts w:ascii="Times New Roman;sans-serif" w:hAnsi="Times New Roman;sans-serif"/>
          <w:b w:val="false"/>
          <w:color w:val="000000"/>
          <w:sz w:val="20"/>
        </w:rPr>
        <w:t>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w:t>
      </w:r>
      <w:r>
        <w:rPr>
          <w:color w:val="000000"/>
        </w:rPr>
        <w:t xml:space="preserve"> </w:t>
      </w:r>
      <w:r>
        <w:rPr>
          <w:rFonts w:ascii="Times New Roman;sans-serif" w:hAnsi="Times New Roman;sans-serif"/>
          <w:b w:val="false"/>
          <w:color w:val="000000"/>
          <w:sz w:val="20"/>
        </w:rPr>
        <w:t>The Company’s performance obligations generally include sales of tools and spare parts. In addition, customer contracts can contain provisions for installation, training, software updates, most-favored pricing for spare parts, and other items which have been deemed immaterial in the context of the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111" name="Frame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Determine the transaction price. </w:t>
      </w:r>
      <w:r>
        <w:rPr>
          <w:rFonts w:ascii="Times New Roman;sans-serif" w:hAnsi="Times New Roman;sans-serif"/>
          <w:b w:val="false"/>
          <w:color w:val="000000"/>
          <w:sz w:val="20"/>
        </w:rPr>
        <w:t xml:space="preserve">The transaction price for the Company’s contracts with customers may include fixed and variable consideration. The Company includes variable consideration in the transaction price to the extent that it is probable that a significant reversal of revenue will not occur in the future based on the Company’s historical experience with similar arrangements.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Allocate the transaction price to the performance obligations in the contract.</w:t>
      </w:r>
      <w:r>
        <w:rPr>
          <w:color w:val="000000"/>
        </w:rPr>
        <w:t xml:space="preserve"> </w:t>
      </w:r>
      <w:r>
        <w:rPr>
          <w:rFonts w:ascii="Times New Roman;sans-serif" w:hAnsi="Times New Roman;sans-serif"/>
          <w:b w:val="false"/>
          <w:color w:val="000000"/>
          <w:sz w:val="20"/>
        </w:rPr>
        <w:t>For contracts that contain multiple performance obligations, the Company allocates the transaction price to the performance obligations on a relative standalone selling price basis. The Company defers revenue associated with spare parts, sold together with its tools, based on its stand-alone observable selling prices or using an expected cost-plus-margin approach when a stand-alone selling price is not directly observable, and recognizes revenue upon subsequent delivery.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Recognize revenue when, or as, a performance obligation is satisfied</w:t>
      </w:r>
      <w:r>
        <w:rPr>
          <w:rFonts w:ascii="Times New Roman;sans-serif" w:hAnsi="Times New Roman;sans-serif"/>
          <w:b w:val="false"/>
          <w:color w:val="000000"/>
          <w:sz w:val="20"/>
          <w:shd w:fill="FFFFFF" w:val="clear"/>
        </w:rPr>
        <w:t>. The Company recognizes revenue from tools and spare parts at a point in time, when the Company has satisfied its performance obligation. The Company’s sales arrangements do not include a general right of return. For shipments made to a customer that has not previously accepted a specific type of tool (“first tools”), revenues are recognized when the tools are accepted by the customer. For shipments made to a customer that has previously accepted a specific type of tool ("repeat shipment"), revenues are recognized upon shipment or delivery because the Company can objectively demonstrate that the tools meet all the required customer specifications.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Company’s warranties provide assurance that its products will function as expected and in accordance with certain specifications. The Company’s warranties are intended to safeguard the customer against existing defects and do not provide any incremental service to the customer. They are not separate performance obligations and are accounted for under FASB ASC Topic </w:t>
      </w:r>
      <w:r>
        <w:rPr>
          <w:rFonts w:ascii="Times New Roman;sans-serif" w:hAnsi="Times New Roman;sans-serif"/>
          <w:b w:val="false"/>
          <w:i/>
          <w:color w:val="000000"/>
          <w:sz w:val="20"/>
        </w:rPr>
        <w:t>460, Guarantees</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Contract liabilities include payments received from customers prior to the transfer of control of certain goods which are recorded as advances from customers, and spare parts sold together with its tools which are recorded as deferred revenue.</w:t>
      </w:r>
      <w:r>
        <w:rPr>
          <w:color w:val="000000"/>
        </w:rPr>
        <w:t xml:space="preserve"> </w:t>
      </w:r>
      <w:r>
        <w:rPr>
          <w:rFonts w:ascii="Times New Roman;sans-serif" w:hAnsi="Times New Roman;sans-serif"/>
          <w:b w:val="false"/>
          <w:color w:val="000000"/>
          <w:sz w:val="20"/>
        </w:rPr>
        <w:t>The Company does not have contract assets.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Cost of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primarily consists of: direct materials, comprised principally of parts used in assembling equipment, together with crating and shipping costs; direct labor, including salaries and other labor related expenses attributable to the Company’s manufacturing department; allocated overhead cost, such as personnel cost, depreciation expense, expenses associated with supply chain management and quality assurance activities, inventory provision, as well as shipping insurance premiums.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Research and Development Costs</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relating to the development of new products and processes, significant improvements and refinements to existing products or the process of supporting customer evaluations of tools, and the development of new tools for evaluation by customers during the product demonstration process, are expensed as incurred.</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Shipping and Handling Costs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Shipping and handling costs, which relate to transportation of products to customer locations, are charged to selling and marketing expense. For the years ended December 31, 2023, 2022 and 2021, shipping and handling costs included in sales and marketing expenses were $1,582, $1,507, and $923, respectively.</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Borrowing Costs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 costs attributable directly to the acquisition, construction or production of qualifying assets that require a substantial period of time to be ready for their intended use or sale are capitalized as part of the cost of those assets. Income earned on temporary investments of specific borrowings pending their expenditure on those assets is deducted from borrowing costs capitalized. All other borrowing costs are recognized in interest expense in the consolidated statements of comprehensive income (loss) in the period in which they are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6840"/>
                <wp:effectExtent l="0" t="0" r="0" b="0"/>
                <wp:wrapNone/>
                <wp:docPr id="112" name="Frame1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Warranty</w:t>
      </w:r>
    </w:p>
    <w:p>
      <w:pPr>
        <w:pStyle w:val="TextBody"/>
        <w:bidi w:val="0"/>
        <w:spacing w:lineRule="auto" w:line="288" w:before="240" w:after="283"/>
        <w:jc w:val="both"/>
        <w:rPr/>
      </w:pPr>
      <w:r>
        <w:rPr>
          <w:rFonts w:ascii="Times New Roman;sans-serif" w:hAnsi="Times New Roman;sans-serif"/>
          <w:b w:val="false"/>
          <w:color w:val="000000"/>
          <w:sz w:val="20"/>
        </w:rPr>
        <w:t xml:space="preserve">For each of its products, the Company generally provides a standard assurance type warranty ranging from 12 to 36 months and covering replacement of the product during the warranty period. </w:t>
      </w:r>
      <w:r>
        <w:rPr>
          <w:rFonts w:ascii="Times New Roman;sans-serif" w:hAnsi="Times New Roman;sans-serif"/>
          <w:b w:val="false"/>
          <w:color w:val="000000"/>
          <w:sz w:val="20"/>
          <w:shd w:fill="FFFFFF" w:val="clear"/>
        </w:rPr>
        <w:t xml:space="preserve">The Company accounts for the estimated warranty costs at the time revenue is recognized. </w:t>
      </w:r>
      <w:r>
        <w:rPr>
          <w:rFonts w:ascii="Times New Roman;sans-serif" w:hAnsi="Times New Roman;sans-serif"/>
          <w:b w:val="false"/>
          <w:color w:val="000000"/>
          <w:sz w:val="20"/>
        </w:rPr>
        <w:t>Warranty obligations are affected by historical failure rates and associated replacement costs. Utilizing historical warranty cost records, the Company calculates a rate of warranty expenses to revenue to determine the estimated warranty charge. The Company updates these estimated charges on a regular basis. Warranty obligations are included in other payables and accrued expenses in the consolidated balance sheets. The following table shows changes in the Company’s warranty obligations for the years ended December 31, 2023, 2022 and 2021, respectively.</w:t>
      </w:r>
    </w:p>
    <w:tbl>
      <w:tblPr>
        <w:tblW w:w="6146" w:type="dxa"/>
        <w:jc w:val="left"/>
        <w:tblInd w:w="0" w:type="dxa"/>
        <w:tblLayout w:type="fixed"/>
        <w:tblCellMar>
          <w:top w:w="28" w:type="dxa"/>
          <w:left w:w="28" w:type="dxa"/>
          <w:bottom w:w="28" w:type="dxa"/>
          <w:right w:w="28" w:type="dxa"/>
        </w:tblCellMar>
      </w:tblPr>
      <w:tblGrid>
        <w:gridCol w:w="956"/>
        <w:gridCol w:w="840"/>
        <w:gridCol w:w="843"/>
        <w:gridCol w:w="211"/>
        <w:gridCol w:w="616"/>
        <w:gridCol w:w="109"/>
        <w:gridCol w:w="109"/>
        <w:gridCol w:w="109"/>
        <w:gridCol w:w="109"/>
        <w:gridCol w:w="211"/>
        <w:gridCol w:w="616"/>
        <w:gridCol w:w="109"/>
        <w:gridCol w:w="109"/>
        <w:gridCol w:w="109"/>
        <w:gridCol w:w="109"/>
        <w:gridCol w:w="211"/>
        <w:gridCol w:w="61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Government Subsidies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Shanghai has received seven special government grants. The governmental grants contain certain operating conditions, and the Company is required to go through a government due diligence process once the project is complete. Unearned government subsidies received are deferred and recorded as other long-term liabilities (note 13) in the consolidated balance sheet until the criteria for such recognition are satisfied. Grant amounts are recognized in our statements of comprehensive income (loss) as follows:</w:t>
      </w:r>
    </w:p>
    <w:p>
      <w:pPr>
        <w:pStyle w:val="TextBody"/>
        <w:bidi w:val="0"/>
        <w:spacing w:lineRule="auto" w:line="288" w:before="240" w:after="283"/>
        <w:ind w:left="0" w:right="0" w:hanging="540"/>
        <w:jc w:val="both"/>
        <w:rPr/>
      </w:pPr>
      <w:r>
        <w:rPr>
          <w:color w:val="000000"/>
        </w:rPr>
        <w:t>•</w:t>
      </w:r>
      <w:r>
        <w:rPr>
          <w:rFonts w:ascii="Times New Roman;sans-serif" w:hAnsi="Times New Roman;sans-serif"/>
          <w:b w:val="false"/>
          <w:color w:val="000000"/>
          <w:sz w:val="20"/>
        </w:rPr>
        <w:t>Government subsidies relating to current expenses are recorded as reductions of those expenses in the periods in which the current expenses are recorded. For the years ended December 31, 2023, 2022, and 2021, related government subsidies recognized as reductions of relevant expenses in the consolidated statements of comprehensive income (loss) were $1,740, $1,201 and $11,260, respectively.</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Government subsidies related to depreciable assets are credited to income over the useful lives of the related assets for which the grant was received. For the years ended December 31, 2023, 2022, and 2021, related government subsidies recognized as other income in the consolidated statements of comprehensive income (loss) w</w:t>
      </w:r>
      <w:r>
        <w:rPr>
          <w:rFonts w:ascii="Times New Roman;sans-serif" w:hAnsi="Times New Roman;sans-serif"/>
          <w:b w:val="false"/>
          <w:color w:val="000000"/>
          <w:sz w:val="20"/>
          <w:shd w:fill="FFFFFF" w:val="clear"/>
        </w:rPr>
        <w:t>ere $533, $306, an</w:t>
      </w:r>
      <w:r>
        <w:rPr>
          <w:rFonts w:ascii="Times New Roman;sans-serif" w:hAnsi="Times New Roman;sans-serif"/>
          <w:b w:val="false"/>
          <w:color w:val="000000"/>
          <w:sz w:val="20"/>
        </w:rPr>
        <w:t>d $200, respectively.</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Stock-based Compensation</w:t>
      </w:r>
    </w:p>
    <w:p>
      <w:pPr>
        <w:pStyle w:val="TextBody"/>
        <w:bidi w:val="0"/>
        <w:spacing w:lineRule="auto" w:line="288" w:before="240" w:after="283"/>
        <w:jc w:val="both"/>
        <w:rPr/>
      </w:pPr>
      <w:r>
        <w:rPr>
          <w:rFonts w:ascii="Times New Roman;sans-serif" w:hAnsi="Times New Roman;sans-serif"/>
          <w:b w:val="false"/>
          <w:color w:val="000000"/>
          <w:sz w:val="20"/>
        </w:rPr>
        <w:t xml:space="preserve">ACM and ACM Shanghai grants stock options to employees and non-employee consultants and directors and accounts for those stock-based awards in accordance with FASB ASC Topic 718, </w:t>
      </w:r>
      <w:r>
        <w:rPr>
          <w:rFonts w:ascii="Times New Roman;sans-serif" w:hAnsi="Times New Roman;sans-serif"/>
          <w:b w:val="false"/>
          <w:i/>
          <w:color w:val="000000"/>
          <w:sz w:val="20"/>
        </w:rPr>
        <w:t>Compensation – Stock Compensation.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awards granted to employees and non-employee consultants and directors are measured at the fair value of the awards on the grant date and are recognized as expenses either (a) immediately on grant, if no vesting conditions are required or (b) using the graded vesting method, net of estimated forfeitures, over the requisite service period. The fair value of stock options is determined using the Black-Scholes valuation model when there are service and performance condition attached or the Monte Carlo valuation model when there is market condition attached. Stock-based compensation is charged to the category of operating expense corresponding to the service function of the employees and non-employee consultants and directors.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113" name="Frame1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Basic and Diluted Net Income per Share of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share of common stock is calculated as follows:</w:t>
      </w:r>
    </w:p>
    <w:tbl>
      <w:tblPr>
        <w:tblW w:w="9762" w:type="dxa"/>
        <w:jc w:val="left"/>
        <w:tblInd w:w="0" w:type="dxa"/>
        <w:tblLayout w:type="fixed"/>
        <w:tblCellMar>
          <w:top w:w="28" w:type="dxa"/>
          <w:left w:w="28" w:type="dxa"/>
          <w:bottom w:w="28" w:type="dxa"/>
          <w:right w:w="28" w:type="dxa"/>
        </w:tblCellMar>
      </w:tblPr>
      <w:tblGrid>
        <w:gridCol w:w="2147"/>
        <w:gridCol w:w="1890"/>
        <w:gridCol w:w="1903"/>
        <w:gridCol w:w="211"/>
        <w:gridCol w:w="721"/>
        <w:gridCol w:w="109"/>
        <w:gridCol w:w="109"/>
        <w:gridCol w:w="109"/>
        <w:gridCol w:w="109"/>
        <w:gridCol w:w="211"/>
        <w:gridCol w:w="721"/>
        <w:gridCol w:w="109"/>
        <w:gridCol w:w="109"/>
        <w:gridCol w:w="109"/>
        <w:gridCol w:w="109"/>
        <w:gridCol w:w="211"/>
        <w:gridCol w:w="721"/>
        <w:gridCol w:w="154"/>
      </w:tblGrid>
      <w:tr>
        <w:trPr/>
        <w:tc>
          <w:tcPr>
            <w:tcW w:w="2147"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stockholders,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Dilutive effect arising from stock-based awards by ACM Shanghai</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stockholders,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 (1)</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60,164,670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59,235,975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57,654,708</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7,702,008</w:t>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64,870,543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65,341,771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65,356,716</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common stock:</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results for 2021 have been adjusted to reflect the three-for-one stock split effected in the form of a stock dividend in March 2022. See Note 2 for details.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share of common stock is presented using the two-class method, which allocates undistributed earnings to common stock and any participating securities according to dividend rights and participation rights on a proportionate basis. Under the two-class method, basic net income per share of common stock is computed by dividing the sum of distributed and undistributed earnings attributable to common stockholders by the weighted average number of shares of common stock outstanding during the period. ACM did not have any participating securities outstanding during the three-year periods ending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years ended December 31, 2023, 2022 and 2021, the net income per share of common stock attributable to each class is the same under the “two-class” method. As such, the two classes of common stock have been presented on a combined basis in the consolidated statements of comprehensive income (loss) and in the above computation of net income per share of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income per share of common stock reflects the potential dilution from securities, including stock options, that could share in ACM’s earnings. Certain potential dilutive securities were excluded from the net income per share calculation because the impact would be anti-dilutive. The number of potentially dilutive shares that were not included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6840"/>
                <wp:effectExtent l="0" t="0" r="0" b="0"/>
                <wp:wrapNone/>
                <wp:docPr id="114" name="Frame1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diluted net income per share in the periods presented where their inclusion would be anti-dilutive were 3,651,337, 1,795,340 and 98,800 the years ended December 31, 2023, 2022, and 2021, respectively.</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Comprehensive Income (loss)</w:t>
      </w:r>
    </w:p>
    <w:p>
      <w:pPr>
        <w:pStyle w:val="TextBody"/>
        <w:bidi w:val="0"/>
        <w:spacing w:lineRule="auto" w:line="288" w:before="240" w:after="283"/>
        <w:jc w:val="both"/>
        <w:rPr/>
      </w:pPr>
      <w:r>
        <w:rPr>
          <w:rFonts w:ascii="Times New Roman;sans-serif" w:hAnsi="Times New Roman;sans-serif"/>
          <w:b w:val="false"/>
          <w:color w:val="000000"/>
          <w:sz w:val="20"/>
        </w:rPr>
        <w:t xml:space="preserve">The Company applies FASB ASC Topic 220, </w:t>
      </w:r>
      <w:r>
        <w:rPr>
          <w:rFonts w:ascii="Times New Roman;sans-serif" w:hAnsi="Times New Roman;sans-serif"/>
          <w:b w:val="false"/>
          <w:i/>
          <w:color w:val="000000"/>
          <w:sz w:val="20"/>
        </w:rPr>
        <w:t>Comprehensive Income</w:t>
      </w:r>
      <w:r>
        <w:rPr>
          <w:rFonts w:ascii="Times New Roman;sans-serif" w:hAnsi="Times New Roman;sans-serif"/>
          <w:b w:val="false"/>
          <w:color w:val="000000"/>
          <w:sz w:val="20"/>
        </w:rPr>
        <w:t xml:space="preserve">, which establishes standards for the reporting and display of comprehensive income or loss, requiring its components to be reported in a financial statement with the same prominence as other financial statements. The Company’s comprehensive income (loss) includes net income and foreign currency translation adjustments and is presented in the consolidated statements of comprehensive income (loss).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Statutory Surplus Reserve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income of ACM’s mainland China subsidiaries is distributable to their shareholders after transfers to reserves as required under relevant mainland China laws and regulations and the subsidiaries’ Articles of Association. As stipulated by the relevant laws and regulations in mainland China, mainland China subsidiaries are required to maintain reserves, including reserves for statutory surpluses and public welfare funds that are not distributable to shareholders. A mainland China subsidiary’s appropriations to the reserves are approved by its board of directors. At least 10% of annual statutory after-tax profits, as determined in accordance with mainland China accounting standards and regulations, is required to be allocated to the statutory surplus reserves. If the cumulative total of the statutory surplus reserves reaches 50% of a mainland China subsidiary’s registered capital, any further appropriation is optional.</w:t>
      </w:r>
    </w:p>
    <w:p>
      <w:pPr>
        <w:pStyle w:val="TextBody"/>
        <w:bidi w:val="0"/>
        <w:spacing w:lineRule="auto" w:line="288" w:before="240" w:after="283"/>
        <w:jc w:val="both"/>
        <w:rPr/>
      </w:pPr>
      <w:r>
        <w:rPr>
          <w:rFonts w:ascii="Times New Roman;sans-serif" w:hAnsi="Times New Roman;sans-serif"/>
          <w:b w:val="false"/>
          <w:color w:val="000000"/>
          <w:sz w:val="20"/>
        </w:rPr>
        <w:t>Statutory surplus reserves may be used to offset accumulated losses or to increase the registered capital of a mainland China subsidiary, subject to approval from the relevant mainland China authorities, and are not available for dividend distribution to the subsidiary’s shareholders. The mainland China subsidiaries are prohibited from distributing dividends unless any losses from prior years have been offset. Except for offsetting prior years’ losses, however, statutory surplus reserves must be maintained at a minimum of 25% of share capital after such usage. ACM Shanghai estimated a statutory surplus reserve of</w:t>
      </w:r>
      <w:r>
        <w:rPr>
          <w:color w:val="000000"/>
          <w:shd w:fill="FFFFFF" w:val="clear"/>
        </w:rPr>
        <w:t xml:space="preserve"> </w:t>
      </w:r>
      <w:r>
        <w:rPr>
          <w:rFonts w:ascii="Times New Roman;sans-serif" w:hAnsi="Times New Roman;sans-serif"/>
          <w:b w:val="false"/>
          <w:color w:val="000000"/>
          <w:sz w:val="20"/>
          <w:shd w:fill="FFFFFF" w:val="clear"/>
        </w:rPr>
        <w:t xml:space="preserve">$30,060 and $16,881 based on an accumulated profit as of December 31, 2023 and 2022, respectively, which is included in the statutory </w:t>
      </w:r>
      <w:r>
        <w:rPr>
          <w:rFonts w:ascii="Times New Roman;sans-serif" w:hAnsi="Times New Roman;sans-serif"/>
          <w:b w:val="false"/>
          <w:color w:val="000000"/>
          <w:sz w:val="20"/>
        </w:rPr>
        <w:t>surplus reserve in the consolidated balance sheets.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Noncontrolling interests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noncontrolling interest is recognized to reflect the portion of subsidiaries’ equity which is not attributable, directly or indirectly, to ACM Research. Consolidated net income on the consolidated statements of comprehensive income (loss) includes the net income attributable to noncontrolling interests. The cumulative results of operations attributable to noncontrolling interests are recorded as “noncontrolling interests” in the Company’s consolidated balance sheets.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Instruments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Company periodically invests in equity securities, and maintains an investment portfolio of various holdings, types, and maturities. For equity investments that do not have a readily determinable fair value, the Company classified them as long-term investments, and records them using either: 1) the measurement alternative which measures the equity investments at cost minus impairment, if any, plus or minus changes resulting from qualifying observable price changes; or 2) the equity method whereby the Company recognizes its proportional share of the income or loss from the equity method investment. The equity method is utilized when the equity investments are common stock or in substance common stock, and the Company does not have the ability to control the investee but is deemed to have the ability to exercise significant influence over the investee’s operating or financial policies. For equity investments that have a readily determinable fair value, the Company classified them as short-term investments, and records them at fair market value on a recurring basis based upon quoted market prices. Realized and unrealized gains and losses resulting from application of the measurement alternative, the impact of the application of the equity method to the Company’s equity investments, and recognition of changes in fair market value, as applicable, are recognized as non-operating income (expenses), net in the co</w:t>
      </w:r>
      <w:r>
        <w:rPr>
          <w:rFonts w:ascii="Times New Roman;sans-serif" w:hAnsi="Times New Roman;sans-serif"/>
          <w:b w:val="false"/>
          <w:color w:val="000000"/>
          <w:sz w:val="20"/>
        </w:rPr>
        <w:t>ndensed consolidated statements of comprehensive income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6840"/>
                <wp:effectExtent l="0" t="0" r="0" b="0"/>
                <wp:wrapNone/>
                <wp:docPr id="115" name="Frame1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fair value hierarchy has been established that prioritizes the inputs to valuation techniques used to measure fair value. The level of an asset or liability in the hierarchy is based on the lowest level of input that is significant to the fair value measurement. Assets and liabilities carried at fair value are classified and disclosed in one of the following three categories: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1: Valuations based on quoted prices in active markets for identical assets or liabilities with sufficient volume and frequency of transactions.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2: Valuations based on observable inputs other than Level 1 prices such as quoted prices for similar assets or liabilities, quoted prices in markets that are not active for identical assets or liabilities, or model-derived valuations techniques for which all significant inputs are observable in the market or can be corroborated by observable market data for substantially the full term of the assets or liabilities.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3: Valuations based on unobservable inputs to the valuation methodology that are significant to the measurement of fair value of assets or liabilities and based on non-binding, broker-provided price quotes and may not have been corroborated by observable market data.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Company’s primary financial instruments include its cash, cash equivalents, short term and long term deposits, restricted cash, short-term and long-term investments, accounts receivable, other receivables, accounts payable, and short-term and long-term borrowings. The estimated fair value of cash and cash equivalents, restricted cash, short-term time deposits, accounts receivable, other receivable, accounts payable, and short-term borrowings approximates their carrying value due to the short period of time to their maturities.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and liabilities measured at fair value on a recurring basis: </w:t>
      </w:r>
    </w:p>
    <w:tbl>
      <w:tblPr>
        <w:tblW w:w="9054" w:type="dxa"/>
        <w:jc w:val="left"/>
        <w:tblInd w:w="0" w:type="dxa"/>
        <w:tblLayout w:type="fixed"/>
        <w:tblCellMar>
          <w:top w:w="28" w:type="dxa"/>
          <w:left w:w="28" w:type="dxa"/>
          <w:bottom w:w="28" w:type="dxa"/>
          <w:right w:w="28" w:type="dxa"/>
        </w:tblCellMar>
      </w:tblPr>
      <w:tblGrid>
        <w:gridCol w:w="819"/>
        <w:gridCol w:w="721"/>
        <w:gridCol w:w="724"/>
        <w:gridCol w:w="326"/>
        <w:gridCol w:w="1276"/>
        <w:gridCol w:w="168"/>
        <w:gridCol w:w="109"/>
        <w:gridCol w:w="109"/>
        <w:gridCol w:w="109"/>
        <w:gridCol w:w="565"/>
        <w:gridCol w:w="565"/>
        <w:gridCol w:w="294"/>
        <w:gridCol w:w="109"/>
        <w:gridCol w:w="109"/>
        <w:gridCol w:w="109"/>
        <w:gridCol w:w="566"/>
        <w:gridCol w:w="566"/>
        <w:gridCol w:w="292"/>
        <w:gridCol w:w="109"/>
        <w:gridCol w:w="109"/>
        <w:gridCol w:w="109"/>
        <w:gridCol w:w="211"/>
        <w:gridCol w:w="826"/>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w:t>
              <w:br/>
              <w:t>in Active</w:t>
              <w:br/>
              <w:t>Markets for</w:t>
              <w:br/>
              <w:t>Identical</w:t>
              <w:br/>
              <w:t>Liabilities (Level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Other</w:t>
              <w:br/>
              <w:t>Observable</w:t>
              <w:br/>
              <w:t>Inputs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Unobservable</w:t>
              <w:br/>
              <w:t>Inputs (Level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203,402 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268,160 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and liabilities measured at fair value on a non-recurring basis: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16840"/>
                <wp:effectExtent l="0" t="0" r="0" b="0"/>
                <wp:wrapNone/>
                <wp:docPr id="116" name="Frame1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426"/>
        <w:gridCol w:w="1208"/>
        <w:gridCol w:w="1214"/>
        <w:gridCol w:w="453"/>
        <w:gridCol w:w="874"/>
        <w:gridCol w:w="237"/>
        <w:gridCol w:w="109"/>
        <w:gridCol w:w="109"/>
        <w:gridCol w:w="109"/>
        <w:gridCol w:w="388"/>
        <w:gridCol w:w="746"/>
        <w:gridCol w:w="201"/>
        <w:gridCol w:w="109"/>
        <w:gridCol w:w="109"/>
        <w:gridCol w:w="109"/>
        <w:gridCol w:w="280"/>
        <w:gridCol w:w="959"/>
        <w:gridCol w:w="146"/>
        <w:gridCol w:w="109"/>
        <w:gridCol w:w="109"/>
        <w:gridCol w:w="109"/>
        <w:gridCol w:w="211"/>
        <w:gridCol w:w="721"/>
        <w:gridCol w:w="160"/>
      </w:tblGrid>
      <w:tr>
        <w:trPr/>
        <w:tc>
          <w:tcPr>
            <w:tcW w:w="142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w:t>
              <w:br/>
              <w:t>in Active</w:t>
              <w:br/>
              <w:t>Markets for</w:t>
              <w:br/>
              <w:t>Identical</w:t>
              <w:br/>
              <w:t>Liabilities (Level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Other</w:t>
              <w:br/>
              <w:t>Observable</w:t>
              <w:br/>
              <w:t>Inputs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Unobservable</w:t>
              <w:br/>
              <w:t>Inputs (Level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1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accounted for using measurement alternative</w:t>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Company did not have any </w:t>
      </w:r>
      <w:r>
        <w:rPr>
          <w:rFonts w:ascii="Times New Roman;sans-serif" w:hAnsi="Times New Roman;sans-serif"/>
          <w:b w:val="false"/>
          <w:color w:val="000000"/>
          <w:sz w:val="20"/>
        </w:rPr>
        <w:t>assets and liabilities measured at fair value on a non-recurring basis as of December 31, 2022</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non-recurring fair value measurements to the carrying amount of equity investments accounted for using measurement alternative usually requires management to estimate a price adjustment for the different rights and obligations between a similar instrument of the same issuer with an observable price change in an orderly transaction and the investment held by the Company. These non-recurring fair value measurements were measured by using the observable transaction price and other unobservable inputs (level 3) as of the observable transaction dates.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Refer to Note 12 for fair value information related to the Company’s outstanding long-term borrowings as of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2022</w:t>
      </w:r>
      <w:r>
        <w:rPr>
          <w:rFonts w:ascii="Times New Roman;sans-serif" w:hAnsi="Times New Roman;sans-serif"/>
          <w:b w:val="false"/>
          <w:color w:val="000000"/>
          <w:sz w:val="20"/>
          <w:shd w:fill="FFFFFF" w:val="clear"/>
        </w:rPr>
        <w:t>.</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Operating and Financial Risks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Concentration of Credit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credit risk consist principally of cash and cash equivalents, time deposits, and accounts receivable. The Company deposits and invests its cash with financial institutions that management believes are creditworthy.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potentially subject to concentrations of credit risks in its accounts receivable and revenue. For the years ended December 31, 2023, 2022 and 2021 three customers accounted for 45.5%, three customers accounted for 43.8% of revenue, and two customers accounted for 48.9%, of revenue,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four customers accounted for 59.1% and two customers accounted for 42.6%, respectively, of the Company’s accounts receivables. The Company believes that the receivable balances from these largest customers do not represent a significant credit risk based on past collection experience.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balance of the Company’s short term bank borrowings (note 9) were scheduled to mature at various dates within the following year and thus exposed the Company to modest interest rate risk. As of December 31, 2023, the Company’s long-term borrowings (note 12) carry a fixed interest rate, and the Company may be exposed to the fair value interest rate risk.</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Liquidity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working capital at December 31, 2023 and 2022 was sufficient to meet its then-current requirements. The Company may, however, require additional cash due to changing business conditions or other future developments, including any investments or acquisitions the Company decides to pursue. In the long run, the Company intends to rely primarily on cash flows from operations and additional borrowings from financial institutions in order to meet its cash needs. If those sources are insufficient to meet cash requirements, the Company may seek to issue additional debt or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6840"/>
                <wp:effectExtent l="0" t="0" r="0" b="0"/>
                <wp:wrapNone/>
                <wp:docPr id="117" name="Frame1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Country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significant investments in mainland China. The operating results of the Company may be adversely affected either directly or indirectly by changes in the political and social conditions in mainland China, by changes in mainland China government policies with respect to laws and regulations, anti-inflationary measures, currency conversion and remittance abroad, rates and methods of taxation, and export controls enacted by the U.S., Japan, and the Netherlands to restrict the sale of certain technology to mainland China, among other things.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Risk and Translation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are presented in U.S. dollars, which is the Company’s reporting currency, while the functional currency of ACM’s subsidiaries in mainland China and Korea are the Chinese Renminbi (“RMB”), and the Korean Won, respectively. Changes in the relative values of U.S. dollars and RMB affect the Company’s reported levels of revenues and profitability as the results of its operations are translated from RMB into U.S. dollars for reporting purposes. Since the Company has not engaged in any hedging activities, it cannot predict the impact of future exchange rate fluctuations on the results of its operations, and it may experience economic losses as a result of foreign currency exchange rate fluctuations.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Transactions of ACM’s subsidiaries involving foreign currencies are recorded in functional currency according to the rate of exchange prevailing on the date when the transaction occurs. The ending balances of the Company’s foreign currency accounts are converted into functional currency using the rate of exchange prevailing at the end of each reporting period. Net gains and losses resulting from foreign exchange fluctuations as marked to market at year-end are included in the consolidated statements of comprehensive income (loss). </w:t>
      </w:r>
    </w:p>
    <w:p>
      <w:pPr>
        <w:pStyle w:val="TextBody"/>
        <w:bidi w:val="0"/>
        <w:spacing w:lineRule="auto" w:line="288" w:before="240" w:after="283"/>
        <w:jc w:val="both"/>
        <w:rPr/>
      </w:pPr>
      <w:r>
        <w:rPr>
          <w:rFonts w:ascii="Times New Roman;sans-serif" w:hAnsi="Times New Roman;sans-serif"/>
          <w:b w:val="false"/>
          <w:color w:val="000000"/>
          <w:sz w:val="20"/>
        </w:rPr>
        <w:t xml:space="preserve">In accordance with FASB ASC Topic 830, </w:t>
      </w:r>
      <w:r>
        <w:rPr>
          <w:rFonts w:ascii="Times New Roman;sans-serif" w:hAnsi="Times New Roman;sans-serif"/>
          <w:b w:val="false"/>
          <w:i/>
          <w:color w:val="000000"/>
          <w:sz w:val="20"/>
        </w:rPr>
        <w:t>Foreign Currency Matters</w:t>
      </w:r>
      <w:r>
        <w:rPr>
          <w:rFonts w:ascii="Times New Roman;sans-serif" w:hAnsi="Times New Roman;sans-serif"/>
          <w:b w:val="false"/>
          <w:color w:val="000000"/>
          <w:sz w:val="20"/>
        </w:rPr>
        <w:t xml:space="preserve">, the Company translates assets and liabilities into U.S. dollars from RMB or Korean Won using the rate of exchange prevailing at the applicable balance sheet date and the consolidated statements of comprehensive income (loss) and consolidated statements of cash flows are translated at an average rate during the reporting period. Adjustments resulting from the translation are recorded in stockholders’ equity as part of accumulated other comprehensive income (loss).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Recently Adopted Accounting Pronouncements</w:t>
      </w:r>
    </w:p>
    <w:p>
      <w:pPr>
        <w:pStyle w:val="TextBody"/>
        <w:bidi w:val="0"/>
        <w:spacing w:lineRule="auto" w:line="288" w:before="240" w:after="283"/>
        <w:jc w:val="both"/>
        <w:rPr/>
      </w:pPr>
      <w:r>
        <w:rPr>
          <w:rFonts w:ascii="Times New Roman;sans-serif" w:hAnsi="Times New Roman;sans-serif"/>
          <w:b w:val="false"/>
          <w:color w:val="000000"/>
          <w:sz w:val="20"/>
        </w:rPr>
        <w:t xml:space="preserve">In June 2016, the Financial Accounting Standards Board, or FASB, issued Accounting Standards Update, or ASU, 2016-13, </w:t>
      </w:r>
      <w:r>
        <w:rPr>
          <w:rFonts w:ascii="Times New Roman;sans-serif" w:hAnsi="Times New Roman;sans-serif"/>
          <w:b w:val="false"/>
          <w:i/>
          <w:color w:val="000000"/>
          <w:sz w:val="20"/>
        </w:rPr>
        <w:t xml:space="preserve">Financial Instruments-Credit Losses (Topic 326): Measurement of Credit Losses on Financial Instruments </w:t>
      </w:r>
      <w:r>
        <w:rPr>
          <w:rFonts w:ascii="Times New Roman;sans-serif" w:hAnsi="Times New Roman;sans-serif"/>
          <w:b w:val="false"/>
          <w:color w:val="000000"/>
          <w:sz w:val="20"/>
        </w:rPr>
        <w:t xml:space="preserve">(“ASC 326”). ASC 326 replaced the pre-existing incurred loss impairment methodology with a methodology that reflects expected credit losses and requires consideration of a broader range of reasonable and supportable information to inform credit loss estimates. ASC 326 requires use of a forward-looking expected credit loss model for accounts receivables, loans and other financial instruments.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In November 2019, the FASB issued ASU 2019-10,</w:t>
      </w:r>
      <w:r>
        <w:rPr>
          <w:color w:val="000000"/>
        </w:rPr>
        <w:t xml:space="preserve"> </w:t>
      </w:r>
      <w:r>
        <w:rPr>
          <w:rFonts w:ascii="Times New Roman;sans-serif" w:hAnsi="Times New Roman;sans-serif"/>
          <w:b w:val="false"/>
          <w:i/>
          <w:color w:val="000000"/>
          <w:sz w:val="20"/>
        </w:rPr>
        <w:t>Financial Instruments</w:t>
      </w:r>
      <w:r>
        <w:rPr>
          <w:color w:val="000000"/>
        </w:rPr>
        <w:t xml:space="preserve"> – </w:t>
      </w:r>
      <w:r>
        <w:rPr>
          <w:rFonts w:ascii="Times New Roman;sans-serif" w:hAnsi="Times New Roman;sans-serif"/>
          <w:b w:val="false"/>
          <w:i/>
          <w:color w:val="000000"/>
          <w:sz w:val="20"/>
        </w:rPr>
        <w:t>Credit Losses (Topic 326), Derivatives and Hedging (Topic 815), and Leases (Topic 842): Effective Dates.</w:t>
      </w:r>
      <w:r>
        <w:rPr>
          <w:color w:val="000000"/>
        </w:rPr>
        <w:t xml:space="preserve"> </w:t>
      </w:r>
      <w:r>
        <w:rPr>
          <w:rFonts w:ascii="Times New Roman;sans-serif" w:hAnsi="Times New Roman;sans-serif"/>
          <w:b w:val="false"/>
          <w:color w:val="000000"/>
          <w:sz w:val="20"/>
        </w:rPr>
        <w:t>ASU 2019-10 defers the effective date of ASU 2016-13 for public filers that are considered small reporting companies (“SRC”) as defined by the SEC to fiscal years beginning after December 15, 2022, including interim periods within those fiscal years. Since the Company was eligible to be a SRC based on its SRC determination as of November 15, 2019 (which was the issuance date of ASU 2019-10) in accordance with SEC regulations, the Company adopted amendments in ASC 326 for the year beginning January 1, 2023. Adoption of the standard requires using a modified retrospective approach through a cumulative-effect adjustment to retained earnings as of the effective date to align existing credit loss methodology with the new standard. The cumulative-effect adjustment, net of tax impact, to retained earnings as of January 1, 2023 was $(1,769).</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June 2022, the FASB issued ASU 2022-03—</w:t>
      </w:r>
      <w:r>
        <w:rPr>
          <w:rFonts w:ascii="Times New Roman;sans-serif" w:hAnsi="Times New Roman;sans-serif"/>
          <w:b w:val="false"/>
          <w:i/>
          <w:color w:val="000000"/>
          <w:sz w:val="20"/>
        </w:rPr>
        <w:t>Fair Value Measurement (Topic 820): Fair Value Measurement of Equity Securities Subject to Contractual Sale Restrictions</w:t>
      </w:r>
      <w:r>
        <w:rPr>
          <w:color w:val="000000"/>
        </w:rPr>
        <w:t xml:space="preserve"> </w:t>
      </w:r>
      <w:r>
        <w:rPr>
          <w:rFonts w:ascii="Times New Roman;sans-serif" w:hAnsi="Times New Roman;sans-serif"/>
          <w:b w:val="false"/>
          <w:color w:val="000000"/>
          <w:sz w:val="20"/>
        </w:rPr>
        <w:t>(“ASU 2022-03”) which clarifies how the fair values of equity securities subject to contractual sale restrictions is determined (Topic 820). The amendment clarifies that a contractual sale restriction should not be considered in measuring fair value. It also requires certain qualitative and quantitative disclosures related to equity securities subject to contractual sale restrictions. The new guidance is required to be applied prospectively with any adjustments from the adoption of the amendments recognized in earnings and disclosed on the date of adoption. This guidance is effective for the Company for fiscal year beginning after December 15, 2023, and interim periods within those fiscal years. Early adoption is permitted. The Company early adopted ASU 2022-03 in the third quarter of 2023, and the adoption did not have a material impact on the Company’s financial position,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6840"/>
                <wp:effectExtent l="0" t="0" r="0" b="0"/>
                <wp:wrapNone/>
                <wp:docPr id="118" name="Frame1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Recently issued accounting pronouncements not yet adopted</w:t>
      </w:r>
    </w:p>
    <w:p>
      <w:pPr>
        <w:pStyle w:val="TextBody"/>
        <w:bidi w:val="0"/>
        <w:spacing w:lineRule="auto" w:line="288" w:before="240" w:after="283"/>
        <w:jc w:val="both"/>
        <w:rPr/>
      </w:pPr>
      <w:r>
        <w:rPr>
          <w:rFonts w:ascii="Times New Roman;sans-serif" w:hAnsi="Times New Roman;sans-serif"/>
          <w:b w:val="false"/>
          <w:color w:val="000000"/>
          <w:sz w:val="20"/>
        </w:rPr>
        <w:t xml:space="preserve">In November 2023, the FASB issued ASU No. 2023-07, </w:t>
      </w:r>
      <w:r>
        <w:rPr>
          <w:rFonts w:ascii="Times New Roman;sans-serif" w:hAnsi="Times New Roman;sans-serif"/>
          <w:b w:val="false"/>
          <w:i/>
          <w:color w:val="000000"/>
          <w:sz w:val="20"/>
        </w:rPr>
        <w:t>Improvements to Reportable Segment Disclosures</w:t>
      </w:r>
      <w:r>
        <w:rPr>
          <w:rFonts w:ascii="Times New Roman;sans-serif" w:hAnsi="Times New Roman;sans-serif"/>
          <w:b w:val="false"/>
          <w:color w:val="000000"/>
          <w:sz w:val="20"/>
        </w:rPr>
        <w:t>.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The Company is currently evaluating the provisions of this ASU and expect to adopt it for the year ending December 31, 2024.</w:t>
      </w:r>
    </w:p>
    <w:p>
      <w:pPr>
        <w:pStyle w:val="TextBody"/>
        <w:bidi w:val="0"/>
        <w:spacing w:lineRule="auto" w:line="288" w:before="240" w:after="283"/>
        <w:jc w:val="both"/>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(Topic 740). The ASU requires disaggregated information about a reporting entity’s effective tax rate reconciliation as well as additional information on income taxes paid. The ASU is effective on a prospective basis for annual periods beginning after December 15, 2024. Retrospective application is permitted. Early adoption is also permitted for annual financial statements that have not yet been issued or made available for issuance. The Company is currently evaluating the provisions of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3 – REVENUE FROM CONTRACTS WITH CUSTOMERS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revenues based upon the nature or type of goods or services it provides and the geographic location of the customer facility. The following tables present disaggregated revenue information:</w:t>
      </w:r>
    </w:p>
    <w:tbl>
      <w:tblPr>
        <w:tblW w:w="10205" w:type="dxa"/>
        <w:jc w:val="left"/>
        <w:tblInd w:w="0" w:type="dxa"/>
        <w:tblLayout w:type="fixed"/>
        <w:tblCellMar>
          <w:top w:w="28" w:type="dxa"/>
          <w:left w:w="28" w:type="dxa"/>
          <w:bottom w:w="28" w:type="dxa"/>
          <w:right w:w="28" w:type="dxa"/>
        </w:tblCellMar>
      </w:tblPr>
      <w:tblGrid>
        <w:gridCol w:w="2063"/>
        <w:gridCol w:w="1811"/>
        <w:gridCol w:w="1820"/>
        <w:gridCol w:w="211"/>
        <w:gridCol w:w="841"/>
        <w:gridCol w:w="109"/>
        <w:gridCol w:w="109"/>
        <w:gridCol w:w="109"/>
        <w:gridCol w:w="109"/>
        <w:gridCol w:w="211"/>
        <w:gridCol w:w="841"/>
        <w:gridCol w:w="109"/>
        <w:gridCol w:w="109"/>
        <w:gridCol w:w="109"/>
        <w:gridCol w:w="109"/>
        <w:gridCol w:w="211"/>
        <w:gridCol w:w="841"/>
        <w:gridCol w:w="109"/>
        <w:gridCol w:w="109"/>
        <w:gridCol w:w="109"/>
        <w:gridCol w:w="156"/>
      </w:tblGrid>
      <w:tr>
        <w:trPr/>
        <w:tc>
          <w:tcPr>
            <w:tcW w:w="2063"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Wafer Cleaning, Tahoe and Semi-Critical Cleaning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ECP (front-end and packaging), Furnace and Other Technologies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Packaging (excluding ECP), Services &amp; Spares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 By Product Category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557,723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388,832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259,751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5636" w:type="dxa"/>
        <w:jc w:val="left"/>
        <w:tblInd w:w="0" w:type="dxa"/>
        <w:tblLayout w:type="fixed"/>
        <w:tblCellMar>
          <w:top w:w="28" w:type="dxa"/>
          <w:left w:w="28" w:type="dxa"/>
          <w:bottom w:w="28" w:type="dxa"/>
          <w:right w:w="28" w:type="dxa"/>
        </w:tblCellMar>
      </w:tblPr>
      <w:tblGrid>
        <w:gridCol w:w="527"/>
        <w:gridCol w:w="462"/>
        <w:gridCol w:w="465"/>
        <w:gridCol w:w="211"/>
        <w:gridCol w:w="841"/>
        <w:gridCol w:w="109"/>
        <w:gridCol w:w="109"/>
        <w:gridCol w:w="109"/>
        <w:gridCol w:w="109"/>
        <w:gridCol w:w="211"/>
        <w:gridCol w:w="841"/>
        <w:gridCol w:w="109"/>
        <w:gridCol w:w="109"/>
        <w:gridCol w:w="109"/>
        <w:gridCol w:w="109"/>
        <w:gridCol w:w="211"/>
        <w:gridCol w:w="841"/>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regions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557,723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388,832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259,751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Below are the accounts receivables and contract liabilities balances as of: </w:t>
      </w:r>
    </w:p>
    <w:tbl>
      <w:tblPr>
        <w:tblW w:w="5079" w:type="dxa"/>
        <w:jc w:val="left"/>
        <w:tblInd w:w="0" w:type="dxa"/>
        <w:tblLayout w:type="fixed"/>
        <w:tblCellMar>
          <w:top w:w="28" w:type="dxa"/>
          <w:left w:w="28" w:type="dxa"/>
          <w:bottom w:w="28" w:type="dxa"/>
          <w:right w:w="28" w:type="dxa"/>
        </w:tblCellMar>
      </w:tblPr>
      <w:tblGrid>
        <w:gridCol w:w="793"/>
        <w:gridCol w:w="697"/>
        <w:gridCol w:w="699"/>
        <w:gridCol w:w="232"/>
        <w:gridCol w:w="908"/>
        <w:gridCol w:w="119"/>
        <w:gridCol w:w="109"/>
        <w:gridCol w:w="109"/>
        <w:gridCol w:w="109"/>
        <w:gridCol w:w="231"/>
        <w:gridCol w:w="905"/>
        <w:gridCol w:w="168"/>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from customers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advances from customers increased by $27,595 primarily due to a net increase of payments made by customers for first tools under evaluation.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6840"/>
                <wp:effectExtent l="0" t="0" r="0" b="0"/>
                <wp:wrapNone/>
                <wp:docPr id="119" name="Frame1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are revenues recognized from amounts included in contract liabilities at the beginning of the year:</w:t>
      </w:r>
    </w:p>
    <w:tbl>
      <w:tblPr>
        <w:tblW w:w="10205" w:type="dxa"/>
        <w:jc w:val="left"/>
        <w:tblInd w:w="0" w:type="dxa"/>
        <w:tblLayout w:type="fixed"/>
        <w:tblCellMar>
          <w:top w:w="28" w:type="dxa"/>
          <w:left w:w="28" w:type="dxa"/>
          <w:bottom w:w="28" w:type="dxa"/>
          <w:right w:w="28" w:type="dxa"/>
        </w:tblCellMar>
      </w:tblPr>
      <w:tblGrid>
        <w:gridCol w:w="2313"/>
        <w:gridCol w:w="2032"/>
        <w:gridCol w:w="2037"/>
        <w:gridCol w:w="211"/>
        <w:gridCol w:w="721"/>
        <w:gridCol w:w="109"/>
        <w:gridCol w:w="109"/>
        <w:gridCol w:w="109"/>
        <w:gridCol w:w="109"/>
        <w:gridCol w:w="211"/>
        <w:gridCol w:w="721"/>
        <w:gridCol w:w="109"/>
        <w:gridCol w:w="109"/>
        <w:gridCol w:w="109"/>
        <w:gridCol w:w="109"/>
        <w:gridCol w:w="211"/>
        <w:gridCol w:w="721"/>
        <w:gridCol w:w="155"/>
      </w:tblGrid>
      <w:tr>
        <w:trPr/>
        <w:tc>
          <w:tcPr>
            <w:tcW w:w="2313"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from amounts included in contract liabilities at the beginning of the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4 – ACCOUNTS RECEIVABLE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accounts receivable consisted of the following:</w:t>
      </w:r>
    </w:p>
    <w:tbl>
      <w:tblPr>
        <w:tblW w:w="5423" w:type="dxa"/>
        <w:jc w:val="left"/>
        <w:tblInd w:w="0" w:type="dxa"/>
        <w:tblLayout w:type="fixed"/>
        <w:tblCellMar>
          <w:top w:w="28" w:type="dxa"/>
          <w:left w:w="28" w:type="dxa"/>
          <w:bottom w:w="28" w:type="dxa"/>
          <w:right w:w="28" w:type="dxa"/>
        </w:tblCellMar>
      </w:tblPr>
      <w:tblGrid>
        <w:gridCol w:w="1000"/>
        <w:gridCol w:w="878"/>
        <w:gridCol w:w="881"/>
        <w:gridCol w:w="211"/>
        <w:gridCol w:w="826"/>
        <w:gridCol w:w="109"/>
        <w:gridCol w:w="109"/>
        <w:gridCol w:w="109"/>
        <w:gridCol w:w="109"/>
        <w:gridCol w:w="211"/>
        <w:gridCol w:w="82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The $100,250 increase in accounts receivable for the year ended December 31, 2023</w:t>
      </w:r>
      <w:r>
        <w:rPr>
          <w:color w:val="000000"/>
        </w:rPr>
        <w:t xml:space="preserve"> </w:t>
      </w:r>
      <w:r>
        <w:rPr>
          <w:rFonts w:ascii="Times New Roman;sans-serif" w:hAnsi="Times New Roman;sans-serif"/>
          <w:b w:val="false"/>
          <w:color w:val="000000"/>
          <w:sz w:val="20"/>
        </w:rPr>
        <w:t>corresponds to a $168,891 increase in revenue for the same period.</w:t>
      </w:r>
    </w:p>
    <w:tbl>
      <w:tblPr>
        <w:tblW w:w="10205" w:type="dxa"/>
        <w:jc w:val="left"/>
        <w:tblInd w:w="0" w:type="dxa"/>
        <w:tblLayout w:type="fixed"/>
        <w:tblCellMar>
          <w:top w:w="28" w:type="dxa"/>
          <w:left w:w="28" w:type="dxa"/>
          <w:bottom w:w="28" w:type="dxa"/>
          <w:right w:w="28" w:type="dxa"/>
        </w:tblCellMar>
      </w:tblPr>
      <w:tblGrid>
        <w:gridCol w:w="2929"/>
        <w:gridCol w:w="2577"/>
        <w:gridCol w:w="2591"/>
        <w:gridCol w:w="211"/>
        <w:gridCol w:w="688"/>
        <w:gridCol w:w="109"/>
        <w:gridCol w:w="109"/>
        <w:gridCol w:w="109"/>
        <w:gridCol w:w="109"/>
        <w:gridCol w:w="211"/>
        <w:gridCol w:w="406"/>
        <w:gridCol w:w="156"/>
      </w:tblGrid>
      <w:tr>
        <w:trPr/>
        <w:tc>
          <w:tcPr>
            <w:tcW w:w="2929"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8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8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effect of change in accounting principle under ASC 326, before tax, as of January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before tax, as of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collectability by reviewing accounts receivable on a general basis where similar characteristics exist and on an individual basis when the Company identifies specific customers with known disputes or collectability issues. In determining the amount of the allowance for credit losses, the Company considers historical collectability based on past due status, the age of the accounts receivable balances, credit quality of the Company’s customers based on ongoing credit evaluations, current economic conditions, reasonable and supportable forecasts of future economic conditions, and other factors that may affect the Company’s ability to collect from customers. As a result of the Company’s adoption of ASC 326 as of January 1, 2023 (Note 2), the Company recorded an allowance for credit losses as of December 31, 2023, as compared to no allowance for credit losses as of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5 – INVENTORIES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inventory consisted of the following:</w:t>
      </w:r>
    </w:p>
    <w:tbl>
      <w:tblPr>
        <w:tblW w:w="4120" w:type="dxa"/>
        <w:jc w:val="left"/>
        <w:tblInd w:w="0" w:type="dxa"/>
        <w:tblLayout w:type="fixed"/>
        <w:tblCellMar>
          <w:top w:w="28" w:type="dxa"/>
          <w:left w:w="28" w:type="dxa"/>
          <w:bottom w:w="28" w:type="dxa"/>
          <w:right w:w="28" w:type="dxa"/>
        </w:tblCellMar>
      </w:tblPr>
      <w:tblGrid>
        <w:gridCol w:w="527"/>
        <w:gridCol w:w="462"/>
        <w:gridCol w:w="467"/>
        <w:gridCol w:w="211"/>
        <w:gridCol w:w="826"/>
        <w:gridCol w:w="109"/>
        <w:gridCol w:w="109"/>
        <w:gridCol w:w="109"/>
        <w:gridCol w:w="109"/>
        <w:gridCol w:w="211"/>
        <w:gridCol w:w="82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December 31, 2022, the value of finished goods inventory, which is comprised of first-tools at customer physical locations, for which customers were contractually obligated to take ownership upon acceptance, totaled $123,390 and $123,169,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6840"/>
                <wp:effectExtent l="0" t="0" r="0" b="0"/>
                <wp:wrapNone/>
                <wp:docPr id="120" name="Frame1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108</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$70,239 increase in raw materials and work-in-process inventory at December 31, 2023 compared to December 31, 2022 was due to additional purchase of supplies to support a higher level of expected total shipments for the next several quarters, and to reduce the risk of supply chain delays to meet anticipated customer demand for the Company’s products. The $81,984 increase in finished goods inventory at December 31, 2023 compared to December 31, 2022 reflects a higher value of completed tools at the Company's facilities, and a higher value of first-tools under evaluation by existing or prospective customers, due to shipments made, net of customer acceptances during the period.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products each require a certain degree of customization, and the substantial majority of the work-in-process inventory and finished goods inventory is built to meet a specific customer order for repeat shipment or first tool delivery. At the end of each period, the Company assesses the status of each item in work-in-process and finished goods inventory. The Company recognizes a loss or impairment if in management’s judgement the inventory cannot be sold or used for production, if it has been damaged or should be considered as obsolete, or if the net realizable value is lower than the cost.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end of each period, the Company also assesses the status of its raw materials. The Company recognizes a loss or impairment for any raw materials aged more than three years. The three-year aging is based on the Company’s assessment of technology change, its requirement to maintain stock for warranty coverage, and other factors.</w:t>
      </w:r>
    </w:p>
    <w:p>
      <w:pPr>
        <w:pStyle w:val="TextBody"/>
        <w:bidi w:val="0"/>
        <w:spacing w:lineRule="auto" w:line="288" w:before="240" w:after="283"/>
        <w:jc w:val="both"/>
        <w:rPr/>
      </w:pPr>
      <w:r>
        <w:rPr>
          <w:rFonts w:ascii="Times New Roman;sans-serif" w:hAnsi="Times New Roman;sans-serif"/>
          <w:b w:val="false"/>
          <w:color w:val="000000"/>
          <w:sz w:val="20"/>
        </w:rPr>
        <w:t>During the years ended December 31, 2023, 2022, and 2021, provision for i</w:t>
      </w:r>
      <w:r>
        <w:rPr>
          <w:rFonts w:ascii="Times New Roman;sans-serif" w:hAnsi="Times New Roman;sans-serif"/>
          <w:b w:val="false"/>
          <w:color w:val="000000"/>
          <w:sz w:val="20"/>
          <w:shd w:fill="FFFFFF" w:val="clear"/>
        </w:rPr>
        <w:t xml:space="preserve">nventory of $575, </w:t>
      </w:r>
      <w:r>
        <w:rPr>
          <w:rFonts w:ascii="Times New Roman;sans-serif" w:hAnsi="Times New Roman;sans-serif"/>
          <w:b w:val="false"/>
          <w:color w:val="000000"/>
          <w:sz w:val="20"/>
        </w:rPr>
        <w:t>$2,248, and $75 were recognized in cost of revenue, respectively. Write-downs were due to an internal assessment that certain inventory could not be sold or used for production due to damage or obsolescence.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6 – PROPERTY, PLANT AND EQUIPMENT,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property, plant and equipment consisted of the following:</w:t>
      </w:r>
    </w:p>
    <w:tbl>
      <w:tblPr>
        <w:tblW w:w="7148" w:type="dxa"/>
        <w:jc w:val="left"/>
        <w:tblInd w:w="0" w:type="dxa"/>
        <w:tblLayout w:type="fixed"/>
        <w:tblCellMar>
          <w:top w:w="28" w:type="dxa"/>
          <w:left w:w="28" w:type="dxa"/>
          <w:bottom w:w="28" w:type="dxa"/>
          <w:right w:w="28" w:type="dxa"/>
        </w:tblCellMar>
      </w:tblPr>
      <w:tblGrid>
        <w:gridCol w:w="1661"/>
        <w:gridCol w:w="1459"/>
        <w:gridCol w:w="1469"/>
        <w:gridCol w:w="211"/>
        <w:gridCol w:w="826"/>
        <w:gridCol w:w="109"/>
        <w:gridCol w:w="109"/>
        <w:gridCol w:w="109"/>
        <w:gridCol w:w="109"/>
        <w:gridCol w:w="211"/>
        <w:gridCol w:w="721"/>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5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plants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Total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rPr>
        <w:t>Depreciation expense was $6,912, $4,839, and $2,099 for the years ended December 31, 2023, 2022, and 2021, respectively. Buildings and plants represent Lingang housing property owned by ACM Shengwei at a value of RMB 249,746 ($35,264) as of</w:t>
      </w:r>
      <w:r>
        <w:rPr>
          <w:color w:val="000000"/>
        </w:rPr>
        <w:t xml:space="preserve"> </w:t>
      </w:r>
      <w:r>
        <w:rPr>
          <w:rFonts w:ascii="Times New Roman;sans-serif" w:hAnsi="Times New Roman;sans-serif"/>
          <w:b w:val="false"/>
          <w:color w:val="000000"/>
          <w:sz w:val="20"/>
        </w:rPr>
        <w:t>December 31, 2023, and facilities for the new headquarters of ACM Shanghai ("Zhangjiang New Building") at a value of RMB 338,848 ($47,845) as of</w:t>
      </w:r>
      <w:r>
        <w:rPr>
          <w:color w:val="000000"/>
        </w:rPr>
        <w:t xml:space="preserve"> </w:t>
      </w:r>
      <w:r>
        <w:rPr>
          <w:rFonts w:ascii="Times New Roman;sans-serif" w:hAnsi="Times New Roman;sans-serif"/>
          <w:b w:val="false"/>
          <w:color w:val="000000"/>
          <w:sz w:val="20"/>
        </w:rPr>
        <w:t xml:space="preserve">December 31, 2023. The Lingang housing property is pledged as security for loans from China Merchants Bank (Note 12).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in progress primarily reflects costs incurred related to the construction of ACM Shanghai’s Lingang development and production center, and is scheduled to begin production in 2024.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6840"/>
                <wp:effectExtent l="0" t="0" r="0" b="0"/>
                <wp:wrapNone/>
                <wp:docPr id="121" name="Frame1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 LAND USE RIGHT,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land use right is as follows:</w:t>
      </w:r>
    </w:p>
    <w:tbl>
      <w:tblPr>
        <w:tblW w:w="4958" w:type="dxa"/>
        <w:jc w:val="left"/>
        <w:tblInd w:w="0" w:type="dxa"/>
        <w:tblLayout w:type="fixed"/>
        <w:tblCellMar>
          <w:top w:w="28" w:type="dxa"/>
          <w:left w:w="28" w:type="dxa"/>
          <w:bottom w:w="28" w:type="dxa"/>
          <w:right w:w="28" w:type="dxa"/>
        </w:tblCellMar>
      </w:tblPr>
      <w:tblGrid>
        <w:gridCol w:w="981"/>
        <w:gridCol w:w="865"/>
        <w:gridCol w:w="868"/>
        <w:gridCol w:w="211"/>
        <w:gridCol w:w="616"/>
        <w:gridCol w:w="109"/>
        <w:gridCol w:w="109"/>
        <w:gridCol w:w="109"/>
        <w:gridCol w:w="109"/>
        <w:gridCol w:w="211"/>
        <w:gridCol w:w="616"/>
        <w:gridCol w:w="154"/>
      </w:tblGrid>
      <w:tr>
        <w:trPr/>
        <w:tc>
          <w:tcPr>
            <w:tcW w:w="98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use right purchase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use right,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amortization for the years ended December 31, 2023, 2022 and 2021 was $181, $189 and $199,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annual amortization of land use right for each of the five succeeding years is as follows:</w:t>
      </w:r>
    </w:p>
    <w:tbl>
      <w:tblPr>
        <w:tblW w:w="3472" w:type="dxa"/>
        <w:jc w:val="left"/>
        <w:tblInd w:w="0" w:type="dxa"/>
        <w:tblLayout w:type="fixed"/>
        <w:tblCellMar>
          <w:top w:w="28" w:type="dxa"/>
          <w:left w:w="28" w:type="dxa"/>
          <w:bottom w:w="28" w:type="dxa"/>
          <w:right w:w="28" w:type="dxa"/>
        </w:tblCellMar>
      </w:tblPr>
      <w:tblGrid>
        <w:gridCol w:w="703"/>
        <w:gridCol w:w="615"/>
        <w:gridCol w:w="376"/>
        <w:gridCol w:w="382"/>
        <w:gridCol w:w="1117"/>
        <w:gridCol w:w="279"/>
      </w:tblGrid>
      <w:tr>
        <w:trPr/>
        <w:tc>
          <w:tcPr>
            <w:tcW w:w="70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7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ending December 31,</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 OTHER LONG-TERM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other long-term assets consisted of the following:</w:t>
      </w:r>
    </w:p>
    <w:tbl>
      <w:tblPr>
        <w:tblW w:w="6714" w:type="dxa"/>
        <w:jc w:val="left"/>
        <w:tblInd w:w="0" w:type="dxa"/>
        <w:tblLayout w:type="fixed"/>
        <w:tblCellMar>
          <w:top w:w="28" w:type="dxa"/>
          <w:left w:w="28" w:type="dxa"/>
          <w:bottom w:w="28" w:type="dxa"/>
          <w:right w:w="28" w:type="dxa"/>
        </w:tblCellMar>
      </w:tblPr>
      <w:tblGrid>
        <w:gridCol w:w="1579"/>
        <w:gridCol w:w="1389"/>
        <w:gridCol w:w="1397"/>
        <w:gridCol w:w="211"/>
        <w:gridCol w:w="616"/>
        <w:gridCol w:w="109"/>
        <w:gridCol w:w="109"/>
        <w:gridCol w:w="109"/>
        <w:gridCol w:w="109"/>
        <w:gridCol w:w="211"/>
        <w:gridCol w:w="721"/>
        <w:gridCol w:w="154"/>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Prepayment for property, plant and equipment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deposit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 for land use right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for property - Zhangjiang New Building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Prepayment for property - Zhangjiang New Building is for the new corporate headquarters of ACM Shanghai.</w:t>
      </w:r>
      <w:r>
        <w:rPr>
          <w:color w:val="000000"/>
        </w:rPr>
        <w:t xml:space="preserve"> </w:t>
      </w:r>
      <w:r>
        <w:rPr>
          <w:rFonts w:ascii="Times New Roman;sans-serif" w:hAnsi="Times New Roman;sans-serif"/>
          <w:b w:val="false"/>
          <w:color w:val="000000"/>
          <w:sz w:val="20"/>
        </w:rPr>
        <w:t>Pursuant to contractual agreements, ownership of</w:t>
      </w:r>
      <w:r>
        <w:rPr>
          <w:color w:val="000000"/>
        </w:rPr>
        <w:t xml:space="preserve"> </w:t>
      </w:r>
      <w:r>
        <w:rPr>
          <w:rFonts w:ascii="Times New Roman;sans-serif" w:hAnsi="Times New Roman;sans-serif"/>
          <w:b w:val="false"/>
          <w:color w:val="000000"/>
          <w:sz w:val="20"/>
        </w:rPr>
        <w:t>Zhangjiang New Building was transferred to ACM Shanghai in February 2023 at</w:t>
      </w:r>
      <w:r>
        <w:rPr>
          <w:color w:val="000000"/>
        </w:rPr>
        <w:t xml:space="preserve"> </w:t>
      </w:r>
      <w:r>
        <w:rPr>
          <w:rFonts w:ascii="Times New Roman;sans-serif" w:hAnsi="Times New Roman;sans-serif"/>
          <w:b w:val="false"/>
          <w:color w:val="000000"/>
          <w:sz w:val="20"/>
        </w:rPr>
        <w:t>valu</w:t>
      </w:r>
      <w:r>
        <w:rPr>
          <w:rFonts w:ascii="Times New Roman;sans-serif" w:hAnsi="Times New Roman;sans-serif"/>
          <w:b w:val="false"/>
          <w:color w:val="000000"/>
          <w:sz w:val="20"/>
          <w:shd w:fill="FFFFFF" w:val="clear"/>
        </w:rPr>
        <w:t>e of RMB 338,848 ($47,201). U</w:t>
      </w:r>
      <w:r>
        <w:rPr>
          <w:rFonts w:ascii="Times New Roman;sans-serif" w:hAnsi="Times New Roman;sans-serif"/>
          <w:b w:val="false"/>
          <w:color w:val="000000"/>
          <w:sz w:val="20"/>
        </w:rPr>
        <w:t>pon the transfer of ownership, Prepayment for property - Zhangjiang New Building was reclassified to property, plant and equipment (Note 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 SHORT-TERM BORROWINGS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December 31, 2022, short-term borrowings consisted of the following:</w:t>
      </w:r>
    </w:p>
    <w:tbl>
      <w:tblPr>
        <w:tblW w:w="7309" w:type="dxa"/>
        <w:jc w:val="left"/>
        <w:tblInd w:w="0" w:type="dxa"/>
        <w:tblLayout w:type="fixed"/>
        <w:tblCellMar>
          <w:top w:w="28" w:type="dxa"/>
          <w:left w:w="28" w:type="dxa"/>
          <w:bottom w:w="28" w:type="dxa"/>
          <w:right w:w="28" w:type="dxa"/>
        </w:tblCellMar>
      </w:tblPr>
      <w:tblGrid>
        <w:gridCol w:w="1978"/>
        <w:gridCol w:w="1735"/>
        <w:gridCol w:w="1747"/>
        <w:gridCol w:w="203"/>
        <w:gridCol w:w="203"/>
        <w:gridCol w:w="176"/>
        <w:gridCol w:w="138"/>
        <w:gridCol w:w="138"/>
        <w:gridCol w:w="138"/>
        <w:gridCol w:w="308"/>
        <w:gridCol w:w="308"/>
        <w:gridCol w:w="237"/>
      </w:tblGrid>
      <w:tr>
        <w:trPr/>
        <w:tc>
          <w:tcPr>
            <w:tcW w:w="1978"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Line of credit up to RMB 150,000 from China Everbright Bank,</w:t>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1)due on August 17, 2023 with an annual interest rate of 3.40%.</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2)due on September 1, 2023 with an annual interest rate of 3.60%.</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16840"/>
                <wp:effectExtent l="0" t="0" r="0" b="0"/>
                <wp:wrapNone/>
                <wp:docPr id="122" name="Frame1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110</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tbl>
      <w:tblPr>
        <w:tblW w:w="7492" w:type="dxa"/>
        <w:jc w:val="left"/>
        <w:tblInd w:w="0" w:type="dxa"/>
        <w:tblLayout w:type="fixed"/>
        <w:tblCellMar>
          <w:top w:w="28" w:type="dxa"/>
          <w:left w:w="28" w:type="dxa"/>
          <w:bottom w:w="28" w:type="dxa"/>
          <w:right w:w="28" w:type="dxa"/>
        </w:tblCellMar>
      </w:tblPr>
      <w:tblGrid>
        <w:gridCol w:w="2052"/>
        <w:gridCol w:w="1803"/>
        <w:gridCol w:w="1815"/>
        <w:gridCol w:w="308"/>
        <w:gridCol w:w="308"/>
        <w:gridCol w:w="109"/>
        <w:gridCol w:w="109"/>
        <w:gridCol w:w="109"/>
        <w:gridCol w:w="109"/>
        <w:gridCol w:w="308"/>
        <w:gridCol w:w="308"/>
        <w:gridCol w:w="154"/>
      </w:tblGrid>
      <w:tr>
        <w:trPr/>
        <w:tc>
          <w:tcPr>
            <w:tcW w:w="2052"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3)due on December 16, 2023 with an annual interest rate of 3.00%</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4)due on August 29,2024 with an annual interest rate of 3.00%.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Line of credit up to RMB 100,000 from Bank of Communications,</w:t>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1)due on August 11, 2023 with an annual interest rate of 3.60%.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2)due on September 5, 2023 with an annual interest rate of 3.50%.</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Line of credit up to RMB 40,000 from Bank of China,</w:t>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1)due on August 26, 2023 with an annual interest rate of 3.15%.</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Line of credit up to RMB 40,000 from Bank of China,</w:t>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1)due on September 7, 2024 with an annual interest rate of 2.87%</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Line of credit up to RMB 100,000 from China Merchants Bank,</w:t>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1)due on July 21, 2023 with an annual interest rate of 3.50%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2)due on July 27, 2023 with an annual interest rate of 3.50%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3)due on August 1, 2023 with an annual interest rate of 3.50%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4)due on August 3, 2023 with an annual interest rate of 3.50%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5)due on August 7, 2023 with an annual interest rate of 3.50%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6)due on August 14, 2023 with an annual interest rate of 3.50%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7)due on August 15, 2023 with an annual interest rate of 3.50%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8)due on August 21, 2023 with an annual interest rate of 3.50%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9)due on August 28, 2023 with an annual interest rate of 3.50%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10)due on September 13, 2023 with an annual interest rate of 3.50%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11)due on September 20, 2023 with an annual interest rate of 3.50%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12)due on October 7, 2023 with an annual interest rate of 3.50%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Line of credit up to RMB 200,000 from China Merchants Bank, </w:t>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1)due on August 7,2024 with an annual interest rate of 3.00%.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2)due on August 8,2024 with an annual interest rate of 3.00%.</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3)due on August 9,2024 with an annual interest rate of 3.00%.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4)due on August 14,2024 with an annual interest rate of 3.00%.</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5)due on August 17,2024 with an annual interest rate of 3.00%.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6)due on August 20,2024 with an annual interest rate of 3.00%.</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7)due on August 21,2024 with an annual interest rate of 3.00%.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8)due on August 22,2024 with an annual interest rate of 3.00%.</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9)due on August 24,2024 with an annual interest rate of 3.00%.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10)due on August 27,2024 with an annual interest rate of 3.00%.</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11)due on August 29,2024 with an annual interest rate of 3.00%.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12)due on August 30,2024 with an annual interest rate of 3.00%.</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13)due on September 3,2024 with an annual interest rate of 3.00%.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14)due on September 5,2024 with an annual interest rate of 3.00%.</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15)due on September 6,2024 with an annual interest rate of 3.00%.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16)due on September 10,2024 with an annual interest rate of 3.00%.</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17)due on September 12,2024 with an annual interest rate of 3.00%.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Line of credit up to KRW 500,000 from Industrial Bank of Korea,</w:t>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1)due on July 12,2024 with an annual interest rate of 6.03%.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Line of credit up to KRW 2,000,000 from Industrial Bank of Korea,</w:t>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6840"/>
                <wp:effectExtent l="0" t="0" r="0" b="0"/>
                <wp:wrapNone/>
                <wp:docPr id="123" name="Frame1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111</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tbl>
      <w:tblPr>
        <w:tblW w:w="7929" w:type="dxa"/>
        <w:jc w:val="left"/>
        <w:tblInd w:w="0" w:type="dxa"/>
        <w:tblLayout w:type="fixed"/>
        <w:tblCellMar>
          <w:top w:w="28" w:type="dxa"/>
          <w:left w:w="28" w:type="dxa"/>
          <w:bottom w:w="28" w:type="dxa"/>
          <w:right w:w="28" w:type="dxa"/>
        </w:tblCellMar>
      </w:tblPr>
      <w:tblGrid>
        <w:gridCol w:w="1982"/>
        <w:gridCol w:w="1741"/>
        <w:gridCol w:w="1752"/>
        <w:gridCol w:w="211"/>
        <w:gridCol w:w="721"/>
        <w:gridCol w:w="109"/>
        <w:gridCol w:w="109"/>
        <w:gridCol w:w="109"/>
        <w:gridCol w:w="109"/>
        <w:gridCol w:w="211"/>
        <w:gridCol w:w="721"/>
        <w:gridCol w:w="154"/>
      </w:tblGrid>
      <w:tr>
        <w:trPr/>
        <w:tc>
          <w:tcPr>
            <w:tcW w:w="1982"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1)due on December 15,2024 with an annual interest rate of 4.27%.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interest expense related to short-term borrowings amounted to $1,581, $810, and $700,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 OTHER PAYABLES AND ACCRUED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other payables and accrued expenses consisted of the following:</w:t>
      </w:r>
    </w:p>
    <w:tbl>
      <w:tblPr>
        <w:tblW w:w="5514" w:type="dxa"/>
        <w:jc w:val="left"/>
        <w:tblInd w:w="0" w:type="dxa"/>
        <w:tblLayout w:type="fixed"/>
        <w:tblCellMar>
          <w:top w:w="28" w:type="dxa"/>
          <w:left w:w="28" w:type="dxa"/>
          <w:bottom w:w="28" w:type="dxa"/>
          <w:right w:w="28" w:type="dxa"/>
        </w:tblCellMar>
      </w:tblPr>
      <w:tblGrid>
        <w:gridCol w:w="1070"/>
        <w:gridCol w:w="941"/>
        <w:gridCol w:w="944"/>
        <w:gridCol w:w="211"/>
        <w:gridCol w:w="826"/>
        <w:gridCol w:w="109"/>
        <w:gridCol w:w="109"/>
        <w:gridCol w:w="109"/>
        <w:gridCol w:w="109"/>
        <w:gridCol w:w="211"/>
        <w:gridCol w:w="721"/>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machine testing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machine sales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Lingang construction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11 – LEASES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Most leases include one or more options to renew. The Company regularly evaluates the renewal options, and when they are reasonably certain of exercise, the Company includes the renewal period in its lease term.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5306" w:type="dxa"/>
        <w:jc w:val="left"/>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operating leases was as follows for the years ended December 31, 2023, 2022, and 2021:</w:t>
      </w:r>
    </w:p>
    <w:tbl>
      <w:tblPr>
        <w:tblW w:w="7287" w:type="dxa"/>
        <w:jc w:val="left"/>
        <w:tblInd w:w="0" w:type="dxa"/>
        <w:tblLayout w:type="fixed"/>
        <w:tblCellMar>
          <w:top w:w="28" w:type="dxa"/>
          <w:left w:w="28" w:type="dxa"/>
          <w:bottom w:w="28" w:type="dxa"/>
          <w:right w:w="28" w:type="dxa"/>
        </w:tblCellMar>
      </w:tblPr>
      <w:tblGrid>
        <w:gridCol w:w="1368"/>
        <w:gridCol w:w="1202"/>
        <w:gridCol w:w="1210"/>
        <w:gridCol w:w="211"/>
        <w:gridCol w:w="616"/>
        <w:gridCol w:w="109"/>
        <w:gridCol w:w="109"/>
        <w:gridCol w:w="109"/>
        <w:gridCol w:w="109"/>
        <w:gridCol w:w="211"/>
        <w:gridCol w:w="616"/>
        <w:gridCol w:w="109"/>
        <w:gridCol w:w="109"/>
        <w:gridCol w:w="109"/>
        <w:gridCol w:w="109"/>
        <w:gridCol w:w="211"/>
        <w:gridCol w:w="616"/>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 from operating leases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425"/>
        <w:gridCol w:w="2129"/>
        <w:gridCol w:w="2142"/>
        <w:gridCol w:w="211"/>
        <w:gridCol w:w="616"/>
        <w:gridCol w:w="109"/>
        <w:gridCol w:w="109"/>
        <w:gridCol w:w="109"/>
        <w:gridCol w:w="109"/>
        <w:gridCol w:w="211"/>
        <w:gridCol w:w="616"/>
        <w:gridCol w:w="109"/>
        <w:gridCol w:w="109"/>
        <w:gridCol w:w="109"/>
        <w:gridCol w:w="109"/>
        <w:gridCol w:w="211"/>
        <w:gridCol w:w="616"/>
        <w:gridCol w:w="156"/>
      </w:tblGrid>
      <w:tr>
        <w:trPr/>
        <w:tc>
          <w:tcPr>
            <w:tcW w:w="2425"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right-of-use assets obtained in exchange for new operating lease liabilities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16840"/>
                <wp:effectExtent l="0" t="0" r="0" b="0"/>
                <wp:wrapNone/>
                <wp:docPr id="124" name="Frame1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112</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for all operating leases were as follows as of December 31, 2023:</w:t>
      </w:r>
    </w:p>
    <w:tbl>
      <w:tblPr>
        <w:tblW w:w="3990" w:type="dxa"/>
        <w:jc w:val="left"/>
        <w:tblInd w:w="0" w:type="dxa"/>
        <w:tblLayout w:type="fixed"/>
        <w:tblCellMar>
          <w:top w:w="28" w:type="dxa"/>
          <w:left w:w="28" w:type="dxa"/>
          <w:bottom w:w="28" w:type="dxa"/>
          <w:right w:w="28" w:type="dxa"/>
        </w:tblCellMar>
      </w:tblPr>
      <w:tblGrid>
        <w:gridCol w:w="970"/>
        <w:gridCol w:w="851"/>
        <w:gridCol w:w="864"/>
        <w:gridCol w:w="280"/>
        <w:gridCol w:w="819"/>
        <w:gridCol w:w="206"/>
      </w:tblGrid>
      <w:tr>
        <w:trPr/>
        <w:tc>
          <w:tcPr>
            <w:tcW w:w="97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7,735 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09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terms and discount rates for all operating leases were as follows as of December 31, 2023 and 2022:</w:t>
      </w:r>
    </w:p>
    <w:tbl>
      <w:tblPr>
        <w:tblW w:w="5880" w:type="dxa"/>
        <w:jc w:val="left"/>
        <w:tblInd w:w="0" w:type="dxa"/>
        <w:tblLayout w:type="fixed"/>
        <w:tblCellMar>
          <w:top w:w="28" w:type="dxa"/>
          <w:left w:w="28" w:type="dxa"/>
          <w:bottom w:w="28" w:type="dxa"/>
          <w:right w:w="28" w:type="dxa"/>
        </w:tblCellMar>
      </w:tblPr>
      <w:tblGrid>
        <w:gridCol w:w="1414"/>
        <w:gridCol w:w="1241"/>
        <w:gridCol w:w="1245"/>
        <w:gridCol w:w="255"/>
        <w:gridCol w:w="256"/>
        <w:gridCol w:w="292"/>
        <w:gridCol w:w="109"/>
        <w:gridCol w:w="109"/>
        <w:gridCol w:w="109"/>
        <w:gridCol w:w="255"/>
        <w:gridCol w:w="256"/>
        <w:gridCol w:w="339"/>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lease term and discount rate:</w:t>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 LONG-TERM BORROWINGS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long-term borrowings consisted of the following:</w:t>
      </w:r>
    </w:p>
    <w:tbl>
      <w:tblPr>
        <w:tblW w:w="5334" w:type="dxa"/>
        <w:jc w:val="left"/>
        <w:tblInd w:w="0" w:type="dxa"/>
        <w:tblLayout w:type="fixed"/>
        <w:tblCellMar>
          <w:top w:w="28" w:type="dxa"/>
          <w:left w:w="28" w:type="dxa"/>
          <w:bottom w:w="28" w:type="dxa"/>
          <w:right w:w="28" w:type="dxa"/>
        </w:tblCellMar>
      </w:tblPr>
      <w:tblGrid>
        <w:gridCol w:w="1042"/>
        <w:gridCol w:w="918"/>
        <w:gridCol w:w="920"/>
        <w:gridCol w:w="211"/>
        <w:gridCol w:w="721"/>
        <w:gridCol w:w="109"/>
        <w:gridCol w:w="109"/>
        <w:gridCol w:w="109"/>
        <w:gridCol w:w="109"/>
        <w:gridCol w:w="211"/>
        <w:gridCol w:w="721"/>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from China Merchants Bank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from Bank of China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from Bank of Shanghai</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from China CITIC Bank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The loan from China Merchants Bank is for the purpose of purchasing property in Lingang, Shanghai. The loan is repayable in 120 installments with the last installment due in November 2030, with an annual interest rat</w:t>
      </w:r>
      <w:r>
        <w:rPr>
          <w:rFonts w:ascii="Times New Roman;sans-serif" w:hAnsi="Times New Roman;sans-serif"/>
          <w:b w:val="false"/>
          <w:color w:val="000000"/>
          <w:sz w:val="20"/>
          <w:shd w:fill="FFFFFF" w:val="clear"/>
        </w:rPr>
        <w:t>e of 4.65%. Th</w:t>
      </w:r>
      <w:r>
        <w:rPr>
          <w:rFonts w:ascii="Times New Roman;sans-serif" w:hAnsi="Times New Roman;sans-serif"/>
          <w:b w:val="false"/>
          <w:color w:val="000000"/>
          <w:sz w:val="20"/>
        </w:rPr>
        <w:t>e loan is pledged by the property of ACM Shengwei and guaranteed by ACM Shanghai.</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Two loans from Bank of China are for the purpose of funding ACM Shanghai project expenditures. The loans bear interest at an annual rate of 2.6% and are repayable in 6 installments, with the last installments due in June 2024 and September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loan from Bank of Shanghai is for the purpose of funding ACM Shanghai project expenditures. The loan bears interest at an annual rate of 2.85%, and will be fully repaid in April 2025.</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first loan from China CITIC Bank is for the purpose of funding ACM Shanghai project expenditures. The loan bears interest at an annual rate of 3.40% and are repayable in 4 installments, with the last installment due in August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6840"/>
                <wp:effectExtent l="0" t="0" r="0" b="0"/>
                <wp:wrapNone/>
                <wp:docPr id="125" name="Frame1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113</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second loan from China CITIC bank is for the purpose of funding ACM's general corporate expenses and working capital. The loan bears interest at an annual rate of 4.50% payable quarterly, and the principal amount is repayable in 4 installments, with the last installment due in December 2025.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As of December 31, 2023 and December 31, 2022, the total carrying amount of long-term loans was $60,735 and $21,009, compared with an estimated f</w:t>
      </w:r>
      <w:r>
        <w:rPr>
          <w:rFonts w:ascii="Times New Roman;sans-serif" w:hAnsi="Times New Roman;sans-serif"/>
          <w:b w:val="false"/>
          <w:color w:val="000000"/>
          <w:sz w:val="20"/>
        </w:rPr>
        <w:t>air value of $56,462 and $18,538,</w:t>
      </w:r>
      <w:r>
        <w:rPr>
          <w:color w:val="000000"/>
          <w:shd w:fill="FFFFFF" w:val="clear"/>
        </w:rPr>
        <w:t xml:space="preserve"> </w:t>
      </w:r>
      <w:r>
        <w:rPr>
          <w:rFonts w:ascii="Times New Roman;sans-serif" w:hAnsi="Times New Roman;sans-serif"/>
          <w:b w:val="false"/>
          <w:color w:val="000000"/>
          <w:sz w:val="20"/>
          <w:shd w:fill="FFFFFF" w:val="clear"/>
        </w:rPr>
        <w:t>r</w:t>
      </w:r>
      <w:r>
        <w:rPr>
          <w:rFonts w:ascii="Times New Roman;sans-serif" w:hAnsi="Times New Roman;sans-serif"/>
          <w:b w:val="false"/>
          <w:color w:val="000000"/>
          <w:sz w:val="20"/>
        </w:rPr>
        <w:t>e</w:t>
      </w:r>
      <w:r>
        <w:rPr>
          <w:rFonts w:ascii="Times New Roman;sans-serif" w:hAnsi="Times New Roman;sans-serif"/>
          <w:b w:val="false"/>
          <w:color w:val="000000"/>
          <w:sz w:val="20"/>
          <w:shd w:fill="FFFFFF" w:val="clear"/>
        </w:rPr>
        <w:t>spectively. The fair value of the long-term loans is estimated by discounting cash flows using interest rates currently available for debts with similar terms and maturities (Level 2 fair value measurement). Refer to Note 2 for an explanation of the fair value hierarchy structure.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Scheduled principal payments for the outstanding long-term loans, including the current portion, as of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are as follows:</w:t>
      </w:r>
    </w:p>
    <w:tbl>
      <w:tblPr>
        <w:tblW w:w="2770" w:type="dxa"/>
        <w:jc w:val="left"/>
        <w:tblInd w:w="0" w:type="dxa"/>
        <w:tblLayout w:type="fixed"/>
        <w:tblCellMar>
          <w:top w:w="28" w:type="dxa"/>
          <w:left w:w="28" w:type="dxa"/>
          <w:bottom w:w="28" w:type="dxa"/>
          <w:right w:w="28" w:type="dxa"/>
        </w:tblCellMar>
      </w:tblPr>
      <w:tblGrid>
        <w:gridCol w:w="363"/>
        <w:gridCol w:w="319"/>
        <w:gridCol w:w="264"/>
        <w:gridCol w:w="354"/>
        <w:gridCol w:w="1212"/>
        <w:gridCol w:w="258"/>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77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60,735 </w:t>
            </w:r>
          </w:p>
        </w:tc>
        <w:tc>
          <w:tcPr>
            <w:tcW w:w="2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respectively, $1,100 and $845 of interest expense related to long-term borrowings was incurred. For the year ended December 31, 2021, $1,040 of interest related to long-term borrowings was incurred, of which $65 was charged to interest expense and $975 was capitalized as other long-term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13 – OTHER LONG-TERM LIABILITIES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represent government subsidies received from mainland China governmental authorities for development and commercialization of certain technology but not yet recognized (note 2). As of December 31, 2023 and 2022, other long-term liabilities consisted of the following unearned government subsidies:</w:t>
      </w:r>
    </w:p>
    <w:tbl>
      <w:tblPr>
        <w:tblW w:w="8244" w:type="dxa"/>
        <w:jc w:val="left"/>
        <w:tblInd w:w="0" w:type="dxa"/>
        <w:tblLayout w:type="fixed"/>
        <w:tblCellMar>
          <w:top w:w="28" w:type="dxa"/>
          <w:left w:w="28" w:type="dxa"/>
          <w:bottom w:w="28" w:type="dxa"/>
          <w:right w:w="28" w:type="dxa"/>
        </w:tblCellMar>
      </w:tblPr>
      <w:tblGrid>
        <w:gridCol w:w="2171"/>
        <w:gridCol w:w="1911"/>
        <w:gridCol w:w="1918"/>
        <w:gridCol w:w="211"/>
        <w:gridCol w:w="616"/>
        <w:gridCol w:w="109"/>
        <w:gridCol w:w="109"/>
        <w:gridCol w:w="109"/>
        <w:gridCol w:w="109"/>
        <w:gridCol w:w="211"/>
        <w:gridCol w:w="616"/>
        <w:gridCol w:w="154"/>
      </w:tblGrid>
      <w:tr>
        <w:trPr/>
        <w:tc>
          <w:tcPr>
            <w:tcW w:w="2171"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Subsidies to Stress Free Polishing project, commenced in 2008 and 2017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Subsidies to other cleaning tools, commenced in 2020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Subsidies to SW Lingang R&amp;D development in 2021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Subsidies to CO2 Technology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14 – LONG-TERM INVESTMENTS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6, 2017, ACM and Ninebell Co., Ltd. (“Ninebell”), a Korean company that is one of the Company’s principal material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400,002 shares of Class A common stock to Ninebell for a purchase price of $1,000 at $2.50 per share. The investment in Ninebell is accounted for under the equity method.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27, 2019, ACM Shanghai and Shengyi Semiconductor Technology Co., Ltd. (“Shengyi”), a company based in Wuxi, China that is one of the Company’s component suppliers, entered into an agreement pursuant to which Shengyi issued to ACM Shanghai shares representing 15% of Shengyi’s post-closing equity for a purchase price of $109. The investment in Shengyi is accounted for under the equity method. In September 2023, the Company invested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16840"/>
                <wp:effectExtent l="0" t="0" r="0" b="0"/>
                <wp:wrapNone/>
                <wp:docPr id="126" name="Frame1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114</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RMB 6,100 ($900) to Shengyi. As the additional investment is not in substance common stock, the Company measures the additional investment in Shengyi at measurement alternative.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5, 2019, ACM Shanghai entered into a Partnership Agreement with six other investors, as limited partners, and Beijing Shixi Qingliu Investment Co., Ltd., as general partner and manager, with respect to the formation of Hefei Shixi Chanheng Integrated Circuit Industry Venture Capital Fund Partnership (LP), a Chinese limited partnership based in Hefei, China. Pursuant to such Partnership Agreement, on September 30, 2019, ACM Shanghai invested RMB 30,000 ($4,200), which represented 10% of the partnership’s total subscribed capital. The investment in Hefei Shixi Chanheng Integrated Circuit Industry Venture Capital Fund Partnership (LP) is accounted for under the equity method in accordance with ASC 323-30-S99-1.</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29, 2021, ACM Shanghai and Waferworks (Shanghai) Co., Ltd, or Waferworks, a company based in Shanghai, China, and one of the Company’s customers, entered into an agreement pursuant to which Waferworks issued to ACM Shanghai shares representing 0.25% of Waferworks’ post-closing equity for a purchase price of $1,568. As the investment is not in substance common stock and there is no readily determinable fair value, the Company measures the investment in Waferworks at measurement alternative.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17, 2022, ACM Singapore and Wooil Flucon Co., Ltd. (“Wooil”), a company based in Korea and a potential component supplier to the Company, entered into an agreement pursuant to which Wooil, on September 1, 2022, issued to ACM Singapore shares representing 20% of Wooil’s post-closing equity for a purchase price of $1,000. The investment in Wooil is accounted for under the equity method.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2023, ACM Shanghai entered into a partnership agreement with Company A to invest RMB 30,000 ($4,200), which represented 4.37% of the partnership's total subscribed capital. Since there is no readily determinable fair value, the Company measures the investments at measurement alternative.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ACM Shanghai entered into a partnership agreement with Company B to invest RMB 6,600 ($930), which represented 1.38% of the partnership's total subscribed capital. Since there is no readily determinable fair value, the Company measures the investments at measurement alternative.</w:t>
      </w:r>
    </w:p>
    <w:p>
      <w:pPr>
        <w:pStyle w:val="TextBody"/>
        <w:bidi w:val="0"/>
        <w:spacing w:before="0" w:after="0"/>
        <w:jc w:val="left"/>
        <w:rPr/>
      </w:pPr>
      <w:r>
        <w:rPr/>
      </w:r>
    </w:p>
    <w:tbl>
      <w:tblPr>
        <w:tblW w:w="7314" w:type="dxa"/>
        <w:jc w:val="left"/>
        <w:tblInd w:w="0" w:type="dxa"/>
        <w:tblLayout w:type="fixed"/>
        <w:tblCellMar>
          <w:top w:w="28" w:type="dxa"/>
          <w:left w:w="28" w:type="dxa"/>
          <w:bottom w:w="28" w:type="dxa"/>
          <w:right w:w="28" w:type="dxa"/>
        </w:tblCellMar>
      </w:tblPr>
      <w:tblGrid>
        <w:gridCol w:w="1747"/>
        <w:gridCol w:w="1535"/>
        <w:gridCol w:w="1548"/>
        <w:gridCol w:w="211"/>
        <w:gridCol w:w="736"/>
        <w:gridCol w:w="109"/>
        <w:gridCol w:w="109"/>
        <w:gridCol w:w="109"/>
        <w:gridCol w:w="109"/>
        <w:gridCol w:w="211"/>
        <w:gridCol w:w="736"/>
        <w:gridCol w:w="154"/>
      </w:tblGrid>
      <w:tr>
        <w:trPr/>
        <w:tc>
          <w:tcPr>
            <w:tcW w:w="174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investee:</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Wooil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Hefei Shixi</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Subtotal</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17,502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16,023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accounted for using measurement alternative:</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Waferworks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B</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27,880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17,459</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$1,465, nil, and nil (upward adjustments) resulting from observable price changes in orderly transactions for an identical or similar investment of the same issuer on the consolidated statements of comprehensive income (loss) for the years ended December 31, 2023, 2022, and 2021, respectively. No unrealized losses (downward adjustments) were recorded by the Company during the years ended December 31, 2023, 2022, and 2021.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15 – SHORT-TERM INVESTMENTS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6840"/>
                <wp:effectExtent l="0" t="0" r="0" b="0"/>
                <wp:wrapNone/>
                <wp:docPr id="127" name="Frame1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115</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 Partnership Agreement dated June 9, 2020 (the “Partnership Agreement”) and a Supplementary Agreement thereto dated June 15, 2020 (the “Supplementary Agreement”), ACM Shanghai acquired shares of SMIC in July 2020. Shares of SMIC are listed on the STAR Market.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an Agreement entered into on September 19, 2022 (the ‘‘Agreement’’), ACM Shanghai became a limited partner of the Nuode Asset Fund Pujiang No. 783 Single Asset Management Plan (‘‘Nuode Asset Fund’’), a Chinese limited partnership formed by Nuode Asset Management Co., Ltd, a financial services firm based in Shanghai, China. Nuode Asset Fund was formed to establish a special fund with the purpose to participate in certain technology related investments in mainland China. Subsequent to the future purchase, any investment will be held by Nuode Asset Fund and restricted for a minimum period of nine months. The limited partners of the Nuode Asset Fund contributed a $22,160 to the fund, of which ACM Shanghai contributed $4,196, or 18.75% of the contribution on September 27,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In December 2022, the Nuode Asset Fund purchased shares in the secondary stock offering of a publicly traded mainland China-stock listing. The number of shares owned by Nuode Asset Fund was apportioned to all of the limited partners in proportion to their respective capital contributions which is 18.75% in the case of ACM Shanghai.</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a Share Purchase Agreement dated June 2023, ACM Shanghai acquired shares of Huahong Semiconductor Limited (“Huahong”) in July 2023 with amount of $13,930. The shares held by ACM Shanghai are restricted for sale for a minimum period of twelve months. Huahong completed it STAR IPO in August 2023.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Pursuant to a Share Purchase Agreement dated August 2023, ACM Shanghai acquired shares of Zhongjuxin Limited</w:t>
      </w:r>
      <w:r>
        <w:rPr>
          <w:color w:val="000000"/>
          <w:shd w:fill="FFFFFF" w:val="clear"/>
        </w:rPr>
        <w:t xml:space="preserve"> </w:t>
      </w:r>
      <w:r>
        <w:rPr>
          <w:rFonts w:ascii="Times New Roman;sans-serif" w:hAnsi="Times New Roman;sans-serif"/>
          <w:b w:val="false"/>
          <w:color w:val="000000"/>
          <w:sz w:val="20"/>
          <w:shd w:fill="FFFFFF" w:val="clear"/>
        </w:rPr>
        <w:t>Company (“Zhongjuxin”) in September 2023 with amount of RMB $4,179. The shares held by ACM Shanghai are restricted for sale for a minimum period of twelve months. Zhongjuxin completed it STAR IPO in September 2023.</w:t>
      </w:r>
    </w:p>
    <w:p>
      <w:pPr>
        <w:pStyle w:val="TextBody"/>
        <w:bidi w:val="0"/>
        <w:spacing w:before="0" w:after="0"/>
        <w:jc w:val="both"/>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short-term investments were as follows:</w:t>
      </w:r>
    </w:p>
    <w:tbl>
      <w:tblPr>
        <w:tblW w:w="7329" w:type="dxa"/>
        <w:jc w:val="left"/>
        <w:tblInd w:w="0" w:type="dxa"/>
        <w:tblLayout w:type="fixed"/>
        <w:tblCellMar>
          <w:top w:w="28" w:type="dxa"/>
          <w:left w:w="28" w:type="dxa"/>
          <w:bottom w:w="28" w:type="dxa"/>
          <w:right w:w="28" w:type="dxa"/>
        </w:tblCellMar>
      </w:tblPr>
      <w:tblGrid>
        <w:gridCol w:w="1766"/>
        <w:gridCol w:w="1552"/>
        <w:gridCol w:w="1557"/>
        <w:gridCol w:w="211"/>
        <w:gridCol w:w="721"/>
        <w:gridCol w:w="109"/>
        <w:gridCol w:w="109"/>
        <w:gridCol w:w="109"/>
        <w:gridCol w:w="109"/>
        <w:gridCol w:w="211"/>
        <w:gridCol w:w="721"/>
        <w:gridCol w:w="154"/>
      </w:tblGrid>
      <w:tr>
        <w:trPr/>
        <w:tc>
          <w:tcPr>
            <w:tcW w:w="176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listed in Shanghai Stock Exchange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16 – RELATED PARTY BALANCES AND TRANSACTIONS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Ninebell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Ninebell is an equity investee of ACM (Note 14) and is the Company’s principal supplier of robotic delivery system subassemblies used in our single-wafer cleaning equipment. The Company purchases equipment from Ninebell for production in the ordinary course of business. The Company pays for a portion of the equipment in advance and is obligated for the remaining amounts upon receipt of the product.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Shengyi</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Shengyi is an equity investee of ACM Shanghai (Note 14) and is one of the Company’s component suppliers in mainland China. The Company purchases components from Shengyi for production in the ordinary course of business. The Company incurs a service fee related to installation and hook-up fees which is recorded within cost of revenue on the Company’s consolidated statements of comprehensive income (loss). The Company pays for a portion of the raw materials in advance and is obligated for the remaining amounts upon receipt of the product.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related party outstanding balances are short-term in nature and are expected to be settled in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16840"/>
                <wp:effectExtent l="0" t="0" r="0" b="0"/>
                <wp:wrapNone/>
                <wp:docPr id="128" name="Frame1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116</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represent related party transactions with the equity investees as of December 31, 2023 and 2022:</w:t>
      </w:r>
    </w:p>
    <w:tbl>
      <w:tblPr>
        <w:tblW w:w="4538" w:type="dxa"/>
        <w:jc w:val="left"/>
        <w:tblInd w:w="0" w:type="dxa"/>
        <w:tblLayout w:type="fixed"/>
        <w:tblCellMar>
          <w:top w:w="28" w:type="dxa"/>
          <w:left w:w="28" w:type="dxa"/>
          <w:bottom w:w="28" w:type="dxa"/>
          <w:right w:w="28" w:type="dxa"/>
        </w:tblCellMar>
      </w:tblPr>
      <w:tblGrid>
        <w:gridCol w:w="831"/>
        <w:gridCol w:w="729"/>
        <w:gridCol w:w="734"/>
        <w:gridCol w:w="211"/>
        <w:gridCol w:w="616"/>
        <w:gridCol w:w="109"/>
        <w:gridCol w:w="109"/>
        <w:gridCol w:w="109"/>
        <w:gridCol w:w="109"/>
        <w:gridCol w:w="211"/>
        <w:gridCol w:w="61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Advances to related party</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058" w:type="dxa"/>
        <w:jc w:val="left"/>
        <w:tblInd w:w="0" w:type="dxa"/>
        <w:tblLayout w:type="fixed"/>
        <w:tblCellMar>
          <w:top w:w="28" w:type="dxa"/>
          <w:left w:w="28" w:type="dxa"/>
          <w:bottom w:w="28" w:type="dxa"/>
          <w:right w:w="28" w:type="dxa"/>
        </w:tblCellMar>
      </w:tblPr>
      <w:tblGrid>
        <w:gridCol w:w="581"/>
        <w:gridCol w:w="511"/>
        <w:gridCol w:w="512"/>
        <w:gridCol w:w="211"/>
        <w:gridCol w:w="721"/>
        <w:gridCol w:w="109"/>
        <w:gridCol w:w="109"/>
        <w:gridCol w:w="109"/>
        <w:gridCol w:w="109"/>
        <w:gridCol w:w="211"/>
        <w:gridCol w:w="721"/>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Accounts payable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87" w:type="dxa"/>
        <w:jc w:val="left"/>
        <w:tblInd w:w="0" w:type="dxa"/>
        <w:tblLayout w:type="fixed"/>
        <w:tblCellMar>
          <w:top w:w="28" w:type="dxa"/>
          <w:left w:w="28" w:type="dxa"/>
          <w:bottom w:w="28" w:type="dxa"/>
          <w:right w:w="28" w:type="dxa"/>
        </w:tblCellMar>
      </w:tblPr>
      <w:tblGrid>
        <w:gridCol w:w="711"/>
        <w:gridCol w:w="625"/>
        <w:gridCol w:w="629"/>
        <w:gridCol w:w="211"/>
        <w:gridCol w:w="721"/>
        <w:gridCol w:w="109"/>
        <w:gridCol w:w="109"/>
        <w:gridCol w:w="109"/>
        <w:gridCol w:w="109"/>
        <w:gridCol w:w="211"/>
        <w:gridCol w:w="721"/>
        <w:gridCol w:w="109"/>
        <w:gridCol w:w="109"/>
        <w:gridCol w:w="109"/>
        <w:gridCol w:w="109"/>
        <w:gridCol w:w="211"/>
        <w:gridCol w:w="721"/>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Purchase of materials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082" w:type="dxa"/>
        <w:jc w:val="left"/>
        <w:tblInd w:w="0" w:type="dxa"/>
        <w:tblLayout w:type="fixed"/>
        <w:tblCellMar>
          <w:top w:w="28" w:type="dxa"/>
          <w:left w:w="28" w:type="dxa"/>
          <w:bottom w:w="28" w:type="dxa"/>
          <w:right w:w="28" w:type="dxa"/>
        </w:tblCellMar>
      </w:tblPr>
      <w:tblGrid>
        <w:gridCol w:w="734"/>
        <w:gridCol w:w="644"/>
        <w:gridCol w:w="647"/>
        <w:gridCol w:w="211"/>
        <w:gridCol w:w="466"/>
        <w:gridCol w:w="109"/>
        <w:gridCol w:w="109"/>
        <w:gridCol w:w="109"/>
        <w:gridCol w:w="109"/>
        <w:gridCol w:w="211"/>
        <w:gridCol w:w="466"/>
        <w:gridCol w:w="109"/>
        <w:gridCol w:w="109"/>
        <w:gridCol w:w="109"/>
        <w:gridCol w:w="109"/>
        <w:gridCol w:w="211"/>
        <w:gridCol w:w="46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Service fee charged by</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17 –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ACM was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stockholders.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ACM issued 1,380,886 shares of Class A common stock upon option exercises by employees and non-employees. During the year ended December 31, 2022, ACM issued 980,354 shares of Class A common stock upon options exercises by certain employees and non-employees and an additional 66,003 shares of Class A common stock upon conversion of an equal number of shares of Class B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the number of shares of Class A common stock issued and outstanding was 56,036,172 and 54,655,286, respectively. At December 31, 2023 and 2022, the number of shares of Class B common stock issued and outstanding was 5,021,811 and 5,021,811,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18 – STOCK-BASED COMPENSATION</w:t>
      </w:r>
    </w:p>
    <w:p>
      <w:pPr>
        <w:pStyle w:val="TextBody"/>
        <w:bidi w:val="0"/>
        <w:spacing w:before="0" w:after="0"/>
        <w:jc w:val="both"/>
        <w:rPr/>
      </w:pPr>
      <w:r>
        <w:rPr/>
      </w:r>
    </w:p>
    <w:p>
      <w:pPr>
        <w:pStyle w:val="TextBody"/>
        <w:bidi w:val="0"/>
        <w:spacing w:lineRule="auto" w:line="276" w:before="0" w:after="0"/>
        <w:jc w:val="left"/>
        <w:rPr/>
      </w:pPr>
      <w:r>
        <w:rPr>
          <w:rFonts w:ascii="Times New Roman;sans-serif" w:hAnsi="Times New Roman;sans-serif"/>
          <w:b w:val="false"/>
          <w:color w:val="000000"/>
          <w:sz w:val="20"/>
        </w:rPr>
        <w:t>ACM’s stock-based compensation consists of employee and non-employee awards issued under its 1998 Stock Option Plan and its 2016 Omnibus Incentive Plan. The vesting condition may consist of service period condition or certain performance conditions, as determined by the Board of Directors. The fair value of the stock options granted with a service period based condition and/or performance condition is estimated at the date of grant using the Black-Scholes option pricing model. The fair value of the stock option</w:t>
      </w:r>
      <w:r>
        <w:rPr>
          <w:rFonts w:ascii="Times New Roman;sans-serif" w:hAnsi="Times New Roman;sans-serif"/>
          <w:b w:val="false"/>
          <w:color w:val="000000"/>
          <w:sz w:val="20"/>
          <w:shd w:fill="FFFFFF" w:val="clear"/>
        </w:rPr>
        <w:t xml:space="preserve">s granted with a market based condition is estimated at the date of grant using the Monte Carlo simulation model.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6840"/>
                <wp:effectExtent l="0" t="0" r="0" b="0"/>
                <wp:wrapNone/>
                <wp:docPr id="129" name="Frame1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117</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Awards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ACM’s employee share option activities during the years ended December 31, 2021, 2022 and 2023:</w:t>
      </w:r>
    </w:p>
    <w:tbl>
      <w:tblPr>
        <w:tblW w:w="10205" w:type="dxa"/>
        <w:jc w:val="left"/>
        <w:tblInd w:w="0" w:type="dxa"/>
        <w:tblLayout w:type="fixed"/>
        <w:tblCellMar>
          <w:top w:w="28" w:type="dxa"/>
          <w:left w:w="28" w:type="dxa"/>
          <w:bottom w:w="28" w:type="dxa"/>
          <w:right w:w="28" w:type="dxa"/>
        </w:tblCellMar>
      </w:tblPr>
      <w:tblGrid>
        <w:gridCol w:w="1267"/>
        <w:gridCol w:w="1112"/>
        <w:gridCol w:w="1115"/>
        <w:gridCol w:w="449"/>
        <w:gridCol w:w="429"/>
        <w:gridCol w:w="429"/>
        <w:gridCol w:w="109"/>
        <w:gridCol w:w="109"/>
        <w:gridCol w:w="109"/>
        <w:gridCol w:w="356"/>
        <w:gridCol w:w="890"/>
        <w:gridCol w:w="185"/>
        <w:gridCol w:w="109"/>
        <w:gridCol w:w="109"/>
        <w:gridCol w:w="109"/>
        <w:gridCol w:w="329"/>
        <w:gridCol w:w="824"/>
        <w:gridCol w:w="172"/>
        <w:gridCol w:w="109"/>
        <w:gridCol w:w="109"/>
        <w:gridCol w:w="109"/>
        <w:gridCol w:w="486"/>
        <w:gridCol w:w="486"/>
        <w:gridCol w:w="695"/>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 xml:space="preserve">Option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 xml:space="preserve">Date 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Remaining</w:t>
              <w:br/>
              <w:t>Contractual Term</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2020</w:t>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9,574,233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1.71</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4.24</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7.13 years</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2021</w:t>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8,402,247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2.45</w:t>
            </w: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5.88</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6.53 years</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2022</w:t>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9,211,641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3.58</w:t>
            </w: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8.24</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6.36 years</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(1,080,952)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9,998,637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5.15</w:t>
            </w: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9.47</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6.17 years</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December 31, 2023</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$27,152 of total unrecognized employee stock-based compensation expense, net of estimated forfeitures, related to stock-based awards for ACM was expected to be recognized over a weighted-average period of 3.96 years. Total recognized compensation cost may be adjusted for future changes in estimated forfeitures.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options exercised in the years ended December 31, 2023, 2022, and 2021 was $15,457, $6,429, and $43,356, respectively. The aggregate intrinsic value of options outstanding and exercisable as of December 31, 2023 were $108,771 and $82,848,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options granted to employees is estimated on the grant date using the Black-Scholes valuation model with the following assumptions:</w:t>
      </w:r>
    </w:p>
    <w:tbl>
      <w:tblPr>
        <w:tblW w:w="7159" w:type="dxa"/>
        <w:jc w:val="left"/>
        <w:tblInd w:w="0" w:type="dxa"/>
        <w:tblLayout w:type="fixed"/>
        <w:tblCellMar>
          <w:top w:w="28" w:type="dxa"/>
          <w:left w:w="28" w:type="dxa"/>
          <w:bottom w:w="28" w:type="dxa"/>
          <w:right w:w="28" w:type="dxa"/>
        </w:tblCellMar>
      </w:tblPr>
      <w:tblGrid>
        <w:gridCol w:w="939"/>
        <w:gridCol w:w="826"/>
        <w:gridCol w:w="829"/>
        <w:gridCol w:w="289"/>
        <w:gridCol w:w="289"/>
        <w:gridCol w:w="727"/>
        <w:gridCol w:w="116"/>
        <w:gridCol w:w="116"/>
        <w:gridCol w:w="116"/>
        <w:gridCol w:w="278"/>
        <w:gridCol w:w="278"/>
        <w:gridCol w:w="703"/>
        <w:gridCol w:w="116"/>
        <w:gridCol w:w="116"/>
        <w:gridCol w:w="116"/>
        <w:gridCol w:w="264"/>
        <w:gridCol w:w="264"/>
        <w:gridCol w:w="777"/>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common stock(1)</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$11.85-$17.23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$16.83- 25.45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$12.79- 17.02</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years(2)</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5.50-6.25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5.50-6.25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Volatility(3)</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84.95-86.45%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49.43-50.87%</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48.53-49.47%</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rate(4)</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4.16%-4.69%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1.70%-3.04%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1.00%-1.44%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dividend(5)</w:t>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(1)Fair value of Class A common stock value was the closing market price of the Class A common stock on the grant date.</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(2)Expected term of share options is based on the average of the vesting period and the contractual term for each grant.</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(3)Volatility is calculated based on the historical volatility of ACM in the period equal to the expected term of each grant. </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(4)Risk-free interest rate is based on the yields of U.S. Treasury securities with maturities similar to the expected term of the share options in effect at the time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16840"/>
                <wp:effectExtent l="0" t="0" r="0" b="0"/>
                <wp:wrapNone/>
                <wp:docPr id="130" name="Frame1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118</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(5)Expected dividend is assumed to be 0% as ACM has no history or expectation of paying a dividend on its common stock.</w:t>
      </w:r>
    </w:p>
    <w:p>
      <w:pPr>
        <w:pStyle w:val="TextBody"/>
        <w:bidi w:val="0"/>
        <w:spacing w:lineRule="auto" w:line="288" w:before="24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Non-employee Award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ACM's non-employee share option activities during the years ended December 31, 2021, 2022 and 2023:</w:t>
      </w:r>
    </w:p>
    <w:tbl>
      <w:tblPr>
        <w:tblW w:w="10205" w:type="dxa"/>
        <w:jc w:val="left"/>
        <w:tblInd w:w="0" w:type="dxa"/>
        <w:tblLayout w:type="fixed"/>
        <w:tblCellMar>
          <w:top w:w="28" w:type="dxa"/>
          <w:left w:w="28" w:type="dxa"/>
          <w:bottom w:w="28" w:type="dxa"/>
          <w:right w:w="28" w:type="dxa"/>
        </w:tblCellMar>
      </w:tblPr>
      <w:tblGrid>
        <w:gridCol w:w="1160"/>
        <w:gridCol w:w="1019"/>
        <w:gridCol w:w="1021"/>
        <w:gridCol w:w="496"/>
        <w:gridCol w:w="465"/>
        <w:gridCol w:w="467"/>
        <w:gridCol w:w="109"/>
        <w:gridCol w:w="109"/>
        <w:gridCol w:w="109"/>
        <w:gridCol w:w="383"/>
        <w:gridCol w:w="958"/>
        <w:gridCol w:w="200"/>
        <w:gridCol w:w="109"/>
        <w:gridCol w:w="109"/>
        <w:gridCol w:w="109"/>
        <w:gridCol w:w="360"/>
        <w:gridCol w:w="900"/>
        <w:gridCol w:w="188"/>
        <w:gridCol w:w="109"/>
        <w:gridCol w:w="109"/>
        <w:gridCol w:w="109"/>
        <w:gridCol w:w="468"/>
        <w:gridCol w:w="468"/>
        <w:gridCol w:w="671"/>
      </w:tblGrid>
      <w:tr>
        <w:trPr/>
        <w:tc>
          <w:tcPr>
            <w:tcW w:w="11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Option Shares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 Price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Remaining</w:t>
              <w:br/>
              <w:t>Contractual Term</w:t>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2020</w:t>
            </w:r>
          </w:p>
        </w:tc>
        <w:tc>
          <w:tcPr>
            <w:tcW w:w="14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2,508,114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0.34</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1.02</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4.92 years</w:t>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4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4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2021</w:t>
            </w:r>
          </w:p>
        </w:tc>
        <w:tc>
          <w:tcPr>
            <w:tcW w:w="14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2,067,018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0.33</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0.97</w:t>
            </w: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3.98 years</w:t>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4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4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2022</w:t>
            </w:r>
          </w:p>
        </w:tc>
        <w:tc>
          <w:tcPr>
            <w:tcW w:w="14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1,483,658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0.38</w:t>
            </w: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1.15</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3.68 years</w:t>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4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4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14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1,170,795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0.42</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1.31</w:t>
            </w: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2.66 years</w:t>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December 31, 2023</w:t>
            </w:r>
          </w:p>
        </w:tc>
        <w:tc>
          <w:tcPr>
            <w:tcW w:w="14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$9 of total unrecognized non-employee stock-based compensation expense, net of estimated forfeitures, related to stock-based awards were both expected to be recognized over a weighted-average period of 0.20 year. Total recognized compensation cost may be adjusted for future changes in estimated forfeitures. The aggregate intrinsic value of options exercised in the years ended December 31, 2023, 2022 and 2021was $3,796, $9,110 and $11,993, respectively. The aggregate intrinsic value of options outstanding and exercisable as of December 31, 2023 were $21,342 and $21,301, respectively.</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ACM Shanghai 2019 Option Grants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2020, ACM Shanghai adopted a 2019 Stock Option Incentive Plan (the “2019 Subsidiary Stock Option Plan”) that provides for, among other incentives, the granting to officers, directors, employees of options to purchase shares of ACM Shanghai’s common stock. The vesting conditions consist of service periods conditions and performance conditions related to certain earning targets determined by the Board of Directors of ACM Shanghai.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6840"/>
                <wp:effectExtent l="0" t="0" r="0" b="0"/>
                <wp:wrapNone/>
                <wp:docPr id="131" name="Frame1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119</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ACM Shanghai employee stock option activities during the years ended December 31, 2023, 2022 and 2021 :</w:t>
      </w:r>
    </w:p>
    <w:tbl>
      <w:tblPr>
        <w:tblW w:w="10205" w:type="dxa"/>
        <w:jc w:val="left"/>
        <w:tblInd w:w="0" w:type="dxa"/>
        <w:tblLayout w:type="fixed"/>
        <w:tblCellMar>
          <w:top w:w="28" w:type="dxa"/>
          <w:left w:w="28" w:type="dxa"/>
          <w:bottom w:w="28" w:type="dxa"/>
          <w:right w:w="28" w:type="dxa"/>
        </w:tblCellMar>
      </w:tblPr>
      <w:tblGrid>
        <w:gridCol w:w="1245"/>
        <w:gridCol w:w="1093"/>
        <w:gridCol w:w="1096"/>
        <w:gridCol w:w="488"/>
        <w:gridCol w:w="476"/>
        <w:gridCol w:w="478"/>
        <w:gridCol w:w="109"/>
        <w:gridCol w:w="109"/>
        <w:gridCol w:w="109"/>
        <w:gridCol w:w="343"/>
        <w:gridCol w:w="858"/>
        <w:gridCol w:w="179"/>
        <w:gridCol w:w="109"/>
        <w:gridCol w:w="109"/>
        <w:gridCol w:w="109"/>
        <w:gridCol w:w="327"/>
        <w:gridCol w:w="817"/>
        <w:gridCol w:w="170"/>
        <w:gridCol w:w="109"/>
        <w:gridCol w:w="109"/>
        <w:gridCol w:w="109"/>
        <w:gridCol w:w="482"/>
        <w:gridCol w:w="482"/>
        <w:gridCol w:w="690"/>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Option Shares in</w:t>
              <w:br/>
              <w:t xml:space="preserve">ACM Shanghai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Remaining</w:t>
              <w:br/>
              <w:t>Contractual Term</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2020</w:t>
            </w:r>
          </w:p>
        </w:tc>
        <w:tc>
          <w:tcPr>
            <w:tcW w:w="1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5,423,654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2.50 years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2021</w:t>
            </w:r>
          </w:p>
        </w:tc>
        <w:tc>
          <w:tcPr>
            <w:tcW w:w="1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5,377,500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0.24</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2.04</w:t>
            </w: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2.50 years</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2022</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5,377,500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0.23</w:t>
            </w: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1.93</w:t>
            </w: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1.76 years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Exercised </w:t>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Forfeited/cancelled </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1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3,134,883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0.24</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1.85</w:t>
            </w: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0.85 years</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December 31, 2023</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options exercised in the years ended December 31, 2023 and 2022 and 2021 was $31,144, nil and nil, respectively. The aggregate intrinsic value of options outstanding and exercisable as of December 31, 2023 were $40,663 and $6,386, respectively.</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ACM Shanghai 2023 Option Grants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ACM Shanghai adopted a 2023 Stock Option Incentive Plan ( the "2023 Subsidiary Stock Option Plan”) that provides for, among other incentives, the granting to officers, directors, employees of options to purchase shares of ACM Shanghai’s common stock. The vesting conditions consist of service periods conditions and performance conditions related to certain sales and research and development progress targets determined by the Board of Directors of ACM Shanghai.</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ACM Shanghai 2023 Subsidiary Stock Option Plan’s stock option activities during the year ended December 31,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9"/>
        <w:gridCol w:w="860"/>
        <w:gridCol w:w="862"/>
        <w:gridCol w:w="920"/>
        <w:gridCol w:w="864"/>
        <w:gridCol w:w="867"/>
        <w:gridCol w:w="109"/>
        <w:gridCol w:w="109"/>
        <w:gridCol w:w="109"/>
        <w:gridCol w:w="311"/>
        <w:gridCol w:w="756"/>
        <w:gridCol w:w="162"/>
        <w:gridCol w:w="109"/>
        <w:gridCol w:w="109"/>
        <w:gridCol w:w="109"/>
        <w:gridCol w:w="294"/>
        <w:gridCol w:w="714"/>
        <w:gridCol w:w="153"/>
        <w:gridCol w:w="109"/>
        <w:gridCol w:w="109"/>
        <w:gridCol w:w="109"/>
        <w:gridCol w:w="432"/>
        <w:gridCol w:w="432"/>
        <w:gridCol w:w="618"/>
      </w:tblGrid>
      <w:tr>
        <w:trPr/>
        <w:tc>
          <w:tcPr>
            <w:tcW w:w="97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Number of Option Shares in ACM Shanghai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Average Grant</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Remaining</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Contractual Term</w:t>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December 31, 2022</w:t>
            </w:r>
          </w:p>
        </w:tc>
        <w:tc>
          <w:tcPr>
            <w:tcW w:w="1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0.00 years</w:t>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2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2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years</w:t>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26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10,575,500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3.09 years</w:t>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December 31, 2023</w:t>
            </w:r>
          </w:p>
        </w:tc>
        <w:tc>
          <w:tcPr>
            <w:tcW w:w="1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options granted to employees is estimated on the grant date using the Black-Scholes valuation with following assumptions:</w:t>
      </w:r>
    </w:p>
    <w:tbl>
      <w:tblPr>
        <w:tblW w:w="6134" w:type="dxa"/>
        <w:jc w:val="left"/>
        <w:tblInd w:w="0" w:type="dxa"/>
        <w:tblLayout w:type="fixed"/>
        <w:tblCellMar>
          <w:top w:w="28" w:type="dxa"/>
          <w:left w:w="28" w:type="dxa"/>
          <w:bottom w:w="28" w:type="dxa"/>
          <w:right w:w="28" w:type="dxa"/>
        </w:tblCellMar>
      </w:tblPr>
      <w:tblGrid>
        <w:gridCol w:w="1200"/>
        <w:gridCol w:w="1055"/>
        <w:gridCol w:w="1059"/>
        <w:gridCol w:w="824"/>
        <w:gridCol w:w="824"/>
        <w:gridCol w:w="1172"/>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242424"/>
                <w:sz w:val="20"/>
              </w:rPr>
            </w:pPr>
            <w:r>
              <w:rPr>
                <w:rFonts w:ascii="Times New Roman;sans-serif" w:hAnsi="Times New Roman;sans-serif"/>
                <w:b/>
                <w:color w:val="242424"/>
                <w:sz w:val="20"/>
              </w:rPr>
              <w:t>Year Ended December 31, 2023</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share of common stock (1)</w:t>
            </w:r>
          </w:p>
        </w:tc>
        <w:tc>
          <w:tcPr>
            <w:tcW w:w="2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$14.87</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 (2)</w:t>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1.5-4.5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Volatility (3)</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60.00%-60.60%</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(4)</w:t>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1.50%-2.75%</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16840"/>
                <wp:effectExtent l="0" t="0" r="0" b="0"/>
                <wp:wrapNone/>
                <wp:docPr id="132" name="Frame1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120</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Equal to closing value on the grant date.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Expected term of share options is based on the average of the vesting period and the contractual term for each grant.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Volatility is calculated based on the historical volatility of ACM in the period equal to the expected term of each grant.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Risk-free interest rate is based on the yields of RMB deposit in mainland China with maturities similar to the expected term of the share options in effect at the time of grant.</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options outstanding as of December 31, 2023 was $81,981.</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December 31, 2023, $79,882 of total unrecognized employee stock-based compensation expense, net of estimated forfeitures, related to ACM Shanghai stock-based awards were expected to be recognized over a weighted-average period of 2.1 years. Total recognized compensation cost may be adjusted for future changes in estimated forfeitures.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stock-based compensation expense included in the consolidated statements of comprehensive income (loss):</w:t>
      </w:r>
    </w:p>
    <w:tbl>
      <w:tblPr>
        <w:tblW w:w="6837" w:type="dxa"/>
        <w:jc w:val="left"/>
        <w:tblInd w:w="0" w:type="dxa"/>
        <w:tblLayout w:type="fixed"/>
        <w:tblCellMar>
          <w:top w:w="28" w:type="dxa"/>
          <w:left w:w="28" w:type="dxa"/>
          <w:bottom w:w="28" w:type="dxa"/>
          <w:right w:w="28" w:type="dxa"/>
        </w:tblCellMar>
      </w:tblPr>
      <w:tblGrid>
        <w:gridCol w:w="1168"/>
        <w:gridCol w:w="1026"/>
        <w:gridCol w:w="1031"/>
        <w:gridCol w:w="211"/>
        <w:gridCol w:w="721"/>
        <w:gridCol w:w="109"/>
        <w:gridCol w:w="109"/>
        <w:gridCol w:w="109"/>
        <w:gridCol w:w="109"/>
        <w:gridCol w:w="211"/>
        <w:gridCol w:w="616"/>
        <w:gridCol w:w="109"/>
        <w:gridCol w:w="109"/>
        <w:gridCol w:w="109"/>
        <w:gridCol w:w="109"/>
        <w:gridCol w:w="211"/>
        <w:gridCol w:w="61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 Expense:</w:t>
            </w:r>
          </w:p>
        </w:tc>
        <w:tc>
          <w:tcPr>
            <w:tcW w:w="361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75" w:type="dxa"/>
        <w:jc w:val="left"/>
        <w:tblInd w:w="0" w:type="dxa"/>
        <w:tblLayout w:type="fixed"/>
        <w:tblCellMar>
          <w:top w:w="28" w:type="dxa"/>
          <w:left w:w="28" w:type="dxa"/>
          <w:bottom w:w="28" w:type="dxa"/>
          <w:right w:w="28" w:type="dxa"/>
        </w:tblCellMar>
      </w:tblPr>
      <w:tblGrid>
        <w:gridCol w:w="1382"/>
        <w:gridCol w:w="1212"/>
        <w:gridCol w:w="1215"/>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109"/>
        <w:gridCol w:w="109"/>
        <w:gridCol w:w="154"/>
      </w:tblGrid>
      <w:tr>
        <w:trPr/>
        <w:tc>
          <w:tcPr>
            <w:tcW w:w="138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 expense by type:</w:t>
            </w:r>
          </w:p>
        </w:tc>
        <w:tc>
          <w:tcPr>
            <w:tcW w:w="356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option plan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Non-employee stock option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and 2023 Subsidiary stock option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19 –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represent the U.S. and foreign components of income before income tax for the years ended December 31, 2023, 2022 and 2021:</w:t>
      </w:r>
    </w:p>
    <w:tbl>
      <w:tblPr>
        <w:tblW w:w="6357" w:type="dxa"/>
        <w:jc w:val="left"/>
        <w:tblInd w:w="0" w:type="dxa"/>
        <w:tblLayout w:type="fixed"/>
        <w:tblCellMar>
          <w:top w:w="28" w:type="dxa"/>
          <w:left w:w="28" w:type="dxa"/>
          <w:bottom w:w="28" w:type="dxa"/>
          <w:right w:w="28" w:type="dxa"/>
        </w:tblCellMar>
      </w:tblPr>
      <w:tblGrid>
        <w:gridCol w:w="880"/>
        <w:gridCol w:w="774"/>
        <w:gridCol w:w="776"/>
        <w:gridCol w:w="211"/>
        <w:gridCol w:w="826"/>
        <w:gridCol w:w="109"/>
        <w:gridCol w:w="109"/>
        <w:gridCol w:w="109"/>
        <w:gridCol w:w="109"/>
        <w:gridCol w:w="211"/>
        <w:gridCol w:w="721"/>
        <w:gridCol w:w="109"/>
        <w:gridCol w:w="109"/>
        <w:gridCol w:w="109"/>
        <w:gridCol w:w="109"/>
        <w:gridCol w:w="211"/>
        <w:gridCol w:w="721"/>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before income taxes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6840"/>
                <wp:effectExtent l="0" t="0" r="0" b="0"/>
                <wp:wrapNone/>
                <wp:docPr id="133" name="Frame1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121</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represent components of the income tax benefit (expense) for the years ended December 31, 2023, 2022 and 2021:</w:t>
      </w:r>
    </w:p>
    <w:tbl>
      <w:tblPr>
        <w:tblW w:w="7211" w:type="dxa"/>
        <w:jc w:val="left"/>
        <w:tblInd w:w="0" w:type="dxa"/>
        <w:tblLayout w:type="fixed"/>
        <w:tblCellMar>
          <w:top w:w="28" w:type="dxa"/>
          <w:left w:w="28" w:type="dxa"/>
          <w:bottom w:w="28" w:type="dxa"/>
          <w:right w:w="28" w:type="dxa"/>
        </w:tblCellMar>
      </w:tblPr>
      <w:tblGrid>
        <w:gridCol w:w="1234"/>
        <w:gridCol w:w="1087"/>
        <w:gridCol w:w="1098"/>
        <w:gridCol w:w="211"/>
        <w:gridCol w:w="796"/>
        <w:gridCol w:w="109"/>
        <w:gridCol w:w="109"/>
        <w:gridCol w:w="109"/>
        <w:gridCol w:w="109"/>
        <w:gridCol w:w="211"/>
        <w:gridCol w:w="796"/>
        <w:gridCol w:w="109"/>
        <w:gridCol w:w="109"/>
        <w:gridCol w:w="109"/>
        <w:gridCol w:w="109"/>
        <w:gridCol w:w="211"/>
        <w:gridCol w:w="541"/>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U.S. current tax benefit (expense)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tax expense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U.S. deferred tax benefit (expense)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benefit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effects of temporary differences that give rise to significant portions of the Company’s deferred tax assets at December 31, 2023 and 2022 are presented below:</w:t>
      </w:r>
    </w:p>
    <w:tbl>
      <w:tblPr>
        <w:tblW w:w="8165" w:type="dxa"/>
        <w:jc w:val="left"/>
        <w:tblInd w:w="0" w:type="dxa"/>
        <w:tblLayout w:type="fixed"/>
        <w:tblCellMar>
          <w:top w:w="28" w:type="dxa"/>
          <w:left w:w="28" w:type="dxa"/>
          <w:bottom w:w="28" w:type="dxa"/>
          <w:right w:w="28" w:type="dxa"/>
        </w:tblCellMar>
      </w:tblPr>
      <w:tblGrid>
        <w:gridCol w:w="1991"/>
        <w:gridCol w:w="1746"/>
        <w:gridCol w:w="1752"/>
        <w:gridCol w:w="211"/>
        <w:gridCol w:w="721"/>
        <w:gridCol w:w="109"/>
        <w:gridCol w:w="109"/>
        <w:gridCol w:w="109"/>
        <w:gridCol w:w="109"/>
        <w:gridCol w:w="211"/>
        <w:gridCol w:w="616"/>
        <w:gridCol w:w="109"/>
        <w:gridCol w:w="109"/>
        <w:gridCol w:w="109"/>
        <w:gridCol w:w="154"/>
      </w:tblGrid>
      <w:tr>
        <w:trPr/>
        <w:tc>
          <w:tcPr>
            <w:tcW w:w="1991"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 forwards (offshore)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 forwards (U.S.) and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(offshore)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and other (offshore)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(offshore)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and unrealized gain on 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a partial valuation allowance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16840"/>
                <wp:effectExtent l="0" t="0" r="0" b="0"/>
                <wp:wrapNone/>
                <wp:docPr id="134" name="Frame1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122</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has been established against some net deferred tax assets as of December 31, 2023 and 2022, based on estimates of recoverability. In order to fully realize the deferred tax assets, the Company must generate sufficient taxable income in future periods before the expiration of the deferred tax assets governed by the tax code.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valuation allowances, respectively, of $29 and $49 for U.S. federal purposes, $279 and $277 for U.S. state purposes and $11,585 and $1,456 for mainland China income tax purposes.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net operating loss carry-forwards of, respectively, $3,121 and $4,385 for U.S. federal purposes, $593 and $545 for U.S. state purposes and $46,467 and $6,474 for mainland China income tax purposes. Such losses begin expiring in 2036, 2032 and 2025 for U.S. federal, U.S. state and mainland China income tax purposes,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provisions of the U.S. Internal Revenue Code (the “IRC”), a limitation applies to the use of the U.S. net operating loss and credit carry-forwards that would be applicable if ACM experiences an “ownership change,” as defined in IRC Section 382. ACM conducted an analysis of its stock ownership under IRC Section 382 and $3,121 of the net operating loss carryforwards are subject to annual limitation as a result of the ownership change in 2017. The net operating loss carryforwards are not expected to expire before utilization.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tax rate differs from statutory rates of 21% for U.S. federal income tax purposes and 12.5% to 25% for mainland China income tax purpose due to the effects of the valuation allowance and certain permanent differences as they pertain to book-tax differences in employee stock-based compensation and non-US research expense. A new requirement to capitalize and amortize previously deductible research and experimental expenses resulting from a change in Section 174 made by the Tax Cuts and Jobs Act of 2017 (the “TCJA”) became effective on January 1, 2022. Under the TCJA, the Company is required to capitalize, and subsequently amortize R&amp;D expenses over fifteen years for research activities conducted outside of the U.S. The capitalization of overseas R&amp;D expenses resulted in a significant increase in the Company’s global intangible low-taxed income inclusion beginning in 2022. Pursuant to the Corporate Income Tax Law of mainland China, all of the Company’s mainland China subsidiaries are liable to mainland China Corporate Income Taxes at a rate of 25%, except for ACM Shanghai and ACM Lingang. According to Guoshuihan 2009 No. 203, an entity certified as an “advanced and new technology enterprise” is entitled to a preferential income tax rate of 15%. ACM Shanghai was certified as an “advanced and new technology enterprise” in 2012 and again in 2016, 2018, and 2021, effective until December 31, 2023, and is expected to be re-certified for future years in 2024. In 2022, ACM Shanghai was certified as an eligible integrated circuit production enterprise and was entitled to a preferential income tax rate of 12.5% from January 1, 2020 to December 31, 2022. Certain entities which meet requirements according to the Policy of the Lingang New area in China (Shanghai) Pilot Free Trade Zone are entitled to a preferential income tax rate of 15%. ACM Lingang was certified for this in 2021, and this preferential income tax rate is valid from January 1, 2020 until December 31, 2024. The provision for mainland China corporate income tax for ACM Shanghai is calculated by applying the income tax rate of 15% for the year ended December 31, 2023 and 12.5% for the years ended December 31, 2022 and 2021.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for the years ended December 31, 2023, 2022 and 2021 differed from the amounts computed by applying the statutory U.S. federal income tax rate of 21% to pretax income as a result of the following:</w:t>
      </w:r>
    </w:p>
    <w:tbl>
      <w:tblPr>
        <w:tblW w:w="6785" w:type="dxa"/>
        <w:jc w:val="left"/>
        <w:tblInd w:w="0" w:type="dxa"/>
        <w:tblLayout w:type="fixed"/>
        <w:tblCellMar>
          <w:top w:w="28" w:type="dxa"/>
          <w:left w:w="28" w:type="dxa"/>
          <w:bottom w:w="28" w:type="dxa"/>
          <w:right w:w="28" w:type="dxa"/>
        </w:tblCellMar>
      </w:tblPr>
      <w:tblGrid>
        <w:gridCol w:w="1142"/>
        <w:gridCol w:w="1002"/>
        <w:gridCol w:w="1006"/>
        <w:gridCol w:w="344"/>
        <w:gridCol w:w="346"/>
        <w:gridCol w:w="294"/>
        <w:gridCol w:w="118"/>
        <w:gridCol w:w="118"/>
        <w:gridCol w:w="118"/>
        <w:gridCol w:w="308"/>
        <w:gridCol w:w="308"/>
        <w:gridCol w:w="294"/>
        <w:gridCol w:w="118"/>
        <w:gridCol w:w="118"/>
        <w:gridCol w:w="118"/>
        <w:gridCol w:w="344"/>
        <w:gridCol w:w="346"/>
        <w:gridCol w:w="343"/>
      </w:tblGrid>
      <w:tr>
        <w:trPr/>
        <w:tc>
          <w:tcPr>
            <w:tcW w:w="11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 reconciliation:</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at statutory rate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permanent difference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taxed in US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Research Expense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6840"/>
                <wp:effectExtent l="0" t="0" r="0" b="0"/>
                <wp:wrapNone/>
                <wp:docPr id="135" name="Frame1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123</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changes in the balance of gross unrecognized tax benefits, which excludes interest and penalties, for the years ended December 31, 2023 and 2022, were as follows:</w:t>
      </w:r>
    </w:p>
    <w:tbl>
      <w:tblPr>
        <w:tblW w:w="8562" w:type="dxa"/>
        <w:jc w:val="left"/>
        <w:tblInd w:w="0" w:type="dxa"/>
        <w:tblLayout w:type="fixed"/>
        <w:tblCellMar>
          <w:top w:w="28" w:type="dxa"/>
          <w:left w:w="28" w:type="dxa"/>
          <w:bottom w:w="28" w:type="dxa"/>
          <w:right w:w="28" w:type="dxa"/>
        </w:tblCellMar>
      </w:tblPr>
      <w:tblGrid>
        <w:gridCol w:w="1794"/>
        <w:gridCol w:w="1574"/>
        <w:gridCol w:w="1582"/>
        <w:gridCol w:w="211"/>
        <w:gridCol w:w="721"/>
        <w:gridCol w:w="109"/>
        <w:gridCol w:w="109"/>
        <w:gridCol w:w="109"/>
        <w:gridCol w:w="109"/>
        <w:gridCol w:w="211"/>
        <w:gridCol w:w="616"/>
        <w:gridCol w:w="109"/>
        <w:gridCol w:w="109"/>
        <w:gridCol w:w="109"/>
        <w:gridCol w:w="109"/>
        <w:gridCol w:w="211"/>
        <w:gridCol w:w="616"/>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of unrecognized tax benefits taken in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of unrecognized tax benefits related to current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related to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United States, state, and foreign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$13,026 and $8,448 of unrecognized tax benefits as of December 31, 2023 and 2022,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and penalties related to uncertain tax positions in income tax expense. As of December 31, 2023 and 2022, respectively, the Company had $1,667 and $508 of accrued penalties related to uncertain tax positions, all of which was recognized in the Company’s consolidated statements of comprehensive income (loss) for the year then ended. The amount of the unrecognized tax benefit that, if recognized, would impact the effective tax rate was $12,943 as of December 31, 2023. There were no ongoing examinations by taxing authorities as of December 31, 2023 or 2022.</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Tax Cuts and Jobs Act of 2017 (the "Tax Act"), the Company asserted that all unremitted earnings of its foreign subsidiaries were considered indefinitely reinvested. As a result of the Tax Act, the Company reported and paid U.S. tax on the majority of its previously unremitted foreign earnings, and repatriations of foreign earnings will generally be free of U.S. federal tax, but may incur other taxes such as withholding or state taxes. As of December 31, 2023, the Company has not made a provision for U.S. or additional foreign withholding taxes on approximately $130 million of undistributed earnings of its foreign subsidiaries that is indefinitely reinvested. Generally, such amounts become subject to U.S. taxation upon the remittance of dividends and under certain other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20 – SEGMENT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Company identifies operating segments according to how the business activities are managed and evaluated. </w:t>
      </w:r>
      <w:r>
        <w:rPr>
          <w:rFonts w:ascii="Times New Roman;sans-serif" w:hAnsi="Times New Roman;sans-serif"/>
          <w:b w:val="false"/>
          <w:color w:val="000000"/>
          <w:sz w:val="20"/>
        </w:rPr>
        <w:t>The Company’s chief operating decision maker (“CODM”) has been identified as ACM’s Chief Executive Officer. The Company's operating segments include ACM Research and ACM Shanghai.</w:t>
      </w:r>
      <w:r>
        <w:rPr>
          <w:color w:val="000000"/>
          <w:shd w:fill="FFFFFF" w:val="clear"/>
        </w:rPr>
        <w:t xml:space="preserve"> </w:t>
      </w:r>
      <w:r>
        <w:rPr>
          <w:rFonts w:ascii="Times New Roman;sans-serif" w:hAnsi="Times New Roman;sans-serif"/>
          <w:b w:val="false"/>
          <w:color w:val="000000"/>
          <w:sz w:val="20"/>
          <w:shd w:fill="FFFFFF" w:val="clear"/>
        </w:rPr>
        <w:t>As the Company</w:t>
      </w:r>
      <w:r>
        <w:rPr>
          <w:color w:val="000000"/>
        </w:rPr>
        <w:t xml:space="preserve"> </w:t>
      </w:r>
      <w:r>
        <w:rPr>
          <w:rFonts w:ascii="Times New Roman;sans-serif" w:hAnsi="Times New Roman;sans-serif"/>
          <w:b w:val="false"/>
          <w:color w:val="000000"/>
          <w:sz w:val="20"/>
        </w:rPr>
        <w:t xml:space="preserve">is engaged in the developing, manufacture and sale of capital equipment to global semiconductor manufacturers, and </w:t>
      </w:r>
      <w:r>
        <w:rPr>
          <w:rFonts w:ascii="Times New Roman;sans-serif" w:hAnsi="Times New Roman;sans-serif"/>
          <w:b w:val="false"/>
          <w:color w:val="000000"/>
          <w:sz w:val="20"/>
          <w:shd w:fill="FFFFFF" w:val="clear"/>
        </w:rPr>
        <w:t>each of the operating segments share similar economic and other qualitative characteristics, the results of the Company’s operating segments are aggregated into one reportable segment.</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geographical reporting, revenue by geographic location is determined by the location of customers’ facilities to which products were shipped. Long-lived assets consist primarily of property, plant and equipment, other long-term assets,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16840"/>
                <wp:effectExtent l="0" t="0" r="0" b="0"/>
                <wp:wrapNone/>
                <wp:docPr id="136" name="Frame1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124</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right-of-use assets and are attributed to the geographic location in which they are located. Long-lived assets by geographic region as of the years ended were as follows:</w:t>
      </w:r>
    </w:p>
    <w:tbl>
      <w:tblPr>
        <w:tblW w:w="5468" w:type="dxa"/>
        <w:jc w:val="left"/>
        <w:tblInd w:w="0" w:type="dxa"/>
        <w:tblLayout w:type="fixed"/>
        <w:tblCellMar>
          <w:top w:w="28" w:type="dxa"/>
          <w:left w:w="28" w:type="dxa"/>
          <w:bottom w:w="28" w:type="dxa"/>
          <w:right w:w="28" w:type="dxa"/>
        </w:tblCellMar>
      </w:tblPr>
      <w:tblGrid>
        <w:gridCol w:w="1004"/>
        <w:gridCol w:w="884"/>
        <w:gridCol w:w="886"/>
        <w:gridCol w:w="211"/>
        <w:gridCol w:w="841"/>
        <w:gridCol w:w="109"/>
        <w:gridCol w:w="109"/>
        <w:gridCol w:w="109"/>
        <w:gridCol w:w="109"/>
        <w:gridCol w:w="211"/>
        <w:gridCol w:w="841"/>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by geography:</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223,191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144,321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21 – COMMITMENTS AND CONTINGENCIES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offices and manufacturing locations under non-cancelable operating lease agreements. See note 11 for future minimum lease payments under non-cancelable operating lease agreements with initial terms of one year or more.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$30,936 of open commitments to construction contracts and had additional $7,413 of capital investment commitments.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Covenants in ACM Shengwei’s Grant Contract for State-owned Construction Land Use Right in Shanghai City (Category of R&amp;D Headquarters and Industrial Projects) with the China (Shanghai) Pilot Free Trade Zone Lingang Special Area Administration require, among other things, that ACM Shengwei pay liquidated damages in the event that (a) it does not make a total investment (including the costs of construction, fixtures, equipment and grant fees) of at least RMB 450.0 million ($63,400) or (b) within six years after the land use right is obtained, the Company does not (i) generate a minimum specified amount of annual sales of products manufactured on the granted land or (ii) pay to mainland China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the Company had incurred in total $116,932 and $35,376, respectively for its Lingang-related investments. The Construction Completion Milestone was required to be met by January 9, 2024 but was not achieved. However, ACM Lingang believes it will receive the refund without penalty based on its explanation to the respective regulatory authorities of logistics-related delays, and expectations that it will meet the milestone before July 9, 2024. The Company cannot guarantee that ACM Lingang will achieve the missed milestone in 2024, or even if it does achieve the milestone in 2024, that it will be refunded some or all of the 20% portion of the performance deposit of RMB 2.5 million ($0.4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unascertainable damages.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has evaluated all such proceedings and claims that existed as of December 31, 2023 and 2022. In the opinion of management, no provision for liability nor disclosure was required as of December 31, 2023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no outstanding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22 – PARENT COMPANY ONLY CONDENSED FINANCIAL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a test on the restricted net assets of consolidated subsidiaries in accordance with Rule 4-08(e)(3) of Regulation S-X of the SEC and concluded that it was applicable for the Company to disclose the financial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16840"/>
                <wp:effectExtent l="0" t="0" r="0" b="0"/>
                <wp:wrapNone/>
                <wp:docPr id="137" name="Frame1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125</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ACM only. Certain information and footnote disclosures generally included in financial statements prepared in accordance with GAAP have been condensed or omitted. The footnote disclosure contains supplemental information relating to the operations of ACM separately.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Shanghai paid a dividend to ACM during the year ended December 31, 2023 (Note 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for long-term obligations, or guarantees, and loan borrowed by ACM Inc. from CITIC. (note 12), ACM does not have significant capital or other commitments, as of December 31, 2023 or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condensed unconsolidated financial information of ACM only as of December 31, 2023 and 2022, and for the years ended December 31, 2023, 2022 and 2021:</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CONDENSED BALANCE SHEETS</w:t>
      </w:r>
    </w:p>
    <w:tbl>
      <w:tblPr>
        <w:tblW w:w="8334" w:type="dxa"/>
        <w:jc w:val="left"/>
        <w:tblInd w:w="0" w:type="dxa"/>
        <w:tblLayout w:type="fixed"/>
        <w:tblCellMar>
          <w:top w:w="28" w:type="dxa"/>
          <w:left w:w="28" w:type="dxa"/>
          <w:bottom w:w="28" w:type="dxa"/>
          <w:right w:w="28" w:type="dxa"/>
        </w:tblCellMar>
      </w:tblPr>
      <w:tblGrid>
        <w:gridCol w:w="2043"/>
        <w:gridCol w:w="1803"/>
        <w:gridCol w:w="1824"/>
        <w:gridCol w:w="211"/>
        <w:gridCol w:w="826"/>
        <w:gridCol w:w="109"/>
        <w:gridCol w:w="109"/>
        <w:gridCol w:w="109"/>
        <w:gridCol w:w="109"/>
        <w:gridCol w:w="211"/>
        <w:gridCol w:w="826"/>
        <w:gridCol w:w="154"/>
      </w:tblGrid>
      <w:tr>
        <w:trPr/>
        <w:tc>
          <w:tcPr>
            <w:tcW w:w="204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intercompany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in consolidated subsidiaries and equity method investee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borrowings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FIN-48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16840"/>
                <wp:effectExtent l="0" t="0" r="0" b="0"/>
                <wp:wrapNone/>
                <wp:docPr id="138" name="Frame1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126</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CONDENSED STATEMENTS OF OPERATIONS</w:t>
      </w:r>
    </w:p>
    <w:tbl>
      <w:tblPr>
        <w:tblW w:w="10121" w:type="dxa"/>
        <w:jc w:val="left"/>
        <w:tblInd w:w="0" w:type="dxa"/>
        <w:tblLayout w:type="fixed"/>
        <w:tblCellMar>
          <w:top w:w="28" w:type="dxa"/>
          <w:left w:w="28" w:type="dxa"/>
          <w:bottom w:w="28" w:type="dxa"/>
          <w:right w:w="28" w:type="dxa"/>
        </w:tblCellMar>
      </w:tblPr>
      <w:tblGrid>
        <w:gridCol w:w="2277"/>
        <w:gridCol w:w="2008"/>
        <w:gridCol w:w="2014"/>
        <w:gridCol w:w="211"/>
        <w:gridCol w:w="721"/>
        <w:gridCol w:w="109"/>
        <w:gridCol w:w="109"/>
        <w:gridCol w:w="109"/>
        <w:gridCol w:w="109"/>
        <w:gridCol w:w="211"/>
        <w:gridCol w:w="721"/>
        <w:gridCol w:w="109"/>
        <w:gridCol w:w="109"/>
        <w:gridCol w:w="109"/>
        <w:gridCol w:w="109"/>
        <w:gridCol w:w="211"/>
        <w:gridCol w:w="721"/>
        <w:gridCol w:w="154"/>
      </w:tblGrid>
      <w:tr>
        <w:trPr/>
        <w:tc>
          <w:tcPr>
            <w:tcW w:w="2277"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consolidated subsidiaries and equity method investees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CONDENSED STATEMENTS OF CASH FLOWS</w:t>
      </w:r>
    </w:p>
    <w:tbl>
      <w:tblPr>
        <w:tblW w:w="8142" w:type="dxa"/>
        <w:jc w:val="left"/>
        <w:tblInd w:w="0" w:type="dxa"/>
        <w:tblLayout w:type="fixed"/>
        <w:tblCellMar>
          <w:top w:w="28" w:type="dxa"/>
          <w:left w:w="28" w:type="dxa"/>
          <w:bottom w:w="28" w:type="dxa"/>
          <w:right w:w="28" w:type="dxa"/>
        </w:tblCellMar>
      </w:tblPr>
      <w:tblGrid>
        <w:gridCol w:w="1562"/>
        <w:gridCol w:w="1374"/>
        <w:gridCol w:w="1384"/>
        <w:gridCol w:w="211"/>
        <w:gridCol w:w="721"/>
        <w:gridCol w:w="109"/>
        <w:gridCol w:w="109"/>
        <w:gridCol w:w="109"/>
        <w:gridCol w:w="109"/>
        <w:gridCol w:w="211"/>
        <w:gridCol w:w="721"/>
        <w:gridCol w:w="109"/>
        <w:gridCol w:w="109"/>
        <w:gridCol w:w="109"/>
        <w:gridCol w:w="109"/>
        <w:gridCol w:w="211"/>
        <w:gridCol w:w="721"/>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Dismissal of Previous Independent Registered Public Accounting Firm</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2023, we were informed by Armanino that it would resign as our independent auditor effective as of the earlier of (a) the date we engaged a new independent registered public accounting firm or (b) the filing of our Quarterly Report on Form 10-Q for the fiscal quarter ended September 30, 2023. Armanino advised us that its decision to resign was due to Armanino’s decision to exit from the practice of providing financial statement audit services to all public companies. Armanino is not required to and did not seek our consent to its decision to resign as our independent registered public accounting firm. As a result, neither our Board of Directors nor the Audit Committee participated in Armanino’s decision to resign.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Armanino’s determination, the Audit Committee initiated a process to select and appoint a new accounting firm to serve as our independent registered public accountant commencing with the audit of our financial statements for the fiscal year ended December 31, 2023.</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Armanino’s audit report on our consolidated financial statements as of and for the year ended December 31, 2022 did not contain an adverse opinion or a disclaimer of opinion, and was not qualified or modified as to uncertainty, audit scope or accounting principles. Armanino was first appointed as our independent registered public accountant for the fiscal year ended December 31, 2022, and did not audit our financial statements for the fiscal year ended December 31, 2021 or any prior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16840"/>
                <wp:effectExtent l="0" t="0" r="0" b="0"/>
                <wp:wrapNone/>
                <wp:docPr id="139" name="Frame1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127</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disclosed in this report and in our Annual Report on Form 10-K for the fiscal year ended December 31, 2022, Armanino issued an adverse opinion on our internal control over financial reporting for the fiscal year ended December 31, 2022, as a result of material weaknesses identified by Armanino and our management. There were not any disagreements or differences of opinion between Armanino and us with respect to these material weaknesses or Armanino’s adverse opinion on our internal control over financial reporting.</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During the year ended December 31, 2022, </w:t>
      </w:r>
      <w:r>
        <w:rPr>
          <w:rFonts w:ascii="Times New Roman;sans-serif" w:hAnsi="Times New Roman;sans-serif"/>
          <w:b w:val="false"/>
          <w:color w:val="000000"/>
          <w:sz w:val="20"/>
          <w:shd w:fill="FFFFFF" w:val="clear"/>
        </w:rPr>
        <w:t xml:space="preserve">and through the date of Armanino’s notification of resignation, </w:t>
      </w:r>
      <w:r>
        <w:rPr>
          <w:rFonts w:ascii="Times New Roman;sans-serif" w:hAnsi="Times New Roman;sans-serif"/>
          <w:b w:val="false"/>
          <w:color w:val="000000"/>
          <w:sz w:val="20"/>
        </w:rPr>
        <w:t>there were no (a) disagreements with Armanino on any matter of accounting principles or practices, financial statement disclosure, or auditing scope or procedure, which disagreements, if not resolved to Armanino’s satisfaction, would have caused Armanino to make reference to the subject matter thereof in connection with its reports for such periods; or (b) except as described in the preceding paragraph, reportable events, as described under Item 304(a)(1)(v) of Regulation S-K.</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provided a copy of the foregoing disclosures to Armanino and requested that Armanino furnish us with a letter addressed to the SEC, pursuant to Item 304(a)(3) of Regulation S-K, stating whether or not Armanino agreed with the above disclosures. A copy of Armanino’s letter dated July 27, 2023 furnished pursuant to that request is filed as Exhibit 16.01.</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Engagement of New Independent Registered Public Accounting Firm</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On September 14, 2023, the Audit Committee completed a competitive selection process to select and appoint a new accounting firm to serve as our independent registered public accounting firm commencing with the audit of our financial statements for the fiscal year ended December 31, 2023. As a result of this process, the Audit Committee approved the engagement of Ernst &amp; Young Hua Ming LLP as our independent registered public accounting firm for the fiscal year ended December 31, 2023. </w:t>
      </w:r>
      <w:r>
        <w:rPr>
          <w:rFonts w:ascii="Times New Roman;sans-serif" w:hAnsi="Times New Roman;sans-serif"/>
          <w:b w:val="false"/>
          <w:color w:val="000000"/>
          <w:sz w:val="20"/>
          <w:shd w:fill="FFFFFF" w:val="clear"/>
        </w:rPr>
        <w:t xml:space="preserve">The engagement of </w:t>
      </w:r>
      <w:r>
        <w:rPr>
          <w:rFonts w:ascii="Times New Roman;sans-serif" w:hAnsi="Times New Roman;sans-serif"/>
          <w:b w:val="false"/>
          <w:color w:val="000000"/>
          <w:sz w:val="20"/>
        </w:rPr>
        <w:t>Ernst &amp; Young Hua Ming LLP</w:t>
      </w:r>
      <w:r>
        <w:rPr>
          <w:color w:val="000000"/>
          <w:shd w:fill="FFFFFF" w:val="clear"/>
        </w:rPr>
        <w:t xml:space="preserve"> </w:t>
      </w:r>
      <w:r>
        <w:rPr>
          <w:rFonts w:ascii="Times New Roman;sans-serif" w:hAnsi="Times New Roman;sans-serif"/>
          <w:b w:val="false"/>
          <w:color w:val="000000"/>
          <w:sz w:val="20"/>
          <w:shd w:fill="FFFFFF" w:val="clear"/>
        </w:rPr>
        <w:t>became effective on September 20, 2023.</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years ended December 31, 2022 and 2021 and the subsequent interim period from January 1, 2023 through September 20, 2023, neither we nor anyone on our behalf consulted with Ernst &amp; Young Hua Ming LLP regarding either: (a) the application of accounting principles to a specified transaction, either completed or proposed, or the type of audit opinion that might be rendered on our financial statements, and no written report or oral advice was provided to us that Ernst &amp; Young Hua Ming LLP concluded was an important factor considered by us in reaching a decision as to any accounting, auditing or financial reporting issue; or (b) any matter that was either the subject of a “disagreement” or a “reportable event”, as such terms are defined in Items 304(a)(1)(iv) and (v), respectively, of Regulation S</w:t>
        <w:noBreakHyphen/>
        <w:t>K and the related instructions.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our Current Report on Form 8-K filed on July 27, 2023, Armanino informed us that it would resign as our independent registered public accounting firm effective as of the earlier of (a) the date we engaged a new independent registered public accounting firm or (b) the filing of our Quarterly Report on Form 10-Q for the fiscal quarter ended September 30, 2023, as a result of Armanino’s decision to exit from the practice of providing financial statement audit services to all public companies. As a result, Armanino ceased to serve as our independent registered public accounting firm effective as of September 20, 2023.</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provided a copy of the foregoing disclosures to Armanino and requested that Armanino furnish us with a letter addressed to the SEC, pursuant to Item 304(a)(3) of Regulation S-K, stating whether or not Armanino agreed with the above disclosures. A copy of Armanino’s letter dated September 26, 2023 furnished pursuant to that request is filed as Exhibit 16.02.</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9A.    Controls and Procedures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Chief Financial Officer, evaluated the effectiveness of our disclosure controls and procedures pursuant to Rule 13a-15 under the Securities Exchange Act of 1934, as amended (the “Exchange Act”). In designing and evaluating the disclosure controls and procedures, our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16840"/>
                <wp:effectExtent l="0" t="0" r="0" b="0"/>
                <wp:wrapNone/>
                <wp:docPr id="140" name="Frame1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128</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this evaluation, our Chief Executive Officer and our Chief Financial Officer concluded that, as of December 31, 2023, our disclosure controls and procedures were designed at a reasonable assurance level and were effective to provide reasonable assurance that the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our Chief Financial Officer, as appropriate, to allow timely decisions regarding required disclosures.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and Chief Financial Officer, we conducted an evaluation of the effectiveness of our internal control over financial reporting based on criteria established in Internal Control – Integrated Framework (2013) issued by the Committee of Sponsoring Organizations of the Treadway Commission (“COSO”). Our management concluded that our internal control over financial reporting was effective as of December 31, 2023.</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Attestation Report of Independent Registered Public Accounting Firm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2023 has been tested by Ernst &amp; Young Hua Ming LLP, our independent registered public accounting firm, as stated in their report which is included in Part II, Item 8 of this report.</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Remediation of Previously Reported Material Weaknesses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reported in our Forms 10-Q for the quarters ended March 31, 2023, June 30, 2023 and September 30, 2023, and our Annual Report on Form 10-K for the year ended December 31, 2022, we previously identified the following material weaknesses in internal control over financial reporting: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Management did not design and maintain effective risk assessment procedures, and monitoring activities. These deficiencies were attributed to insufficient identification and assessment of risks impacting the design, implementation, and operating effectiveness of internal control over financial reporting, and insufficient evaluation and determination as to whether components of internal control were present and functioning; and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Management did not design and maintain effective information technology controls related to (a) user access controls to ensure appropriate segregation of duties and adequately restrict user and privileged access to financial applications, programs, and data to appropriate personnel, (b) computer operations controls to ensure that critical information is monitored, and data backups are authorized and monitored, (c) appropriate controls to evaluate automated controls, and (d) appropriate controls to validate the completeness and accuracy of key reports used within controls across substantially all financial statement areas.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did not result in any material misstatement of our consolidated financial statements as of and for the year ended December 31, 2022. Our management, under the oversight of the Audit Committee, has implemented the following remediation steps to address previously disclosed material weaknesses and to improve our internal control over financial reporting: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Engaged a third-party Sarbanes-Oxley (“SOX”) compliance firm to assist management with (i) designing and maintaining effective risk assessment procedures and monitoring activities, (ii) reviewing our current processes, procedures, and systems and assessing the design of controls to identify opportunities to enhance the design of controls that would address relevant risks identified by management to assure the operating effectiveness of internal control over financial reporting, and (iii) enhancing and implementing protocols to retain sufficient documentary evidence of operating effectiveness of such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16840"/>
                <wp:effectExtent l="0" t="0" r="0" b="0"/>
                <wp:wrapNone/>
                <wp:docPr id="141" name="Frame1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129</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Recruited qualified individuals for key positions within our internal audit, IT, and other support functions that have enhanced internal control capabilities, promoted segregation of duties, and provided appropriate oversight and reviews.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Developed and delivered internal control training to management and finance/accounting personnel, focusing on a review of management and individual roles and responsibilities related to internal control over financial reporting.</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Restricted and monitored user access controls to ensure appropriate segregation of duties and adequately restricted user and privileged access of applications, programs, and data to appropriate personnel; implemented computer operations controls to ensure that critical information is monitored, and data backups are authorized and monitored; established appropriate controls to evaluate automated controls; and designed and monitored appropriate controls to validate the completeness and accuracy of key reports used within controls across substantially all financial statement areas.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2023, we completed our testing of the operating effectiveness of internal controls impacted by these remediation efforts and determined that as a result of the measures described above, the material weaknesses have been remediated as of December 31,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in connection with the remediation process described above, no change in our internal control over financial reporting (as defined in Rules 13a-15(f) and 15d-15(f) under the Exchange Act) occurred during the most recent fiscal quarter that has materially affected, or is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December 13, 2023, Sotheara Cheav, Senior Vice President, Manufacturing of ACM Shanghai, adopted a Rule 10b5-1 trading arrangement, or the Cheav Plan, that is intended to satisfy the affirmative defense of Rule 10b5-1(c) of the Exchange Act. The Cheav Plan allows for the sale of up to 10,000 shares of Class A common stock, at specific market prices, commencing on the later of March 13, 2024 or the third business day following the disclosure of the Issuer’s financial results for the completed fiscal quarter in which the Cheav Plan was adopted, and continuing until (i) all such shares are sold, (ii) December 4, 2024, or (iii) such date that the Cheav Plan is otherwise terminated according to its terms, whichever comes first.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9C.    Disclosure Regarding Foreign Jurisdictions that Prevent Inspections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(a)ACM Research was identified by the SEC pursuant to Section 104(i)(2)(A) of the Sarbanes-Oxley Act of 2002 (15 U.S.C. 7214(i)(2)(A)) as having retained, for the preparation of the audit report on its financial statements included in its Annual Report on Form 10-K for the year ended December 31, 2021, a registered public accounting firm that has a branch or office that is located in a foreign jurisdiction and that the PCAOB had then determined it was unable to inspect or investigate completely because of a position taken by an authority in the foreign jurisdiction, which determination was vacated by the PCAOB on December 15, 2022. ACM Research herein confirms that it is not owned or controlled by any governmental entity in such foreign jurisdiction.</w:t>
      </w:r>
    </w:p>
    <w:p>
      <w:pPr>
        <w:pStyle w:val="TextBody"/>
        <w:bidi w:val="0"/>
        <w:spacing w:lineRule="auto" w:line="288" w:before="240" w:after="283"/>
        <w:ind w:left="0" w:right="0" w:hanging="27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Information responsive to this item is incorporated herein by reference to our definitive proxy statement with respect to our 2024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Information responsive to this item is incorporated herein by reference to our definitive proxy statement with respect to our 2024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16840"/>
                <wp:effectExtent l="0" t="0" r="0" b="0"/>
                <wp:wrapNone/>
                <wp:docPr id="142" name="Frame1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130</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Information responsive to this item is incorporated herein by reference to our definitive proxy statement with respect to our 2024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Information responsive to this item is incorporated herein by reference to our definitive proxy statement with respect to our 2024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Item14.     Principal Accounting Fees and Services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Information responsive to this item is incorporated herein by reference to our definitive proxy statement with respect to our 2024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240" w:after="283"/>
        <w:jc w:val="both"/>
        <w:rPr/>
      </w:pPr>
      <w:r>
        <w:rPr>
          <w:rFonts w:ascii="Times New Roman;sans-serif" w:hAnsi="Times New Roman;sans-serif"/>
          <w:b w:val="false"/>
          <w:color w:val="000000"/>
          <w:sz w:val="20"/>
        </w:rPr>
        <w:t>(a)</w:t>
      </w:r>
      <w:r>
        <w:rPr>
          <w:rFonts w:ascii="Times New Roman;sans-serif" w:hAnsi="Times New Roman;sans-serif"/>
          <w:b w:val="false"/>
          <w:color w:val="000000"/>
          <w:sz w:val="20"/>
          <w:shd w:fill="FFFFFF" w:val="clear"/>
        </w:rPr>
        <w:t>See “Item 8. Financial Statements and Supplementary Data – Index to Consolidated Financial Statements” of Part II above and “Exhibit Index” below.</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(b)</w:t>
      </w:r>
      <w:r>
        <w:rPr>
          <w:rFonts w:ascii="Times New Roman;sans-serif" w:hAnsi="Times New Roman;sans-serif"/>
          <w:b w:val="false"/>
          <w:color w:val="000000"/>
          <w:sz w:val="20"/>
          <w:shd w:fill="FFFFFF" w:val="clear"/>
        </w:rPr>
        <w:t>Exhibits.</w:t>
      </w:r>
    </w:p>
    <w:tbl>
      <w:tblPr>
        <w:tblW w:w="10205" w:type="dxa"/>
        <w:jc w:val="left"/>
        <w:tblInd w:w="0" w:type="dxa"/>
        <w:tblLayout w:type="fixed"/>
        <w:tblCellMar>
          <w:top w:w="28" w:type="dxa"/>
          <w:left w:w="28" w:type="dxa"/>
          <w:bottom w:w="28" w:type="dxa"/>
          <w:right w:w="28" w:type="dxa"/>
        </w:tblCellMar>
      </w:tblPr>
      <w:tblGrid>
        <w:gridCol w:w="278"/>
        <w:gridCol w:w="245"/>
        <w:gridCol w:w="246"/>
        <w:gridCol w:w="109"/>
        <w:gridCol w:w="109"/>
        <w:gridCol w:w="109"/>
        <w:gridCol w:w="2664"/>
        <w:gridCol w:w="2654"/>
        <w:gridCol w:w="3791"/>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6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both"/>
              <w:rPr/>
            </w:pPr>
            <w:hyperlink r:id="rId14">
              <w:r>
                <w:rPr>
                  <w:rStyle w:val="InternetLink"/>
                  <w:rFonts w:ascii="Times New Roman;sans-serif" w:hAnsi="Times New Roman;sans-serif"/>
                  <w:b w:val="false"/>
                  <w:color w:val="0000EF"/>
                  <w:sz w:val="20"/>
                  <w:u w:val="single"/>
                  <w:shd w:fill="CCEEFF" w:val="clear"/>
                </w:rPr>
                <w:t>3.01(a)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Restated Certificate of Incorporation of ACM Research, Inc. (incorporated herein by reference to Exhibit 3.01 to the Current Report on Form 8-K filed on November 14, 2017)</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15">
              <w:r>
                <w:rPr>
                  <w:rStyle w:val="InternetLink"/>
                  <w:rFonts w:ascii="Times New Roman;sans-serif" w:hAnsi="Times New Roman;sans-serif"/>
                  <w:b w:val="false"/>
                  <w:color w:val="0000EF"/>
                  <w:sz w:val="20"/>
                  <w:u w:val="single"/>
                </w:rPr>
                <w:t>3.01(b)</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Certificate of Amendment to Restated Certificate of Incorporation of ACM Research, Inc., dated July 13, 2021 (incorporated herein by reference to Exhibit 3.01 to the Current Report filed on July 13, 2021)</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16">
              <w:r>
                <w:rPr>
                  <w:rStyle w:val="InternetLink"/>
                  <w:rFonts w:ascii="Times New Roman;sans-serif" w:hAnsi="Times New Roman;sans-serif"/>
                  <w:b w:val="false"/>
                  <w:color w:val="0000FF"/>
                  <w:sz w:val="20"/>
                  <w:u w:val="single"/>
                </w:rPr>
                <w:t>3.02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Restated Bylaws of ACM Research, Inc. (incorporated herein by reference to Exhibit 3.02 to the Current Report on Form 8-K filed on November 14, 2017)</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17">
              <w:r>
                <w:rPr>
                  <w:rStyle w:val="InternetLink"/>
                  <w:rFonts w:ascii="Times New Roman;sans-serif" w:hAnsi="Times New Roman;sans-serif"/>
                  <w:b w:val="false"/>
                  <w:color w:val="0000FF"/>
                  <w:sz w:val="20"/>
                  <w:u w:val="single"/>
                </w:rPr>
                <w:t>4.01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Secured Promissory Note dated March 30, 2018 issued by Shengxin (Shanghai) Management Consulting Limited Partnership to ACM Research (Shanghai), Inc. (incorporated herein by reference to Exhibit 10.03 to the Quarterly Report on Form 10-Q filed on May 14, 2018)</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18">
              <w:r>
                <w:rPr>
                  <w:rStyle w:val="InternetLink"/>
                  <w:rFonts w:ascii="Times New Roman;sans-serif" w:hAnsi="Times New Roman;sans-serif"/>
                  <w:b w:val="false"/>
                  <w:color w:val="0000FF"/>
                  <w:sz w:val="20"/>
                  <w:u w:val="single"/>
                </w:rPr>
                <w:t>4.02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Intercompany Promissory Note dated March 30, 2018 issued by ACM Research (Shanghai), Inc. to ACM Research, Inc. (incorporated herein by reference to Exhibit 10.04 to the Quarterly Report on Form 10-Q filed on May 14, 2018)</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19">
              <w:r>
                <w:rPr>
                  <w:rStyle w:val="InternetLink"/>
                  <w:rFonts w:ascii="Times New Roman;sans-serif" w:hAnsi="Times New Roman;sans-serif"/>
                  <w:b w:val="false"/>
                  <w:color w:val="0000FF"/>
                  <w:sz w:val="20"/>
                  <w:u w:val="single"/>
                </w:rPr>
                <w:t>4.03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Warrant Exercise Agreement dated March 30, 2018 by and among ACM Research, Inc., ACM Research (Shanghai), Inc., and Shengxin (Shanghai) Management Consulting Limited Partnership (incorporated herein by reference to Exhibit 10.02 to the Quarterly Report on Form 10-Q filed on May 14, 2018)</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20">
              <w:r>
                <w:rPr>
                  <w:rStyle w:val="InternetLink"/>
                  <w:rFonts w:ascii="Times New Roman;sans-serif" w:hAnsi="Times New Roman;sans-serif"/>
                  <w:b w:val="false"/>
                  <w:color w:val="0000EF"/>
                  <w:sz w:val="20"/>
                  <w:u w:val="single"/>
                  <w:shd w:fill="CCEEFF" w:val="clear"/>
                </w:rPr>
                <w:t>4.04‡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Warrant to Purchase Class A Common Stock issued to Shengxin (Shanghai) Management Consulting Limited Partnership dated July 29, 2020 (incorporated herein by reference to Exhibit 4.01 to the Quarterly Report on Form 10-Q filed on August 10, 2020)</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w:anchor="acm10-kexx4052023.htm">
              <w:r>
                <w:rPr>
                  <w:rStyle w:val="InternetLink"/>
                  <w:rFonts w:ascii="Times New Roman;sans-serif" w:hAnsi="Times New Roman;sans-serif"/>
                  <w:b w:val="false"/>
                  <w:color w:val="0000FF"/>
                  <w:sz w:val="20"/>
                  <w:u w:val="single"/>
                </w:rPr>
                <w:t>4.05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Description of ACM Research, Inc.’s Securities</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21">
              <w:r>
                <w:rPr>
                  <w:rStyle w:val="InternetLink"/>
                  <w:rFonts w:ascii="Times New Roman;sans-serif" w:hAnsi="Times New Roman;sans-serif"/>
                  <w:b w:val="false"/>
                  <w:color w:val="0000EF"/>
                  <w:sz w:val="20"/>
                  <w:u w:val="single"/>
                  <w:shd w:fill="CCEEFF" w:val="clear"/>
                </w:rPr>
                <w:t>10.01(a)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dated March 22, 2017 between ACM Research, Inc. and D&amp;J Construction, Inc. (incorporated herein by reference to Exhibit 10.01 to the Registration Statement on Form S-1 filed on September 13, 2017)</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22">
              <w:r>
                <w:rPr>
                  <w:rStyle w:val="InternetLink"/>
                  <w:rFonts w:ascii="Times New Roman;sans-serif" w:hAnsi="Times New Roman;sans-serif"/>
                  <w:b w:val="false"/>
                  <w:color w:val="0000EF"/>
                  <w:sz w:val="20"/>
                  <w:u w:val="single"/>
                </w:rPr>
                <w:t>10.01(b)</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Amendment dated February 28, 2018 between ACM Research, Inc. and D&amp;J Construction, Inc. (incorporated herein by reference to Exhibit 10.06 to the Amended Quarterly Report on Form 10-Q/A filed on October 15, 2018)</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23">
              <w:r>
                <w:rPr>
                  <w:rStyle w:val="InternetLink"/>
                  <w:rFonts w:ascii="Times New Roman;sans-serif" w:hAnsi="Times New Roman;sans-serif"/>
                  <w:b w:val="false"/>
                  <w:color w:val="0000EF"/>
                  <w:sz w:val="20"/>
                  <w:u w:val="single"/>
                  <w:shd w:fill="CCEEFF" w:val="clear"/>
                </w:rPr>
                <w:t>10.01(c)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Amendment dated February 4, 2019 between ACM Research, Inc. and D&amp;J Construction, Inc. (incorporated herein by reference to Exhibit 10.1 to the Current Report on Form 8-K filed on February 8, 2019)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6840"/>
                <wp:effectExtent l="0" t="0" r="0" b="0"/>
                <wp:wrapNone/>
                <wp:docPr id="143" name="Frame1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w:t>
                      </w:r>
                    </w:p>
                  </w:txbxContent>
                </v:textbox>
                <w10:wrap type="none"/>
              </v:rect>
            </w:pict>
          </mc:Fallback>
        </mc:AlternateContent>
      </w:r>
    </w:p>
    <w:p>
      <w:pPr>
        <w:pStyle w:val="TextBody"/>
        <w:bidi w:val="0"/>
        <w:spacing w:lineRule="auto" w:line="276" w:before="0" w:after="0"/>
        <w:jc w:val="left"/>
        <w:rPr/>
      </w:pPr>
      <w:hyperlink w:anchor="i331e2a52ea3c48e999a1ab1df704a5e6_7">
        <w:r>
          <w:rPr>
            <w:rStyle w:val="InternetLink"/>
          </w:rPr>
          <w:t xml:space="preserve">Table of </w:t>
        </w:r>
      </w:hyperlink>
      <w:hyperlink w:anchor="i331e2a52ea3c48e999a1ab1df704a5e6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48"/>
        <w:gridCol w:w="217"/>
        <w:gridCol w:w="219"/>
        <w:gridCol w:w="109"/>
        <w:gridCol w:w="109"/>
        <w:gridCol w:w="109"/>
        <w:gridCol w:w="2735"/>
        <w:gridCol w:w="2671"/>
        <w:gridCol w:w="3788"/>
      </w:tblGrid>
      <w:tr>
        <w:trPr/>
        <w:tc>
          <w:tcPr>
            <w:tcW w:w="2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88" w:type="dxa"/>
            <w:tcBorders/>
            <w:vAlign w:val="center"/>
          </w:tcPr>
          <w:p>
            <w:pPr>
              <w:pStyle w:val="TableContents"/>
              <w:bidi w:val="0"/>
              <w:spacing w:before="0" w:after="283"/>
              <w:jc w:val="left"/>
              <w:rPr>
                <w:sz w:val="4"/>
                <w:szCs w:val="4"/>
              </w:rPr>
            </w:pPr>
            <w:r>
              <w:rPr>
                <w:sz w:val="4"/>
                <w:szCs w:val="4"/>
              </w:rPr>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24">
              <w:r>
                <w:rPr>
                  <w:rStyle w:val="InternetLink"/>
                  <w:rFonts w:ascii="Times New Roman;sans-serif" w:hAnsi="Times New Roman;sans-serif"/>
                  <w:b w:val="false"/>
                  <w:color w:val="0000EF"/>
                  <w:sz w:val="20"/>
                  <w:u w:val="single"/>
                </w:rPr>
                <w:t>10.01(d)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Amendment dated January 4, 2021 between ACM Research, Inc. and D&amp;J Construction, Inc. (incorporated herein by reference to Exhibit 10.01(d) to the Annual Report on Form 10-K filed on March 1, 2022)</w:t>
            </w:r>
          </w:p>
        </w:tc>
      </w:tr>
      <w:tr>
        <w:trPr/>
        <w:tc>
          <w:tcPr>
            <w:tcW w:w="6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w:anchor="usfremontofficelease_202.htm">
              <w:r>
                <w:rPr>
                  <w:rStyle w:val="InternetLink"/>
                  <w:rFonts w:ascii="Times New Roman;sans-serif" w:hAnsi="Times New Roman;sans-serif"/>
                  <w:b w:val="false"/>
                  <w:color w:val="0000FF"/>
                  <w:sz w:val="20"/>
                  <w:u w:val="single"/>
                </w:rPr>
                <w:t>10.01(e)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Amendment dated February 1, 2023 between ACM Research, Inc. and D&amp;J Construction, Inc</w:t>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25">
              <w:r>
                <w:rPr>
                  <w:rStyle w:val="InternetLink"/>
                  <w:rFonts w:ascii="Times New Roman;sans-serif" w:hAnsi="Times New Roman;sans-serif"/>
                  <w:b w:val="false"/>
                  <w:color w:val="0000FF"/>
                  <w:sz w:val="20"/>
                  <w:u w:val="single"/>
                </w:rPr>
                <w:t>10.02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Agreement dated April 26, 2018 between ACM Research (Shanghai), Inc. and Shanghai Zhangjiang Group Co., Ltd. (incorporated herein by reference to Exhibit 10.01 to the Amended Quarterly Report on Form 10-Q/A filed on October 15, 2018)</w:t>
            </w:r>
          </w:p>
        </w:tc>
      </w:tr>
      <w:tr>
        <w:trPr/>
        <w:tc>
          <w:tcPr>
            <w:tcW w:w="6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26">
              <w:r>
                <w:rPr>
                  <w:rStyle w:val="InternetLink"/>
                  <w:rFonts w:ascii="Times New Roman;sans-serif" w:hAnsi="Times New Roman;sans-serif"/>
                  <w:b w:val="false"/>
                  <w:color w:val="0000FF"/>
                  <w:sz w:val="20"/>
                  <w:u w:val="single"/>
                </w:rPr>
                <w:t>10.03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Agreement dated January 18, 2018 between ACM Research (Shanghai), Inc. and Shanghai Shengyu Culture Development Co., Ltd. (incorporated herein by reference to Exhibit 10.05 to the Amended Quarterly Report on Form 10-Q/A filed on October 15, 2018)</w:t>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27">
              <w:r>
                <w:rPr>
                  <w:rStyle w:val="InternetLink"/>
                  <w:rFonts w:ascii="Times New Roman;sans-serif" w:hAnsi="Times New Roman;sans-serif"/>
                  <w:b w:val="false"/>
                  <w:color w:val="0000FF"/>
                  <w:sz w:val="20"/>
                  <w:u w:val="single"/>
                </w:rPr>
                <w:t>10.04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Purchase Agreement dated March 14, 2017 by and among ACM Research, Inc., Shengxin (Shanghai) Management Consulting Limited Partnership and ACM Research (Shanghai), Inc. (incorporated herein by reference to Exhibit 10.03 to the Registration Statement on Form S-1 filed on September 13, 2017)</w:t>
            </w:r>
          </w:p>
        </w:tc>
      </w:tr>
      <w:tr>
        <w:trPr/>
        <w:tc>
          <w:tcPr>
            <w:tcW w:w="6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28">
              <w:r>
                <w:rPr>
                  <w:rStyle w:val="InternetLink"/>
                  <w:rFonts w:ascii="Times New Roman;sans-serif" w:hAnsi="Times New Roman;sans-serif"/>
                  <w:b w:val="false"/>
                  <w:color w:val="0000FF"/>
                  <w:sz w:val="20"/>
                  <w:u w:val="single"/>
                </w:rPr>
                <w:t>10.05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Purchase Agreement dated March 23, 2017 between ACM Research, Inc. and Shanghai Science and Technology Venture Capital Co., Ltd., as amended (incorporated herein by reference to Exhibit 10.04 to the Amended Registration Statement on Form S-1/A filed on October 18, 2017)</w:t>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29">
              <w:r>
                <w:rPr>
                  <w:rStyle w:val="InternetLink"/>
                  <w:rFonts w:ascii="Times New Roman;sans-serif" w:hAnsi="Times New Roman;sans-serif"/>
                  <w:b w:val="false"/>
                  <w:color w:val="0000FF"/>
                  <w:sz w:val="20"/>
                  <w:u w:val="single"/>
                </w:rPr>
                <w:t>10.06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Ordinary Share Purchase Agreement dated September 6, 2017 by and among ACM Research, Inc., Ninebell Co., Ltd. and Moon-Soo Choi (incorporated herein by reference to Exhibit 10.07 to the Amended Registration Statement on Form S-1/A filed on October 18, 2017)</w:t>
            </w:r>
          </w:p>
        </w:tc>
      </w:tr>
      <w:tr>
        <w:trPr/>
        <w:tc>
          <w:tcPr>
            <w:tcW w:w="6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30">
              <w:r>
                <w:rPr>
                  <w:rStyle w:val="InternetLink"/>
                  <w:rFonts w:ascii="Times New Roman;sans-serif" w:hAnsi="Times New Roman;sans-serif"/>
                  <w:b w:val="false"/>
                  <w:color w:val="0000FF"/>
                  <w:sz w:val="20"/>
                  <w:u w:val="single"/>
                </w:rPr>
                <w:t>10.07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Purchase Agreement, dated October 11, 2017, by and among ACM Research, Inc., Xinxin (Shanghai) Capital Co., Limited, Xinxin (Hongkong) Capital Co., Limited and David H. Wang (incorporated herein by reference to Exhibit 10.10 to the Amended Registration Statement on Form S-1/A filed on October 18, 2017)</w:t>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31">
              <w:r>
                <w:rPr>
                  <w:rStyle w:val="InternetLink"/>
                  <w:rFonts w:ascii="Times New Roman;sans-serif" w:hAnsi="Times New Roman;sans-serif"/>
                  <w:b w:val="false"/>
                  <w:color w:val="0000FF"/>
                  <w:sz w:val="20"/>
                  <w:u w:val="single"/>
                </w:rPr>
                <w:t>10.08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Capital Increase Agreement between ACM Research, Inc. and certain investors (incorporated herein by reference to Exhibit 10.01 to the Quarterly Report on Form 10-Q filed on August 12, 2019)</w:t>
            </w:r>
          </w:p>
        </w:tc>
      </w:tr>
      <w:tr>
        <w:trPr/>
        <w:tc>
          <w:tcPr>
            <w:tcW w:w="68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32">
              <w:r>
                <w:rPr>
                  <w:rStyle w:val="InternetLink"/>
                  <w:rFonts w:ascii="Times New Roman;sans-serif" w:hAnsi="Times New Roman;sans-serif"/>
                  <w:b w:val="false"/>
                  <w:color w:val="0000EF"/>
                  <w:sz w:val="20"/>
                  <w:u w:val="single"/>
                </w:rPr>
                <w:t>10.08(a)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identifying agreements substantially identical to the form of Capital Increase Agreement filed as Exhibit 10.12 hereto (incorporated herein by reference to Exhibit 10.01(a) to the Quarterly Report on Form 10-Q filed on August 12, 2019)</w:t>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33">
              <w:r>
                <w:rPr>
                  <w:rStyle w:val="InternetLink"/>
                  <w:rFonts w:ascii="Times New Roman;sans-serif" w:hAnsi="Times New Roman;sans-serif"/>
                  <w:b w:val="false"/>
                  <w:color w:val="0000FF"/>
                  <w:sz w:val="20"/>
                  <w:u w:val="single"/>
                </w:rPr>
                <w:t>10.09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Agreement between ACM Research, Inc. and certain Investors (incorporated herein by reference to Exhibit 10.02 to the Quarterly Report on Form 10-Q filed on August 12, 2019)</w:t>
            </w:r>
          </w:p>
        </w:tc>
      </w:tr>
      <w:tr>
        <w:trPr/>
        <w:tc>
          <w:tcPr>
            <w:tcW w:w="68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34">
              <w:r>
                <w:rPr>
                  <w:rStyle w:val="InternetLink"/>
                  <w:rFonts w:ascii="Times New Roman;sans-serif" w:hAnsi="Times New Roman;sans-serif"/>
                  <w:b w:val="false"/>
                  <w:color w:val="0000EF"/>
                  <w:sz w:val="20"/>
                  <w:u w:val="single"/>
                </w:rPr>
                <w:t>10.09(a)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identifying agreements substantially identical to the form of Agreement filed as Exhibit 10.13 hereto (incorporated herein by reference to Exhibit 10.02(a) to the Quarterly Report on Form 10-Q filed on August 12, 2019)</w:t>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35">
              <w:r>
                <w:rPr>
                  <w:rStyle w:val="InternetLink"/>
                  <w:rFonts w:ascii="Times New Roman;sans-serif" w:hAnsi="Times New Roman;sans-serif"/>
                  <w:b w:val="false"/>
                  <w:color w:val="0000FF"/>
                  <w:sz w:val="20"/>
                  <w:u w:val="single"/>
                </w:rPr>
                <w:t>10.1</w:t>
              </w:r>
            </w:hyperlink>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Partnership Agreement of Hefei Shixi Chanheng Integrated Circuit Industry Venture Capital Fund Partnership (LP) dated September 5, 2019 by and among Infotech National Emerging Industry Venture Investment Guidance Fund (LP), Hefei Guozheng Asset Management Co, Ltd., Hefei Economic and Technological Development Zone Industrial Investment Guidance Fund Co., Ltd., ACM Research (Shanghai), Inc., Hefei Tongyi Equity Investment Partnership (LP), Shenzen Waitan Technology Development Co., Ltd., and Beijing Shixi Qingliu Investment Co., Ltd. (incorporated herein by reference to Exhibit 10.03 to the Quarterly Report on Form 10-Q filed on November 13, 2019)</w:t>
            </w:r>
          </w:p>
        </w:tc>
      </w:tr>
      <w:tr>
        <w:trPr/>
        <w:tc>
          <w:tcPr>
            <w:tcW w:w="6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36">
              <w:r>
                <w:rPr>
                  <w:rStyle w:val="InternetLink"/>
                  <w:rFonts w:ascii="Times New Roman;sans-serif" w:hAnsi="Times New Roman;sans-serif"/>
                  <w:b w:val="false"/>
                  <w:color w:val="0000FF"/>
                  <w:sz w:val="20"/>
                  <w:u w:val="single"/>
                </w:rPr>
                <w:t>10.11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2016 Omnibus Incentive Plan of ACM Research, Inc. (incorporated herein by reference to Exhibit 10.01 to the Quarterly Report on Form 10-Q filed on December 8, 2017)</w:t>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37">
              <w:r>
                <w:rPr>
                  <w:rStyle w:val="InternetLink"/>
                  <w:rFonts w:ascii="Times New Roman;sans-serif" w:hAnsi="Times New Roman;sans-serif"/>
                  <w:b w:val="false"/>
                  <w:color w:val="0000EF"/>
                  <w:sz w:val="20"/>
                  <w:u w:val="single"/>
                  <w:shd w:fill="CCEEFF" w:val="clear"/>
                </w:rPr>
                <w:t>10.11(a)+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Incentive Stock Option Grant Notice and Agreement under 2016 Omnibus Incentive Plan (incorporated herein by reference to Exhibit 10.10(a) to the Registration Statement on Form S-1 filed on September 13, 2017)</w:t>
            </w:r>
          </w:p>
        </w:tc>
      </w:tr>
      <w:tr>
        <w:trPr/>
        <w:tc>
          <w:tcPr>
            <w:tcW w:w="68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38">
              <w:r>
                <w:rPr>
                  <w:rStyle w:val="InternetLink"/>
                  <w:rFonts w:ascii="Times New Roman;sans-serif" w:hAnsi="Times New Roman;sans-serif"/>
                  <w:b w:val="false"/>
                  <w:color w:val="0000EF"/>
                  <w:sz w:val="20"/>
                  <w:u w:val="single"/>
                </w:rPr>
                <w:t>10.11(b)+</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Non-qualified Stock Option Grant Notice and Agreement under 2016 Omnibus Incentive Plan (incorporated herein by reference to Exhibit 10.10(b) to the Registration Statement on Form S-1 filed on September 13, 2017)</w:t>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39">
              <w:r>
                <w:rPr>
                  <w:rStyle w:val="InternetLink"/>
                  <w:rFonts w:ascii="Times New Roman;sans-serif" w:hAnsi="Times New Roman;sans-serif"/>
                  <w:b w:val="false"/>
                  <w:color w:val="0000EF"/>
                  <w:sz w:val="20"/>
                  <w:u w:val="single"/>
                  <w:shd w:fill="CCEEFF" w:val="clear"/>
                </w:rPr>
                <w:t>10.11(c)+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Grant Notice and Agreement under 2016 Omnibus Incentive Plan (incorporated herein by reference to Exhibit 10.10(c) to the Registration Statement on Form S-1 filed on September 13, 2017)</w:t>
            </w:r>
          </w:p>
        </w:tc>
      </w:tr>
      <w:tr>
        <w:trPr/>
        <w:tc>
          <w:tcPr>
            <w:tcW w:w="6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40">
              <w:r>
                <w:rPr>
                  <w:rStyle w:val="InternetLink"/>
                  <w:rFonts w:ascii="Times New Roman;sans-serif" w:hAnsi="Times New Roman;sans-serif"/>
                  <w:b w:val="false"/>
                  <w:color w:val="0000FF"/>
                  <w:sz w:val="20"/>
                  <w:u w:val="single"/>
                </w:rPr>
                <w:t>10.12+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Nonstatutory Stock Option Agreement of ACM Research, Inc. (incorporated herein by reference to Exhibit 10.11 to the Registration Statement on Form S-1 filed on September 13, 2017)</w:t>
            </w:r>
          </w:p>
        </w:tc>
      </w:tr>
      <w:tr>
        <w:trPr/>
        <w:tc>
          <w:tcPr>
            <w:tcW w:w="6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41">
              <w:r>
                <w:rPr>
                  <w:rStyle w:val="InternetLink"/>
                  <w:rFonts w:ascii="Times New Roman;sans-serif" w:hAnsi="Times New Roman;sans-serif"/>
                  <w:b w:val="false"/>
                  <w:color w:val="0000FF"/>
                  <w:sz w:val="20"/>
                  <w:u w:val="single"/>
                </w:rPr>
                <w:t>10.13+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1998 Stock Option Plan of ACM Research, Inc. (incorporated herein by reference to Exhibit 10.12 to the Registration Statement on Form S-1 filed on September 13, 2017)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16840"/>
                <wp:effectExtent l="0" t="0" r="0" b="0"/>
                <wp:wrapNone/>
                <wp:docPr id="144" name="Frame1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132</w:t>
                      </w:r>
                    </w:p>
                  </w:txbxContent>
                </v:textbox>
                <w10:wrap type="none"/>
              </v:rect>
            </w:pict>
          </mc:Fallback>
        </mc:AlternateContent>
      </w:r>
    </w:p>
    <w:p>
      <w:pPr>
        <w:pStyle w:val="TextBody"/>
        <w:bidi w:val="0"/>
        <w:spacing w:lineRule="auto" w:line="276" w:before="0" w:after="0"/>
        <w:jc w:val="left"/>
        <w:rPr/>
      </w:pPr>
      <w:hyperlink w:anchor="i331e2a52ea3c48e999a1ab1df704a5e6_7">
        <w:r>
          <w:rPr>
            <w:rStyle w:val="InternetLink"/>
          </w:rPr>
          <w:t xml:space="preserve">Table of </w:t>
        </w:r>
      </w:hyperlink>
      <w:hyperlink w:anchor="i331e2a52ea3c48e999a1ab1df704a5e6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58"/>
        <w:gridCol w:w="226"/>
        <w:gridCol w:w="228"/>
        <w:gridCol w:w="109"/>
        <w:gridCol w:w="109"/>
        <w:gridCol w:w="109"/>
        <w:gridCol w:w="2795"/>
        <w:gridCol w:w="2638"/>
        <w:gridCol w:w="3733"/>
      </w:tblGrid>
      <w:tr>
        <w:trPr/>
        <w:tc>
          <w:tcPr>
            <w:tcW w:w="2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33" w:type="dxa"/>
            <w:tcBorders/>
            <w:vAlign w:val="center"/>
          </w:tcPr>
          <w:p>
            <w:pPr>
              <w:pStyle w:val="TableContents"/>
              <w:bidi w:val="0"/>
              <w:spacing w:before="0" w:after="283"/>
              <w:jc w:val="left"/>
              <w:rPr>
                <w:sz w:val="4"/>
                <w:szCs w:val="4"/>
              </w:rPr>
            </w:pPr>
            <w:r>
              <w:rPr>
                <w:sz w:val="4"/>
                <w:szCs w:val="4"/>
              </w:rPr>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42">
              <w:r>
                <w:rPr>
                  <w:rStyle w:val="InternetLink"/>
                  <w:rFonts w:ascii="Times New Roman;sans-serif" w:hAnsi="Times New Roman;sans-serif"/>
                  <w:b w:val="false"/>
                  <w:color w:val="0000EF"/>
                  <w:sz w:val="20"/>
                  <w:u w:val="single"/>
                </w:rPr>
                <w:t>10.13(a)+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Incentive Stock Option Agreement under 1998 Stock Option Plan (incorporated herein by reference to Exhibit 10.12(a) to the Registration Statement on Form S-1 filed on September 13, 2017)</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3">
              <w:r>
                <w:rPr>
                  <w:rStyle w:val="InternetLink"/>
                  <w:rFonts w:ascii="Times New Roman;sans-serif" w:hAnsi="Times New Roman;sans-serif"/>
                  <w:b w:val="false"/>
                  <w:color w:val="0000EF"/>
                  <w:sz w:val="20"/>
                  <w:u w:val="single"/>
                  <w:shd w:fill="CCEEFF" w:val="clear"/>
                </w:rPr>
                <w:t>10.13(b)+</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Non-statutory Stock Option Agreement under 1998 Stock Option Plan (incorporated herein by reference to Exhibit 10.12(b) to the Registration Statement on Form S-1 filed on September 13, 2017)</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44">
              <w:r>
                <w:rPr>
                  <w:rStyle w:val="InternetLink"/>
                  <w:rFonts w:ascii="Times New Roman;sans-serif" w:hAnsi="Times New Roman;sans-serif"/>
                  <w:b w:val="false"/>
                  <w:color w:val="0000FF"/>
                  <w:sz w:val="20"/>
                  <w:u w:val="single"/>
                </w:rPr>
                <w:t>10.14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entered into between ACM Research, Inc. and certain of its directors and officers (incorporated herein by reference to Exhibit 10.13 to the Registration Statement on Form S-1 filed on September 13, 2017)</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45">
              <w:r>
                <w:rPr>
                  <w:rStyle w:val="InternetLink"/>
                  <w:rFonts w:ascii="Times New Roman;sans-serif" w:hAnsi="Times New Roman;sans-serif"/>
                  <w:b w:val="false"/>
                  <w:color w:val="0000FF"/>
                  <w:sz w:val="20"/>
                  <w:u w:val="single"/>
                </w:rPr>
                <w:t>10.15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Letter agreement dated June 12, 2019 between ACM Research, Inc. and Mark McKechnie (incorporated herein by reference to Exhibit 10.02 to the Current Report on Form 8-K filed on August 13, 2019)</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46">
              <w:r>
                <w:rPr>
                  <w:rStyle w:val="InternetLink"/>
                  <w:rFonts w:ascii="Times New Roman;sans-serif" w:hAnsi="Times New Roman;sans-serif"/>
                  <w:b w:val="false"/>
                  <w:color w:val="0000EF"/>
                  <w:sz w:val="20"/>
                  <w:u w:val="single"/>
                </w:rPr>
                <w:t>10.16+‡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Employment Agreement dated September 25, 2022 between ACM Research (Shanghai), Inc. and Lisa Feng (incorporated herein by reference to Exhibit 10.01 to the Quarterly Report on Form 10-Q filed on May 9, 2023)</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47">
              <w:r>
                <w:rPr>
                  <w:rStyle w:val="InternetLink"/>
                  <w:rFonts w:ascii="Times New Roman;sans-serif" w:hAnsi="Times New Roman;sans-serif"/>
                  <w:b w:val="false"/>
                  <w:color w:val="0000FF"/>
                  <w:sz w:val="20"/>
                  <w:u w:val="single"/>
                </w:rPr>
                <w:t>10.17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Note Assignment and Cancellation Agreement dated April 30, 2020 by and among ACM Research, Inc., ACM Research (Shanghai), Inc. and Shengxin (Shanghai) Management Consulting Limited Partnership (incorporated herein by reference to Exhibit 10.02 to the Quarterly Report Form 10-Q filed on May 8, 2020)</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48">
              <w:r>
                <w:rPr>
                  <w:rStyle w:val="InternetLink"/>
                  <w:rFonts w:ascii="Times New Roman;sans-serif" w:hAnsi="Times New Roman;sans-serif"/>
                  <w:b w:val="false"/>
                  <w:color w:val="0000EF"/>
                  <w:sz w:val="20"/>
                  <w:u w:val="single"/>
                </w:rPr>
                <w:t>10.18(a)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 Transfer and Note Cancellation Agreement dated April 30, 2020 between ACM Research, Inc. and Shengxin (Shanghai) Management Consulting Limited Partnership (incorporated herein by reference to Exhibit 10.03 to the Quarterly Report on Form 10-Q filed on May 8, 2020)</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9">
              <w:r>
                <w:rPr>
                  <w:rStyle w:val="InternetLink"/>
                  <w:rFonts w:ascii="Times New Roman;sans-serif" w:hAnsi="Times New Roman;sans-serif"/>
                  <w:b w:val="false"/>
                  <w:color w:val="0000EF"/>
                  <w:sz w:val="20"/>
                  <w:u w:val="single"/>
                  <w:shd w:fill="CCEEFF" w:val="clear"/>
                </w:rPr>
                <w:t>10.18(b)</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1 to Share Transfer and Note Cancellation Agreement dated July 29, 2020 between ACM Research, Inc. and Shengxin (Shanghai) Management Consulting Limited Partnership (incorporated herein by reference to Exhibit 10.01 to the Quarterly Report on Form 10-Q filed on November 9, 2020)</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50">
              <w:r>
                <w:rPr>
                  <w:rStyle w:val="InternetLink"/>
                  <w:rFonts w:ascii="Times New Roman;sans-serif" w:hAnsi="Times New Roman;sans-serif"/>
                  <w:b w:val="false"/>
                  <w:color w:val="0000EF"/>
                  <w:sz w:val="20"/>
                  <w:u w:val="single"/>
                </w:rPr>
                <w:t>10.19‡†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Grant Contract for State-owned Construction Land Use Right in Shanghai City (Category of R&amp;D Headquarters and Industrial Projects) dated as of May 7, 2020 between ACM Research (Lingang), Inc. and China (Shanghai) Pilot Free Trade Zone Lin-gang Special Area Administration (incorporated herein by reference to Exhibit 10.01 to the Current Report on Form 8-K filed on May 13, 2020)</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51">
              <w:r>
                <w:rPr>
                  <w:rStyle w:val="InternetLink"/>
                  <w:rFonts w:ascii="Times New Roman;sans-serif" w:hAnsi="Times New Roman;sans-serif"/>
                  <w:b w:val="false"/>
                  <w:color w:val="0000EF"/>
                  <w:sz w:val="20"/>
                  <w:u w:val="single"/>
                  <w:shd w:fill="CCEEFF" w:val="clear"/>
                </w:rPr>
                <w:t>10.20†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the Lock-up of Shares, effective as of May 26, 2020, of ACM Research, Inc. (incorporated herein by reference to Exhibit 10.01 to the Current Report on Form 8-K filed on June 1, 2020)</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52">
              <w:r>
                <w:rPr>
                  <w:rStyle w:val="InternetLink"/>
                  <w:rFonts w:ascii="Times New Roman;sans-serif" w:hAnsi="Times New Roman;sans-serif"/>
                  <w:b w:val="false"/>
                  <w:color w:val="0000EF"/>
                  <w:sz w:val="20"/>
                  <w:u w:val="single"/>
                </w:rPr>
                <w:t>10.21†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Shareholding Intent and Intent to Reduce Shareholding, effective as of May 26, 2020, of ACM Research, Inc. and David H. Wang (incorporated herein by reference to Exhibit 10.02 to the Current Report to Form 8-K filed on June 1, 2020)</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53">
              <w:r>
                <w:rPr>
                  <w:rStyle w:val="InternetLink"/>
                  <w:rFonts w:ascii="Times New Roman;sans-serif" w:hAnsi="Times New Roman;sans-serif"/>
                  <w:b w:val="false"/>
                  <w:color w:val="0000EF"/>
                  <w:sz w:val="20"/>
                  <w:u w:val="single"/>
                  <w:shd w:fill="CCEEFF" w:val="clear"/>
                </w:rPr>
                <w:t>10.22†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the Plan and Binding Measures for Stabilizing the Stock Price of ACM Research (Shanghai), Inc. Within Three Years After Listing, effective as of May 26, 2020, of ACM Research, Inc., ACM Research (Shanghai), Inc., and certain individuals named therein (incorporated herein by reference to Exhibit 10.03 to the Current Report on Form 8-K filed on June 1, 2020)</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54">
              <w:r>
                <w:rPr>
                  <w:rStyle w:val="InternetLink"/>
                  <w:rFonts w:ascii="Times New Roman;sans-serif" w:hAnsi="Times New Roman;sans-serif"/>
                  <w:b w:val="false"/>
                  <w:color w:val="0000EF"/>
                  <w:sz w:val="20"/>
                  <w:u w:val="single"/>
                </w:rPr>
                <w:t>10.23†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Fraudulent Issuance of Listed Shares, effective as of May 26, 2020, of ACM Research, Inc., ACM Research (Shanghai), Inc. and David H. Wang (incorporated herein by reference to Exhibit 10.04 to the Current Report on Form 8-K filed on June 1, 2020)</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55">
              <w:r>
                <w:rPr>
                  <w:rStyle w:val="InternetLink"/>
                  <w:rFonts w:ascii="Times New Roman;sans-serif" w:hAnsi="Times New Roman;sans-serif"/>
                  <w:b w:val="false"/>
                  <w:color w:val="0000EF"/>
                  <w:sz w:val="20"/>
                  <w:u w:val="single"/>
                  <w:shd w:fill="CCEEFF" w:val="clear"/>
                </w:rPr>
                <w:t>10.24‡†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the Lack of False Records, Misleading Statements or Major Omissions in the Preliminary Information Document, effective as of May 26, 2020, of ACM Research, Inc. (incorporated herein by reference to Exhibit 10.05 to the Current Report on Form 8-K filed on June 1, 2020)</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56">
              <w:r>
                <w:rPr>
                  <w:rStyle w:val="InternetLink"/>
                  <w:rFonts w:ascii="Times New Roman;sans-serif" w:hAnsi="Times New Roman;sans-serif"/>
                  <w:b w:val="false"/>
                  <w:color w:val="0000EF"/>
                  <w:sz w:val="20"/>
                  <w:u w:val="single"/>
                </w:rPr>
                <w:t>10.25†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Making Up for Diluted Immediate Returns, effective as of May 26, 2020, of ACM Research, Inc. (incorporated herein by reference to Exhibit 10.06 to the Current Report on Form 8-K filed on June 1, 2020)</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57">
              <w:r>
                <w:rPr>
                  <w:rStyle w:val="InternetLink"/>
                  <w:rFonts w:ascii="Times New Roman;sans-serif" w:hAnsi="Times New Roman;sans-serif"/>
                  <w:b w:val="false"/>
                  <w:color w:val="0000EF"/>
                  <w:sz w:val="20"/>
                  <w:u w:val="single"/>
                  <w:shd w:fill="CCEEFF" w:val="clear"/>
                </w:rPr>
                <w:t>10.26‡†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Unfulfilled Commitment on Binding Measures, effective as of May 26, 2020, of ACM Research, Inc. and David H. Wang (incorporated herein by reference to Exhibit 10.07 to the Current Report on Form 8-K filed on June 1, 2020)</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58">
              <w:r>
                <w:rPr>
                  <w:rStyle w:val="InternetLink"/>
                  <w:rFonts w:ascii="Times New Roman;sans-serif" w:hAnsi="Times New Roman;sans-serif"/>
                  <w:b w:val="false"/>
                  <w:color w:val="0000EF"/>
                  <w:sz w:val="20"/>
                  <w:u w:val="single"/>
                </w:rPr>
                <w:t>10.27†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the Avoidance of Competition in the Same Industry, effective as of May 26, 2020, of ACM Research, Inc. (incorporated herein by reference to Exhibit 10.08 to the Current Report on Form 8-K filed on June 1, 2020)</w:t>
            </w:r>
          </w:p>
        </w:tc>
      </w:tr>
      <w:tr>
        <w:trPr/>
        <w:tc>
          <w:tcPr>
            <w:tcW w:w="71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59">
              <w:r>
                <w:rPr>
                  <w:rStyle w:val="InternetLink"/>
                  <w:rFonts w:ascii="Times New Roman;sans-serif" w:hAnsi="Times New Roman;sans-serif"/>
                  <w:b w:val="false"/>
                  <w:color w:val="0000EF"/>
                  <w:sz w:val="20"/>
                  <w:u w:val="single"/>
                  <w:shd w:fill="CCEEFF" w:val="clear"/>
                </w:rPr>
                <w:t>10.28†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the Standardization and Reduction of Related Transactions, effective as of May 26, 2020, of ACM Research, Inc. (incorporated herein by reference to Exhibit 10.09 to the Current Report on Form 8-K filed on June 1, 2020)</w:t>
            </w:r>
          </w:p>
        </w:tc>
      </w:tr>
      <w:tr>
        <w:trPr/>
        <w:tc>
          <w:tcPr>
            <w:tcW w:w="71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60">
              <w:r>
                <w:rPr>
                  <w:rStyle w:val="InternetLink"/>
                  <w:rFonts w:ascii="Times New Roman;sans-serif" w:hAnsi="Times New Roman;sans-serif"/>
                  <w:b w:val="false"/>
                  <w:color w:val="0000EF"/>
                  <w:sz w:val="20"/>
                  <w:u w:val="single"/>
                </w:rPr>
                <w:t>10.29†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the Avoidance of Funds Occupation and Illegal Guarantee, effective as of May 26, 2020, of ACM Research, Inc. (incorporated herein by reference to Exhibit 10.10 to the Current Report on Form 8-K filed on June 1, 2020)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16840"/>
                <wp:effectExtent l="0" t="0" r="0" b="0"/>
                <wp:wrapNone/>
                <wp:docPr id="145" name="Frame1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133</w:t>
                      </w:r>
                    </w:p>
                  </w:txbxContent>
                </v:textbox>
                <w10:wrap type="none"/>
              </v:rect>
            </w:pict>
          </mc:Fallback>
        </mc:AlternateContent>
      </w:r>
    </w:p>
    <w:p>
      <w:pPr>
        <w:pStyle w:val="TextBody"/>
        <w:bidi w:val="0"/>
        <w:spacing w:lineRule="auto" w:line="276" w:before="0" w:after="0"/>
        <w:jc w:val="left"/>
        <w:rPr/>
      </w:pPr>
      <w:hyperlink w:anchor="i331e2a52ea3c48e999a1ab1df704a5e6_7">
        <w:r>
          <w:rPr>
            <w:rStyle w:val="InternetLink"/>
          </w:rPr>
          <w:t xml:space="preserve">Table of </w:t>
        </w:r>
      </w:hyperlink>
      <w:hyperlink w:anchor="i331e2a52ea3c48e999a1ab1df704a5e6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75"/>
        <w:gridCol w:w="202"/>
        <w:gridCol w:w="204"/>
        <w:gridCol w:w="109"/>
        <w:gridCol w:w="109"/>
        <w:gridCol w:w="109"/>
        <w:gridCol w:w="2764"/>
        <w:gridCol w:w="2663"/>
        <w:gridCol w:w="3770"/>
      </w:tblGrid>
      <w:tr>
        <w:trPr/>
        <w:tc>
          <w:tcPr>
            <w:tcW w:w="2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61">
              <w:r>
                <w:rPr>
                  <w:rStyle w:val="InternetLink"/>
                  <w:rFonts w:ascii="Times New Roman;sans-serif" w:hAnsi="Times New Roman;sans-serif"/>
                  <w:b w:val="false"/>
                  <w:color w:val="0000EF"/>
                  <w:sz w:val="20"/>
                  <w:u w:val="single"/>
                  <w:shd w:fill="CCEEFF" w:val="clear"/>
                </w:rPr>
                <w:t>10.30‡†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Statement and Commitment Letter, effective as of May 26, 2020, of ACM Research, Inc. (incorporated herein by reference to Exhibit 10.11 to the Current Report on Form 8-K filed on June 1, 2020)</w:t>
            </w:r>
          </w:p>
        </w:tc>
      </w:tr>
      <w:tr>
        <w:trPr/>
        <w:tc>
          <w:tcPr>
            <w:tcW w:w="6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62">
              <w:r>
                <w:rPr>
                  <w:rStyle w:val="InternetLink"/>
                  <w:rFonts w:ascii="Times New Roman;sans-serif" w:hAnsi="Times New Roman;sans-serif"/>
                  <w:b w:val="false"/>
                  <w:color w:val="0000EF"/>
                  <w:sz w:val="20"/>
                  <w:u w:val="single"/>
                </w:rPr>
                <w:t>10.31†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Property Lease Matters, effective as of May 26, 2020, of ACM Research, Inc. (incorporated herein by reference to Exhibit 10.12 to the Current Report on Form 8-K filed on June 1, 2020)</w:t>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63">
              <w:r>
                <w:rPr>
                  <w:rStyle w:val="InternetLink"/>
                  <w:rFonts w:ascii="Times New Roman;sans-serif" w:hAnsi="Times New Roman;sans-serif"/>
                  <w:b w:val="false"/>
                  <w:color w:val="0000EF"/>
                  <w:sz w:val="20"/>
                  <w:u w:val="single"/>
                  <w:shd w:fill="CCEEFF" w:val="clear"/>
                </w:rPr>
                <w:t>10.32†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Social Insurance and Housing Provident Fund Matters, effective as of May 26, 2020, of ACM Research, Inc. (incorporated herein by reference to Exhibit 10.13 to the Current Report on Form 8-K filed on June 1, 2020)</w:t>
            </w:r>
          </w:p>
        </w:tc>
      </w:tr>
      <w:tr>
        <w:trPr/>
        <w:tc>
          <w:tcPr>
            <w:tcW w:w="6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64">
              <w:r>
                <w:rPr>
                  <w:rStyle w:val="InternetLink"/>
                  <w:rFonts w:ascii="Times New Roman;sans-serif" w:hAnsi="Times New Roman;sans-serif"/>
                  <w:b w:val="false"/>
                  <w:color w:val="0000EF"/>
                  <w:sz w:val="20"/>
                  <w:u w:val="single"/>
                </w:rPr>
                <w:t>10.33†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Commitment Letter Regarding Foreign Exchange Matters, effective as of May 26, 2020, of ACM Research, Inc. (incorporated herein by reference to Exhibit 10.14 to the Current Report on Form 8-K filed on June 1, 2020)</w:t>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65">
              <w:r>
                <w:rPr>
                  <w:rStyle w:val="InternetLink"/>
                  <w:rFonts w:ascii="Times New Roman;sans-serif" w:hAnsi="Times New Roman;sans-serif"/>
                  <w:b w:val="false"/>
                  <w:color w:val="0000EF"/>
                  <w:sz w:val="20"/>
                  <w:u w:val="single"/>
                </w:rPr>
                <w:t>10.34†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Confirmation and Commitment Letter Regarding the Historical Evolution Related Matters Regarding ACM Research (Shanghai), Inc., effective as of May 26, 2020, of ACM Research, Inc. (incorporated herein by reference to Exhibit 10.15 to the Current Report on Form 8-K filed on June 1, 2020)</w:t>
            </w:r>
          </w:p>
        </w:tc>
      </w:tr>
      <w:tr>
        <w:trPr/>
        <w:tc>
          <w:tcPr>
            <w:tcW w:w="6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66">
              <w:r>
                <w:rPr>
                  <w:rStyle w:val="InternetLink"/>
                  <w:rFonts w:ascii="Times New Roman;sans-serif" w:hAnsi="Times New Roman;sans-serif"/>
                  <w:b w:val="false"/>
                  <w:color w:val="0000EF"/>
                  <w:sz w:val="20"/>
                  <w:u w:val="single"/>
                </w:rPr>
                <w:t>10.35†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Confirmation Letter, effective as of May 26, 2020, of ACM Research, Inc. (incorporated herein by reference to Exhibit 10.16 to the Current Report on Form 8-K filed on June 1, 2020)</w:t>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67">
              <w:r>
                <w:rPr>
                  <w:rStyle w:val="InternetLink"/>
                  <w:rFonts w:ascii="Times New Roman;sans-serif" w:hAnsi="Times New Roman;sans-serif"/>
                  <w:b w:val="false"/>
                  <w:color w:val="0000EF"/>
                  <w:sz w:val="20"/>
                  <w:u w:val="single"/>
                </w:rPr>
                <w:t>10.36‡†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Qingdao Fortune-Tech Xinxing Capital Partnership (L.P.) Partnership Agreement, dated June 9, 2020, among China Fortune Tech Capital Co., Ltd., as general partner, and the several limited partners named therein, including ACM Research (Shanghai), Inc. (incorporated herein by reference to Exhibit 10.01 to the Current Report on Form 8-K filed on July 7, 2020)</w:t>
            </w:r>
          </w:p>
        </w:tc>
      </w:tr>
      <w:tr>
        <w:trPr/>
        <w:tc>
          <w:tcPr>
            <w:tcW w:w="6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68">
              <w:r>
                <w:rPr>
                  <w:rStyle w:val="InternetLink"/>
                  <w:rFonts w:ascii="Times New Roman;sans-serif" w:hAnsi="Times New Roman;sans-serif"/>
                  <w:b w:val="false"/>
                  <w:color w:val="0000EF"/>
                  <w:sz w:val="20"/>
                  <w:u w:val="single"/>
                </w:rPr>
                <w:t>10.37‡†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Supplementary Agreement to Partnership Agreement of Qingdao Fortune-Tech Xinxing Capital Partnership (L.P.), dated June 15, 2020, among China Fortune Tech Capital Co., Ltd., as general partner, and the several limited partners named therein, including ACM Research (Shanghai), Inc. (incorporated herein by reference to Exhibit 10.02 to the Current Report on Form 8-K filed on July 7, 2020)</w:t>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69">
              <w:r>
                <w:rPr>
                  <w:rStyle w:val="InternetLink"/>
                  <w:rFonts w:ascii="Times New Roman;sans-serif" w:hAnsi="Times New Roman;sans-serif"/>
                  <w:b w:val="false"/>
                  <w:color w:val="0000EF"/>
                  <w:sz w:val="20"/>
                  <w:u w:val="single"/>
                </w:rPr>
                <w:t>10.38†*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Shanghai Public Rental Housing Overall Pre-Sale Contract (incorporated herein by reference to Exhibit 10.01 to the Current Report on Form 8-K filed on February 25, 2021)</w:t>
            </w:r>
          </w:p>
        </w:tc>
      </w:tr>
      <w:tr>
        <w:trPr/>
        <w:tc>
          <w:tcPr>
            <w:tcW w:w="6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70">
              <w:r>
                <w:rPr>
                  <w:rStyle w:val="InternetLink"/>
                  <w:rFonts w:ascii="Times New Roman;sans-serif" w:hAnsi="Times New Roman;sans-serif"/>
                  <w:b w:val="false"/>
                  <w:color w:val="0000EF"/>
                  <w:sz w:val="20"/>
                  <w:u w:val="single"/>
                </w:rPr>
                <w:t>10.38(a)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 identifying agreements substantially identical to the form of Shanghai Public Rental Housing Overall Pre-Sale Contract filed as Exhibit 10.43 hereto (incorporated herein by reference to Exhibit 10.01(a) to the Current Report on Form 8-K filed on February 25, 2021)</w:t>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71">
              <w:r>
                <w:rPr>
                  <w:rStyle w:val="InternetLink"/>
                  <w:rFonts w:ascii="Times New Roman;sans-serif" w:hAnsi="Times New Roman;sans-serif"/>
                  <w:b w:val="false"/>
                  <w:color w:val="0000EF"/>
                  <w:sz w:val="20"/>
                  <w:u w:val="single"/>
                </w:rPr>
                <w:t>10.39†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 and Mortgage Contract dated November 19, 2020 between China Merchants Bank Co., Ltd., Shanghai Pilot Free Trade Zone Lin-Gang Special Area Sub-branch and Shengwei Research (Shanghai), Inc. (incorporated herein by reference to Exhibit 10.02 to the Current Report on Form 8-K filed on February 25, 2021)</w:t>
            </w:r>
          </w:p>
        </w:tc>
      </w:tr>
      <w:tr>
        <w:trPr/>
        <w:tc>
          <w:tcPr>
            <w:tcW w:w="6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72">
              <w:r>
                <w:rPr>
                  <w:rStyle w:val="InternetLink"/>
                  <w:rFonts w:ascii="Times New Roman;sans-serif" w:hAnsi="Times New Roman;sans-serif"/>
                  <w:b w:val="false"/>
                  <w:color w:val="0000EF"/>
                  <w:sz w:val="20"/>
                  <w:u w:val="single"/>
                </w:rPr>
                <w:t>10.40†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Irrevocable Letter of Guarantee dated November 19, 2020 between China Merchants Bank Co., Ltd., Shanghai Pilot Free Trade Zone Lin-Gang Special Area Sub-branch and ACM Research (Shanghai), Inc. (incorporated herein by reference to Exhibit 10.03 to the Current Report on Form 8-K filed on February 25, 2021)</w:t>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73">
              <w:r>
                <w:rPr>
                  <w:rStyle w:val="InternetLink"/>
                  <w:rFonts w:ascii="Times New Roman;sans-serif" w:hAnsi="Times New Roman;sans-serif"/>
                  <w:b w:val="false"/>
                  <w:color w:val="0000EF"/>
                  <w:sz w:val="20"/>
                  <w:u w:val="single"/>
                </w:rPr>
                <w:t>10.41‡†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Plant lease Contract dated as of February 1, 2021 between ACM Research (Shanghai), Inc. and Shanghai Shengyu Culture Development Co., Ltd. (incorporated herein by reference to Exhibit 10.01 to the Quarterly Report on Form 10-Q filed on May 7, 2021)</w:t>
            </w:r>
          </w:p>
        </w:tc>
      </w:tr>
      <w:tr>
        <w:trPr/>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4">
              <w:r>
                <w:rPr>
                  <w:rStyle w:val="InternetLink"/>
                  <w:rFonts w:ascii="Times New Roman;sans-serif" w:hAnsi="Times New Roman;sans-serif"/>
                  <w:b w:val="false"/>
                  <w:color w:val="0000FF"/>
                  <w:sz w:val="20"/>
                  <w:u w:val="single"/>
                </w:rPr>
                <w:t>10.42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Unofficial English Translation of RMB Working Capital Loan Contract dated as of July 25, 2023, by and between ACM Research, Inc. and China CITIC Bank Co., Ltd. Shanghai Bank (incorporated herein by reference to Exhibit 10.01 to the Current Report on Form 8-K filed on July 31, 2023) </w:t>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5">
              <w:r>
                <w:rPr>
                  <w:rStyle w:val="InternetLink"/>
                  <w:rFonts w:ascii="Times New Roman;sans-serif" w:hAnsi="Times New Roman;sans-serif"/>
                  <w:b w:val="false"/>
                  <w:color w:val="0000FF"/>
                  <w:sz w:val="20"/>
                  <w:u w:val="single"/>
                </w:rPr>
                <w:t>10.43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Agreement dated March 6, 2023, by and between Hillsboro 229, LLC and ACM Research, Inc. (incorporated herein by reference to Exhibit 10.02 to the Quarterly Report on Form 10-Q filed on August 7, 2023) </w:t>
            </w:r>
          </w:p>
        </w:tc>
      </w:tr>
      <w:tr>
        <w:trPr/>
        <w:tc>
          <w:tcPr>
            <w:tcW w:w="68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76">
              <w:r>
                <w:rPr>
                  <w:rStyle w:val="InternetLink"/>
                  <w:rFonts w:ascii="Times New Roman;sans-serif" w:hAnsi="Times New Roman;sans-serif"/>
                  <w:b w:val="false"/>
                  <w:color w:val="0000FF"/>
                  <w:sz w:val="20"/>
                  <w:u w:val="single"/>
                </w:rPr>
                <w:t>16.01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shd w:fill="CCEEFF" w:val="clear"/>
              </w:rPr>
            </w:pPr>
            <w:r>
              <w:rPr>
                <w:rFonts w:ascii="Times New Roman;sans-serif" w:hAnsi="Times New Roman;sans-serif"/>
                <w:b w:val="false"/>
                <w:color w:val="000000"/>
                <w:sz w:val="20"/>
                <w:shd w:fill="CCEEFF" w:val="clear"/>
              </w:rPr>
              <w:t>Letter from Armanino LLP dated July 27, 2023 to the Securities and Exchange Commission (incorporated herein by reference to Exhibit 16.1 to the Current Report on Form 8-K filed on July 27, 2023)</w:t>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77">
              <w:r>
                <w:rPr>
                  <w:rStyle w:val="InternetLink"/>
                  <w:rFonts w:ascii="Times New Roman;sans-serif" w:hAnsi="Times New Roman;sans-serif"/>
                  <w:b w:val="false"/>
                  <w:color w:val="0000FF"/>
                  <w:sz w:val="20"/>
                  <w:u w:val="single"/>
                </w:rPr>
                <w:t>16.02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shd w:fill="CCEEFF" w:val="clear"/>
              </w:rPr>
            </w:pPr>
            <w:r>
              <w:rPr>
                <w:rFonts w:ascii="Times New Roman;sans-serif" w:hAnsi="Times New Roman;sans-serif"/>
                <w:b w:val="false"/>
                <w:color w:val="000000"/>
                <w:sz w:val="20"/>
                <w:shd w:fill="CCEEFF" w:val="clear"/>
              </w:rPr>
              <w:t xml:space="preserve">Letter from Armanino LLP dated September 26, 2023 to the Securities and Exchange Commission (incorporated herein by reference to Exhibit 16.1 to the Current Report on Form 8-K filed on September 26, 2023) </w:t>
            </w:r>
          </w:p>
        </w:tc>
      </w:tr>
      <w:tr>
        <w:trPr/>
        <w:tc>
          <w:tcPr>
            <w:tcW w:w="68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w:anchor="acmexx2101subsidiarieslist.htm">
              <w:r>
                <w:rPr>
                  <w:rStyle w:val="InternetLink"/>
                  <w:rFonts w:ascii="Times New Roman;sans-serif" w:hAnsi="Times New Roman;sans-serif"/>
                  <w:b w:val="false"/>
                  <w:color w:val="0000FF"/>
                  <w:sz w:val="20"/>
                  <w:u w:val="single"/>
                </w:rPr>
                <w:t>21.01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List of Subsidiaries of ACM Research, Inc.</w:t>
            </w:r>
          </w:p>
        </w:tc>
      </w:tr>
      <w:tr>
        <w:trPr/>
        <w:tc>
          <w:tcPr>
            <w:tcW w:w="68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w:anchor="eyconsenton2023form10-k.htm">
              <w:r>
                <w:rPr>
                  <w:rStyle w:val="InternetLink"/>
                  <w:rFonts w:ascii="Times New Roman;sans-serif" w:hAnsi="Times New Roman;sans-serif"/>
                  <w:b w:val="false"/>
                  <w:color w:val="0000FF"/>
                  <w:sz w:val="20"/>
                  <w:u w:val="single"/>
                </w:rPr>
                <w:t>23.01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Consent of Ernst &amp; Young Hua Ming LLP</w:t>
            </w:r>
          </w:p>
        </w:tc>
      </w:tr>
      <w:tr>
        <w:trPr/>
        <w:tc>
          <w:tcPr>
            <w:tcW w:w="68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w:anchor="acmr2023consentxarmanino22.htm">
              <w:r>
                <w:rPr>
                  <w:rStyle w:val="InternetLink"/>
                  <w:rFonts w:ascii="Times New Roman;sans-serif" w:hAnsi="Times New Roman;sans-serif"/>
                  <w:b w:val="false"/>
                  <w:color w:val="0000FF"/>
                  <w:sz w:val="20"/>
                  <w:u w:val="single"/>
                </w:rPr>
                <w:t>23.02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Consent of Armanino LLP</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16840"/>
                <wp:effectExtent l="0" t="0" r="0" b="0"/>
                <wp:wrapNone/>
                <wp:docPr id="146" name="Frame1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w:t>
                      </w:r>
                    </w:p>
                  </w:txbxContent>
                </v:textbox>
                <w10:wrap type="none"/>
              </v:rect>
            </w:pict>
          </mc:Fallback>
        </mc:AlternateContent>
      </w:r>
    </w:p>
    <w:p>
      <w:pPr>
        <w:pStyle w:val="TextBody"/>
        <w:bidi w:val="0"/>
        <w:spacing w:lineRule="auto" w:line="276" w:before="0" w:after="0"/>
        <w:jc w:val="left"/>
        <w:rPr/>
      </w:pPr>
      <w:hyperlink w:anchor="i331e2a52ea3c48e999a1ab1df704a5e6_7">
        <w:r>
          <w:rPr>
            <w:rStyle w:val="InternetLink"/>
          </w:rPr>
          <w:t xml:space="preserve">Table of </w:t>
        </w:r>
      </w:hyperlink>
      <w:hyperlink w:anchor="i331e2a52ea3c48e999a1ab1df704a5e6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64"/>
        <w:gridCol w:w="232"/>
        <w:gridCol w:w="234"/>
        <w:gridCol w:w="109"/>
        <w:gridCol w:w="109"/>
        <w:gridCol w:w="109"/>
        <w:gridCol w:w="2782"/>
        <w:gridCol w:w="2636"/>
        <w:gridCol w:w="3730"/>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7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w:anchor="bdoconsentforyear2023audit.htm">
              <w:r>
                <w:rPr>
                  <w:rStyle w:val="InternetLink"/>
                  <w:rFonts w:ascii="Times New Roman;sans-serif" w:hAnsi="Times New Roman;sans-serif"/>
                  <w:b w:val="false"/>
                  <w:color w:val="0000FF"/>
                  <w:sz w:val="20"/>
                  <w:u w:val="single"/>
                </w:rPr>
                <w:t>23.03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BFE4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Consent of BDO China Shu Lun Pan Certified Public Accountants LLP </w:t>
            </w:r>
          </w:p>
        </w:tc>
      </w:tr>
      <w:tr>
        <w:trPr/>
        <w:tc>
          <w:tcPr>
            <w:tcW w:w="7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w:anchor="acmr-20231231xex3101.htm">
              <w:r>
                <w:rPr>
                  <w:rStyle w:val="InternetLink"/>
                  <w:rFonts w:ascii="Times New Roman;sans-serif" w:hAnsi="Times New Roman;sans-serif"/>
                  <w:b w:val="false"/>
                  <w:color w:val="0000FF"/>
                  <w:sz w:val="20"/>
                  <w:u w:val="single"/>
                </w:rPr>
                <w:t>31.01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Rules 13a-14(a) and 15d-14(a) under the Securities Exchange Act of 1934, as Adopted Pursuant to Section 302 of the Sarbanes-Oxley Act of 2002</w:t>
            </w:r>
          </w:p>
        </w:tc>
      </w:tr>
      <w:tr>
        <w:trPr/>
        <w:tc>
          <w:tcPr>
            <w:tcW w:w="7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w:anchor="acmr-20231231xex3102.htm">
              <w:r>
                <w:rPr>
                  <w:rStyle w:val="InternetLink"/>
                  <w:rFonts w:ascii="Times New Roman;sans-serif" w:hAnsi="Times New Roman;sans-serif"/>
                  <w:b w:val="false"/>
                  <w:color w:val="0000FF"/>
                  <w:sz w:val="20"/>
                  <w:u w:val="single"/>
                </w:rPr>
                <w:t>31.02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Rules 13a-14(a) and 15d-14(a) under the Securities Exchange Act of 1934, as Adopted Pursuant to Section 302 of the Sarbanes-Oxley Act of 2002</w:t>
            </w:r>
          </w:p>
        </w:tc>
      </w:tr>
      <w:tr>
        <w:trPr/>
        <w:tc>
          <w:tcPr>
            <w:tcW w:w="7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w:anchor="acmr-20231231xex3201.htm">
              <w:r>
                <w:rPr>
                  <w:rStyle w:val="InternetLink"/>
                  <w:rFonts w:ascii="Times New Roman;sans-serif" w:hAnsi="Times New Roman;sans-serif"/>
                  <w:b w:val="false"/>
                  <w:color w:val="0000FF"/>
                  <w:sz w:val="20"/>
                  <w:u w:val="single"/>
                </w:rPr>
                <w:t>32.01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and Principal Financial Officer Pursuant to 18 U.S.C. Section 1350, as Adopted Pursuant to Section 906 of the Sarbanes-Oxley Act of 2002</w:t>
            </w:r>
          </w:p>
        </w:tc>
      </w:tr>
      <w:tr>
        <w:trPr/>
        <w:tc>
          <w:tcPr>
            <w:tcW w:w="7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w:anchor="acmr-xincentivexbasedcompe.htm">
              <w:r>
                <w:rPr>
                  <w:rStyle w:val="InternetLink"/>
                  <w:rFonts w:ascii="Times New Roman;sans-serif" w:hAnsi="Times New Roman;sans-serif"/>
                  <w:b w:val="false"/>
                  <w:color w:val="0000FF"/>
                  <w:sz w:val="20"/>
                  <w:u w:val="single"/>
                </w:rPr>
                <w:t>97.01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ACM Research, Inc. Incentive-Based Compensation Recovery Policy </w:t>
            </w:r>
          </w:p>
        </w:tc>
      </w:tr>
      <w:tr>
        <w:trPr/>
        <w:tc>
          <w:tcPr>
            <w:tcW w:w="7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w:anchor="acm10-kexx99012023.htm">
              <w:r>
                <w:rPr>
                  <w:rStyle w:val="InternetLink"/>
                  <w:rFonts w:ascii="Times New Roman;sans-serif" w:hAnsi="Times New Roman;sans-serif"/>
                  <w:b w:val="false"/>
                  <w:color w:val="000000"/>
                  <w:sz w:val="20"/>
                  <w:u w:val="single"/>
                </w:rPr>
                <w:t>99.01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Submission under Item 9C(a) of Form 10-K</w:t>
            </w:r>
          </w:p>
        </w:tc>
      </w:tr>
      <w:tr>
        <w:trPr/>
        <w:tc>
          <w:tcPr>
            <w:tcW w:w="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pStyle w:val="TextBody"/>
        <w:bidi w:val="0"/>
        <w:spacing w:lineRule="auto" w:line="268" w:before="0" w:after="0"/>
        <w:ind w:left="0" w:right="0" w:hanging="360"/>
        <w:jc w:val="left"/>
        <w:rPr>
          <w:color w:val="000000"/>
        </w:rPr>
      </w:pPr>
      <w:r>
        <w:rPr>
          <w:color w:val="000000"/>
        </w:rPr>
        <w:t>‡    </w:t>
      </w:r>
      <w:r>
        <w:rPr>
          <w:rFonts w:ascii="Times New Roman;sans-serif" w:hAnsi="Times New Roman;sans-serif"/>
          <w:b w:val="false"/>
          <w:color w:val="000000"/>
          <w:sz w:val="20"/>
        </w:rPr>
        <w:t>Certain information in this exhibit was omitted by means of redacting a portion of the text and replacing it with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Unofficial English translation of original document prepared in Mandarin Chinese.</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*Certain appendices have been omitted pursuant to Item 601(a)(5) of Regulation S-K. We hereby undertake to furnish copies of the omitted appendices upon request by the Securities and Exchange Commission, provided that we may request confidential treatment pursuant to Rule 24b</w:t>
        <w:noBreakHyphen/>
        <w:t>2 of the Securities Exchange Act of 1934 for the appendices so furnished.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16840"/>
                <wp:effectExtent l="0" t="0" r="0" b="0"/>
                <wp:wrapNone/>
                <wp:docPr id="147" name="Frame1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135</w:t>
                      </w:r>
                    </w:p>
                  </w:txbxContent>
                </v:textbox>
                <w10:wrap type="none"/>
              </v:rect>
            </w:pict>
          </mc:Fallback>
        </mc:AlternateContent>
      </w:r>
    </w:p>
    <w:p>
      <w:pPr>
        <w:pStyle w:val="TextBody"/>
        <w:bidi w:val="0"/>
        <w:spacing w:lineRule="auto" w:line="276" w:before="200" w:after="200"/>
        <w:jc w:val="both"/>
        <w:rPr/>
      </w:pPr>
      <w:hyperlink w:anchor="i331e2a52ea3c48e999a1ab1df704a5e6_7">
        <w:r>
          <w:rPr>
            <w:rStyle w:val="InternetLink"/>
          </w:rPr>
          <w:t xml:space="preserve">Table of </w:t>
        </w:r>
      </w:hyperlink>
      <w:hyperlink w:anchor="i331e2a52ea3c48e999a1ab1df704a5e6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Act of 1934, the registrant has duly caused this report to be signed on its behalf by the undersigned, thereunto duly authorized, as of February 28, 2024.</w:t>
      </w:r>
    </w:p>
    <w:tbl>
      <w:tblPr>
        <w:tblW w:w="4571" w:type="dxa"/>
        <w:jc w:val="left"/>
        <w:tblInd w:w="0" w:type="dxa"/>
        <w:tblLayout w:type="fixed"/>
        <w:tblCellMar>
          <w:top w:w="28" w:type="dxa"/>
          <w:left w:w="28" w:type="dxa"/>
          <w:bottom w:w="28" w:type="dxa"/>
          <w:right w:w="28" w:type="dxa"/>
        </w:tblCellMar>
      </w:tblPr>
      <w:tblGrid>
        <w:gridCol w:w="124"/>
        <w:gridCol w:w="109"/>
        <w:gridCol w:w="109"/>
        <w:gridCol w:w="340"/>
        <w:gridCol w:w="340"/>
        <w:gridCol w:w="340"/>
        <w:gridCol w:w="934"/>
        <w:gridCol w:w="934"/>
        <w:gridCol w:w="13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6"/>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ACM RESEARCH,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David H. Wang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David H. Wang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this report has been signed below by the following persons in the capacities indicated as of February 28, 2024:</w:t>
      </w:r>
    </w:p>
    <w:tbl>
      <w:tblPr>
        <w:tblW w:w="7616" w:type="dxa"/>
        <w:jc w:val="left"/>
        <w:tblInd w:w="0" w:type="dxa"/>
        <w:tblLayout w:type="fixed"/>
        <w:tblCellMar>
          <w:top w:w="28" w:type="dxa"/>
          <w:left w:w="28" w:type="dxa"/>
          <w:bottom w:w="28" w:type="dxa"/>
          <w:right w:w="28" w:type="dxa"/>
        </w:tblCellMar>
      </w:tblPr>
      <w:tblGrid>
        <w:gridCol w:w="726"/>
        <w:gridCol w:w="640"/>
        <w:gridCol w:w="644"/>
        <w:gridCol w:w="109"/>
        <w:gridCol w:w="109"/>
        <w:gridCol w:w="109"/>
        <w:gridCol w:w="1536"/>
        <w:gridCol w:w="1536"/>
        <w:gridCol w:w="220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Title</w:t>
            </w:r>
          </w:p>
        </w:tc>
      </w:tr>
      <w:tr>
        <w:trPr/>
        <w:tc>
          <w:tcPr>
            <w:tcW w:w="201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David H. Wang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David H. Wang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Director</w:t>
            </w:r>
          </w:p>
          <w:p>
            <w:pPr>
              <w:pStyle w:val="TableContents"/>
              <w:bidi w:val="0"/>
              <w:spacing w:lineRule="auto" w:line="276" w:before="0" w:after="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Mark A. McKechnie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Mark A. McKechnie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 Treasurer</w:t>
            </w:r>
          </w:p>
          <w:p>
            <w:pPr>
              <w:pStyle w:val="TableContents"/>
              <w:bidi w:val="0"/>
              <w:spacing w:lineRule="auto" w:line="276" w:before="0" w:after="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and Accounting Officer</w:t>
            </w:r>
            <w:r>
              <w:rPr>
                <w:rFonts w:ascii="Times New Roman;sans-serif" w:hAnsi="Times New Roman;sans-serif"/>
                <w:b w:val="false"/>
                <w:color w:val="000000"/>
                <w:sz w:val="20"/>
              </w:rPr>
              <w:t>)</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Haiping Dun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Haiping Dun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Chenming Hu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Chenming Hu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Tracy Liu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Tracy Liu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Xiao Xing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Xiao Xing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16840"/>
                <wp:effectExtent l="0" t="0" r="0" b="0"/>
                <wp:wrapNone/>
                <wp:docPr id="148" name="Frame1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136</w:t>
                      </w:r>
                    </w:p>
                  </w:txbxContent>
                </v:textbox>
                <w10:wrap type="none"/>
              </v:rect>
            </w:pict>
          </mc:Fallback>
        </mc:AlternateContent>
      </w:r>
    </w:p>
    <w:p>
      <w:pPr>
        <w:pStyle w:val="TextBody"/>
        <w:bidi w:val="0"/>
        <w:spacing w:before="0" w:after="0"/>
        <w:jc w:val="left"/>
        <w:rPr>
          <w:shd w:fill="FFFFFF" w:val="clear"/>
        </w:rPr>
      </w:pPr>
      <w:r>
        <w:rPr>
          <w:shd w:fill="FFFFFF" w:val="clear"/>
        </w:rPr>
        <w:drawing>
          <wp:inline distT="0" distB="0" distL="0" distR="0">
            <wp:extent cx="5943600" cy="38100"/>
            <wp:effectExtent l="0" t="0" r="0" b="0"/>
            <wp:docPr id="14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 descr=""/>
                    <pic:cNvPicPr>
                      <a:picLocks noChangeAspect="1" noChangeArrowheads="1"/>
                    </pic:cNvPicPr>
                  </pic:nvPicPr>
                  <pic:blipFill>
                    <a:blip r:embed="rId78"/>
                    <a:stretch>
                      <a:fillRect/>
                    </a:stretch>
                  </pic:blipFill>
                  <pic:spPr bwMode="auto">
                    <a:xfrm>
                      <a:off x="0" y="0"/>
                      <a:ext cx="5943600" cy="38100"/>
                    </a:xfrm>
                    <a:prstGeom prst="rect">
                      <a:avLst/>
                    </a:prstGeom>
                  </pic:spPr>
                </pic:pic>
              </a:graphicData>
            </a:graphic>
          </wp:inline>
        </w:drawing>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4.05</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Description of ACM Research, Inc. Securities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information constitutes the “Description of Securities” required by Item 202(a) of Regulation S-K. As of February 28, 2024, ACM Research, Inc. has one class of securities registered under Section 12 of the Securities Exchange Act of 1934, as amended, which is its Class A common stock, $0.0001 par value per share.</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References herein to “we,” “our,” “us,” or “our company” refer to ACM Research, Inc., a Delaware corporation. The following information summarizes the material terms of our common and preferred stock and warrants, as well as relevant provisions of our charter, which includes certificates of designations relating to each series of our preferred stock, and bylaws, the Delaware General Corporation Law and the Warrant (as defined below). For a complete description of the terms of our common stock and other securities, please refer to our charter and bylaws and the Warrant.</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Authorized Capital Stock</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authorized capital stock consists of (i) 150,000,000 shares of Class A common stock, $0.0001 par value per share, of which 60,000,000 are available only for issuance as dividends on outstanding Class A common stock, (ii) 5,307,816 shares of Class B common stock, $0.0001 par value per share, all of which are available only for issuance as dividends on outstanding Class B common stock, and (iii) 10,000,000 shares of preferred stock, $0.0001 par value per share. Class A common stock and Class B common stock are referred to collectively as common stock. Authorized but unissued shares of Class B Common Stock are not available for reissuance.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Common Stock</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Voting Rights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Except as otherwise required by Delaware law, at every annual or special meeting of stockholders, holders of Class B common stock are entitled to twenty votes per share and holders of Class A common stock are entitled to one vote per share. The holders of Class A common stock and Class B common stock vote together as a single class, unless otherwise required by law.</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Dividends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preferences that may be applicable to any then outstanding preferred stock, the holders of our outstanding shares of common stock are entitled to receive dividends, if any, as may be declared from time to time by the board of directors out of legally available funds. The holders of Class A common stock and Class B common stock are entitled to share equally, identically and ratably, on a per share basis, with respect to any dividend or distribution unless different treatment of the shares of each such class is approved by the affirmative vote of the holders of a majority of the outstanding shares of Class A common stock and Class B common stock, each voting separately as a class. At present, we have no plans to issue dividends.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Liquidation</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Conversion</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Each outstanding share of Class B common stock is convertible into one share of Class A common stock (a) at any time, at the option of the holder, or (b) upon any transfer of such share of Class B common stock, whether or not for value, except for certain transfers described in our charter, including transfers to family members, trusts solely for the benefit of the stockholder or their family members, and partnerships, corporations, and other entities exclusively owned by the stockholder or their family members. Once converted or transferred and converted into Class A common stock, shares of Class B common stock will not be reissued.</w:t>
      </w:r>
    </w:p>
    <w:p>
      <w:pPr>
        <w:pStyle w:val="TextBody"/>
        <w:bidi w:val="0"/>
        <w:spacing w:before="0" w:after="0"/>
        <w:jc w:val="left"/>
        <w:rPr/>
      </w:pPr>
      <w:r>
        <w:rPr/>
      </w:r>
    </w:p>
    <w:p>
      <w:pPr>
        <w:pStyle w:val="TextBody"/>
        <w:bidi w:val="0"/>
        <w:jc w:val="left"/>
        <w:rPr>
          <w:shd w:fill="FFFFFF" w:val="clear"/>
        </w:rPr>
      </w:pPr>
      <w:r>
        <w:rPr>
          <w:shd w:fill="FFFFFF" w:val="clear"/>
        </w:rPr>
        <w:drawing>
          <wp:inline distT="0" distB="0" distL="0" distR="0">
            <wp:extent cx="5943600" cy="19050"/>
            <wp:effectExtent l="0" t="0" r="0" b="0"/>
            <wp:docPr id="15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 descr=""/>
                    <pic:cNvPicPr>
                      <a:picLocks noChangeAspect="1" noChangeArrowheads="1"/>
                    </pic:cNvPicPr>
                  </pic:nvPicPr>
                  <pic:blipFill>
                    <a:blip r:embed="rId79"/>
                    <a:stretch>
                      <a:fillRect/>
                    </a:stretch>
                  </pic:blipFill>
                  <pic:spPr bwMode="auto">
                    <a:xfrm>
                      <a:off x="0" y="0"/>
                      <a:ext cx="5943600" cy="190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1"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Rights and Preferences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than as described above, holders of common stock have no preemptive, conversion or subscription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we may designate and issue in the future.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Preferred Stock</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terms of our charter, the board of directors is authorized to issue up to 10,000,000 shares of preferred stock in one or more series, to establish the number of shares to be included in each such series, and to fix the designation, powers, preferences and rights of such shares and any qualifications, limitations or restrictions thereof. These rights, preferences and privileges could include dividend rights, conversion rights, voting rights, terms of redemption, liquidation preferences, sinking fund terms and other provisions, any or all of which may be greater than the rights of common stock. The issuance of preferred stock with voting and conversion rights may adversely affect the voting power of the holders of common stock, including the loss of voting control to others,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Anti-Takeover Provisions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 long as the outstanding shares of Class B common stock represent a majority of the combined voting power of common stock, the holders of Class B common stock will effectively control all matters submitted to our stockholders for a vote, as well as the overall management and direction of our company, which will have the effect of delaying, deferring or discouraging another person from acquiring control of our company.</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After such time as the shares of Class B common stock no longer represent a majority of the combined voting power of common stock, the provisions of Delaware law, and our charter and our bylaws may have the effect of delaying, deferring or discouraging another person from acquiring control of our company.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Delaware Law</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Section 203 of the Delaware General Corporation Law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transaction is approved by the board of directors prior to the time that the interested stockholder became an interested stockholder;</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transaction, which resulted in the stockholder’s becoming an interested stockholder, the interested stockholder owned at least 85% of the voting stock of the corporation outstanding at the time the transaction commenced, excluding stock owned by directors who are also officers of the corporation; or</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such time that the stockholder became an interested stockholder the business combination is approved by the board and authorized at an annual or special meeting of stockholders by at least two-thirds of the outstanding voting stock that is not owned by the interested stockholder.</w:t>
            </w:r>
          </w:p>
        </w:tc>
      </w:tr>
    </w:tbl>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Delaware corporation may “opt out” of these provisions with an express provision in its original charter or an express provision in its charter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pStyle w:val="TextBody"/>
        <w:bidi w:val="0"/>
        <w:jc w:val="left"/>
        <w:rPr>
          <w:shd w:fill="FFFFFF" w:val="clear"/>
        </w:rPr>
      </w:pPr>
      <w:r>
        <w:rPr>
          <w:shd w:fill="FFFFFF" w:val="clear"/>
        </w:rPr>
        <w:drawing>
          <wp:inline distT="0" distB="0" distL="0" distR="0">
            <wp:extent cx="5943600" cy="19050"/>
            <wp:effectExtent l="0" t="0" r="0" b="0"/>
            <wp:docPr id="15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 descr=""/>
                    <pic:cNvPicPr>
                      <a:picLocks noChangeAspect="1" noChangeArrowheads="1"/>
                    </pic:cNvPicPr>
                  </pic:nvPicPr>
                  <pic:blipFill>
                    <a:blip r:embed="rId80"/>
                    <a:stretch>
                      <a:fillRect/>
                    </a:stretch>
                  </pic:blipFill>
                  <pic:spPr bwMode="auto">
                    <a:xfrm>
                      <a:off x="0" y="0"/>
                      <a:ext cx="5943600" cy="190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53"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Charter and Bylaw Provisions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charter and bylaws include a number of provisions that may have the effect of deterring hostile takeovers or delaying or preventing changes in control of our company, even after such time as the shares of Class B common stock no longer represent a majority of the combined voting power of common stock, including the following: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Separate Class B Vote for Certain Transactions</w:t>
            </w:r>
            <w:r>
              <w:rPr>
                <w:rFonts w:ascii="Times New Roman;sans-serif" w:hAnsi="Times New Roman;sans-serif"/>
                <w:b w:val="false"/>
                <w:color w:val="000000"/>
                <w:sz w:val="20"/>
              </w:rPr>
              <w:t>. Until the first date on which the outstanding shares of Class B common stock represent less than 35% of the combined voting power of common stock,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Class A and Class B common stock, voting together on a combined basis.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Dual Class Stock</w:t>
            </w:r>
            <w:r>
              <w:rPr>
                <w:rFonts w:ascii="Times New Roman;sans-serif" w:hAnsi="Times New Roman;sans-serif"/>
                <w:b w:val="false"/>
                <w:color w:val="000000"/>
                <w:sz w:val="20"/>
              </w:rPr>
              <w:t>. As described above in “-Common Stock-Voting Rights” above, our charter provides for a dual class common stock structure, which provides certain members of our senior management with the ability to control the outcome of matters requiring stockholder approval, even if they collectively own significantly less than a majority of the shares of our outstanding Class A and Class B common stock, including the election of directors and significant corporate transactions, such as a merger or other sale of our company or its assets.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Supermajority Approvals</w:t>
            </w:r>
            <w:r>
              <w:rPr>
                <w:rFonts w:ascii="Times New Roman;sans-serif" w:hAnsi="Times New Roman;sans-serif"/>
                <w:b w:val="false"/>
                <w:color w:val="000000"/>
                <w:sz w:val="20"/>
              </w:rPr>
              <w:t>. Our charter and bylaws provide that when the outstanding shares of Class B common stock represent less than a majority of the combined voting power of common stock, certain amendments to our charter or bylaws will require the approval of two-thirds of the combined vote of our then-outstanding shares of Class A and Class B common stock. This will have the effect of making it more difficult to amend our charter or bylaws to remove or modify certain provisions.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Board of Directors Vacancies</w:t>
            </w:r>
            <w:r>
              <w:rPr>
                <w:rFonts w:ascii="Times New Roman;sans-serif" w:hAnsi="Times New Roman;sans-serif"/>
                <w:b w:val="false"/>
                <w:color w:val="000000"/>
                <w:sz w:val="20"/>
              </w:rPr>
              <w:t>. Our charter and bylaws provide that stockholders may fill vacant directorships. When the outstanding shares of Class B common stock represent less than a majority of the combined voting power of common stock, our charter and bylaws authorize only the board of directors to fill vacant directorships. In addition, the number of directors constituting the board is set only by resolution adopted by a majority vote of our entire board. These provisions restricting the filling of vacancies will prevent a stockholder from increasing the size of the board and gaining control of the board by filling the resulting vacancies with its own nominees. Our charter provides that directors may be removed with or without cause only by the affirmative vote of the holders of at least two-thirds of the votes that all of the stockholders would be entitled to cast in any annual election of directors.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Classified Board</w:t>
            </w:r>
            <w:r>
              <w:rPr>
                <w:rFonts w:ascii="Times New Roman;sans-serif" w:hAnsi="Times New Roman;sans-serif"/>
                <w:b w:val="false"/>
                <w:color w:val="000000"/>
                <w:sz w:val="20"/>
              </w:rPr>
              <w:t>. The board of directors is not currently classified. Our charter and bylaws provide that when outstanding shares of Class B common stock represent less than a majority of the combined voting power of common stock, the board will be classified into three classes of directors, each of which will hold office for a three-year term. In addition, thereafter, directors may be removed from the board with or without cause only by the affirmative vote of the holders of at least two-thirds of the voting power of the then-outstanding shares of Class A and Class B common stock. The existence of a classified board could delay a successful tender offeror from obtaining majority control of the board, and the prospect of that delay might deter a potential offeror.</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Stockholder Action; Special Meeting of Stockholders</w:t>
            </w:r>
            <w:r>
              <w:rPr>
                <w:rFonts w:ascii="Times New Roman;sans-serif" w:hAnsi="Times New Roman;sans-serif"/>
                <w:b w:val="false"/>
                <w:color w:val="000000"/>
                <w:sz w:val="20"/>
              </w:rPr>
              <w:t>. Our charter provides that stockholders will be able to take action by written consent. When the outstanding shares of Class B common stock represent less than a majority of the combined voting power of common stock, our stockholders will no longer be able to take action by written consent, and will only be able to take action at annual or special meetings of our stockholders. Stockholders will not be permitted to cumulate their votes for the election of directors. The absence of cumulative voting may make it more difficult for stockholders who own less than a majority in voting power to elect any directors to the board of directors. Our bylaws further provide that special meetings of our stockholders may be called only by the board, the chair of the board or our chief executive officer. A stockholder may not call a special meeting, which may delay the ability of our stockholders to force consideration of a proposal or for holders controlling a majority in voting power of our capital stock to take any action, including the removal of director.</w:t>
            </w:r>
          </w:p>
        </w:tc>
      </w:tr>
    </w:tbl>
    <w:p>
      <w:pPr>
        <w:pStyle w:val="TextBody"/>
        <w:bidi w:val="0"/>
        <w:spacing w:before="0" w:after="0"/>
        <w:jc w:val="left"/>
        <w:rPr/>
      </w:pPr>
      <w:r>
        <w:rPr/>
      </w:r>
    </w:p>
    <w:p>
      <w:pPr>
        <w:pStyle w:val="TextBody"/>
        <w:bidi w:val="0"/>
        <w:jc w:val="left"/>
        <w:rPr>
          <w:shd w:fill="FFFFFF" w:val="clear"/>
        </w:rPr>
      </w:pPr>
      <w:r>
        <w:rPr>
          <w:shd w:fill="FFFFFF" w:val="clear"/>
        </w:rPr>
        <w:drawing>
          <wp:inline distT="0" distB="0" distL="0" distR="0">
            <wp:extent cx="5943600" cy="19050"/>
            <wp:effectExtent l="0" t="0" r="0" b="0"/>
            <wp:docPr id="15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6" descr=""/>
                    <pic:cNvPicPr>
                      <a:picLocks noChangeAspect="1" noChangeArrowheads="1"/>
                    </pic:cNvPicPr>
                  </pic:nvPicPr>
                  <pic:blipFill>
                    <a:blip r:embed="rId81"/>
                    <a:stretch>
                      <a:fillRect/>
                    </a:stretch>
                  </pic:blipFill>
                  <pic:spPr bwMode="auto">
                    <a:xfrm>
                      <a:off x="0" y="0"/>
                      <a:ext cx="5943600" cy="190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55"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Advance Notice Requirements for Stockholder Proposals and Director Nominations</w:t>
            </w:r>
            <w:r>
              <w:rPr>
                <w:rFonts w:ascii="Times New Roman;sans-serif" w:hAnsi="Times New Roman;sans-serif"/>
                <w:b w:val="false"/>
                <w:color w:val="000000"/>
                <w:sz w:val="20"/>
              </w:rPr>
              <w:t>. Our bylaws provide advance notice procedures for stockholders seeking to bring business before our annual meeting of stockholders, or to nominate candidates for election as directors at any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Issuance of Undesignated Preferred Stock</w:t>
            </w:r>
            <w:r>
              <w:rPr>
                <w:rFonts w:ascii="Times New Roman;sans-serif" w:hAnsi="Times New Roman;sans-serif"/>
                <w:b w:val="false"/>
                <w:color w:val="000000"/>
                <w:sz w:val="20"/>
              </w:rPr>
              <w:t>. The board of directors has the authority, without further action by the stockholders, to issue shares of undesignated preferred stock with rights and preferences, including voting rights, designated from time to time by the board. The existence of authorized but unissued shares of preferred stock enables the board to render more difficult or to discourage an attempt to obtain control of us by means of a merger, tender offer, proxy contest or otherwise.</w:t>
            </w:r>
          </w:p>
        </w:tc>
      </w:tr>
    </w:tbl>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Choice of Forum</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charter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our charter or bylaws; any action to interpret, apply, enforce, or determine the validity of our charter or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The choice of forum provision summarized above is not intended to, and would not, apply to suits brought to enforce any liability or duty created by (i) the Securities Act of 1933 or the rules and regulations thereunder, jurisdiction over which is vested in concurrently vested in federal and state courts, or (ii) the Securities Exchange Act of 1934 or the rules and regulations thereunder, jurisdiction over which is exclusively vested by statute in the U.S. federal courts.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Transfer Agent and Registrar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transfer agent and registrar for our common stock is Computershare Trust Company, N.A.</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Nasdaq Global Market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Class A common stock is listed on the Nasdaq Global Market under the symbol “ACMR.”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shd w:fill="FFFFFF" w:val="clear"/>
        </w:rPr>
      </w:pPr>
      <w:r>
        <w:rPr>
          <w:shd w:fill="FFFFFF" w:val="clear"/>
        </w:rPr>
        <w:drawing>
          <wp:inline distT="0" distB="0" distL="0" distR="0">
            <wp:extent cx="5943600" cy="19050"/>
            <wp:effectExtent l="0" t="0" r="0" b="0"/>
            <wp:docPr id="15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7" descr=""/>
                    <pic:cNvPicPr>
                      <a:picLocks noChangeAspect="1" noChangeArrowheads="1"/>
                    </pic:cNvPicPr>
                  </pic:nvPicPr>
                  <pic:blipFill>
                    <a:blip r:embed="rId82"/>
                    <a:stretch>
                      <a:fillRect/>
                    </a:stretch>
                  </pic:blipFill>
                  <pic:spPr bwMode="auto">
                    <a:xfrm>
                      <a:off x="0" y="0"/>
                      <a:ext cx="5943600" cy="19050"/>
                    </a:xfrm>
                    <a:prstGeom prst="rect">
                      <a:avLst/>
                    </a:prstGeom>
                  </pic:spPr>
                </pic:pic>
              </a:graphicData>
            </a:graphic>
          </wp:inline>
        </w:drawing>
      </w:r>
    </w:p>
    <w:p>
      <w:pPr>
        <w:pStyle w:val="TextBody"/>
        <w:bidi w:val="0"/>
        <w:spacing w:before="0" w:after="283"/>
        <w:jc w:val="left"/>
        <w:rPr/>
      </w:pPr>
      <w:r>
        <w:rPr/>
      </w:r>
    </w:p>
    <w:p>
      <w:pPr>
        <w:pStyle w:val="TextBody"/>
        <w:bidi w:val="0"/>
        <w:jc w:val="center"/>
        <w:rPr/>
      </w:pPr>
      <w:bookmarkStart w:id="1" w:name="usfremontofficelease_202.htm"/>
      <w:bookmarkStart w:id="2" w:name="ksusfremontofficelease_202"/>
      <w:bookmarkEnd w:id="1"/>
      <w:bookmarkEnd w:id="2"/>
      <w:r>
        <w:rPr/>
        <w:drawing>
          <wp:inline distT="0" distB="0" distL="0" distR="0">
            <wp:extent cx="9982200" cy="13001625"/>
            <wp:effectExtent l="0" t="0" r="0" b="0"/>
            <wp:docPr id="15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8" descr=""/>
                    <pic:cNvPicPr>
                      <a:picLocks noChangeAspect="1" noChangeArrowheads="1"/>
                    </pic:cNvPicPr>
                  </pic:nvPicPr>
                  <pic:blipFill>
                    <a:blip r:embed="rId83"/>
                    <a:stretch>
                      <a:fillRect/>
                    </a:stretch>
                  </pic:blipFill>
                  <pic:spPr bwMode="auto">
                    <a:xfrm>
                      <a:off x="0" y="0"/>
                      <a:ext cx="99822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58"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shd w:fill="FFFFFF" w:val="clear"/>
        </w:rPr>
      </w:pPr>
      <w:r>
        <w:rPr>
          <w:shd w:fill="FFFFFF" w:val="clear"/>
        </w:rPr>
        <w:drawing>
          <wp:inline distT="0" distB="0" distL="0" distR="0">
            <wp:extent cx="5943600" cy="38100"/>
            <wp:effectExtent l="0" t="0" r="0" b="0"/>
            <wp:docPr id="15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9" descr=""/>
                    <pic:cNvPicPr>
                      <a:picLocks noChangeAspect="1" noChangeArrowheads="1"/>
                    </pic:cNvPicPr>
                  </pic:nvPicPr>
                  <pic:blipFill>
                    <a:blip r:embed="rId84"/>
                    <a:stretch>
                      <a:fillRect/>
                    </a:stretch>
                  </pic:blipFill>
                  <pic:spPr bwMode="auto">
                    <a:xfrm>
                      <a:off x="0" y="0"/>
                      <a:ext cx="5943600" cy="38100"/>
                    </a:xfrm>
                    <a:prstGeom prst="rect">
                      <a:avLst/>
                    </a:prstGeom>
                  </pic:spPr>
                </pic:pic>
              </a:graphicData>
            </a:graphic>
          </wp:inline>
        </w:drawing>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21.01</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LIST OF SUBSIDIARIES</w:t>
      </w:r>
    </w:p>
    <w:p>
      <w:pPr>
        <w:pStyle w:val="TextBody"/>
        <w:bidi w:val="0"/>
        <w:spacing w:before="0" w:after="0"/>
        <w:jc w:val="left"/>
        <w:rPr/>
      </w:pPr>
      <w:r>
        <w:rPr/>
      </w:r>
    </w:p>
    <w:tbl>
      <w:tblPr>
        <w:tblW w:w="8756" w:type="dxa"/>
        <w:jc w:val="left"/>
        <w:tblInd w:w="0" w:type="dxa"/>
        <w:tblLayout w:type="fixed"/>
        <w:tblCellMar>
          <w:top w:w="28" w:type="dxa"/>
          <w:left w:w="28" w:type="dxa"/>
          <w:bottom w:w="28" w:type="dxa"/>
          <w:right w:w="28" w:type="dxa"/>
        </w:tblCellMar>
      </w:tblPr>
      <w:tblGrid>
        <w:gridCol w:w="1587"/>
        <w:gridCol w:w="1394"/>
        <w:gridCol w:w="1398"/>
        <w:gridCol w:w="109"/>
        <w:gridCol w:w="109"/>
        <w:gridCol w:w="109"/>
        <w:gridCol w:w="1184"/>
        <w:gridCol w:w="1184"/>
        <w:gridCol w:w="1682"/>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 or Organization</w:t>
            </w:r>
          </w:p>
        </w:tc>
      </w:tr>
      <w:tr>
        <w:trPr/>
        <w:tc>
          <w:tcPr>
            <w:tcW w:w="437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Research (Shanghai),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CleanChip Technologies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Research (Wuxi),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Research Korea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Shengwei Research (Shanghai), Inc.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Research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Research (CA),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Research (Cayman),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37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Research (Beijing), Inc.</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Hanguk ACM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Korea</w:t>
            </w:r>
          </w:p>
        </w:tc>
      </w:tr>
      <w:tr>
        <w:trPr/>
        <w:tc>
          <w:tcPr>
            <w:tcW w:w="437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Yusheng Micro Semiconductor (Shanghai), Co., Ltd.</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ACM-Wooil Microelectronics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shd w:fill="FFFFFF" w:val="clear"/>
        </w:rPr>
      </w:pPr>
      <w:r>
        <w:rPr>
          <w:shd w:fill="FFFFFF" w:val="clear"/>
        </w:rPr>
        <w:drawing>
          <wp:inline distT="0" distB="0" distL="0" distR="0">
            <wp:extent cx="5943600" cy="19050"/>
            <wp:effectExtent l="0" t="0" r="0" b="0"/>
            <wp:docPr id="1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20" descr=""/>
                    <pic:cNvPicPr>
                      <a:picLocks noChangeAspect="1" noChangeArrowheads="1"/>
                    </pic:cNvPicPr>
                  </pic:nvPicPr>
                  <pic:blipFill>
                    <a:blip r:embed="rId85"/>
                    <a:stretch>
                      <a:fillRect/>
                    </a:stretch>
                  </pic:blipFill>
                  <pic:spPr bwMode="auto">
                    <a:xfrm>
                      <a:off x="0" y="0"/>
                      <a:ext cx="5943600" cy="190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 ACM Research (Lingang) Inc. is the English name referred to by its Chinese language name Shengwei Research (Shanghai), Inc. ACM Research (Lingang), Inc. and Shengwei Research (Shanghai), Inc. refer to the same entity.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333333"/>
          <w:sz w:val="22"/>
          <w:shd w:fill="FFFFFF" w:val="clear"/>
        </w:rPr>
      </w:pPr>
      <w:r>
        <w:rPr>
          <w:rFonts w:ascii="Times New Roman;sans-serif" w:hAnsi="Times New Roman;sans-serif"/>
          <w:b w:val="false"/>
          <w:color w:val="333333"/>
          <w:sz w:val="22"/>
          <w:shd w:fill="FFFFFF" w:val="clear"/>
        </w:rPr>
        <w:t>We consent to the incorporation by reference in the following Registration Statements:</w:t>
      </w:r>
    </w:p>
    <w:p>
      <w:pPr>
        <w:pStyle w:val="TextBody"/>
        <w:bidi w:val="0"/>
        <w:spacing w:before="0" w:after="0"/>
        <w:jc w:val="both"/>
        <w:rPr/>
      </w:pPr>
      <w:r>
        <w:rPr/>
      </w:r>
    </w:p>
    <w:p>
      <w:pPr>
        <w:pStyle w:val="TextBody"/>
        <w:bidi w:val="0"/>
        <w:spacing w:lineRule="auto" w:line="456" w:before="0" w:after="0"/>
        <w:ind w:left="0" w:right="0" w:hanging="360"/>
        <w:jc w:val="left"/>
        <w:rPr/>
      </w:pPr>
      <w:r>
        <w:rPr>
          <w:rFonts w:ascii="Times New Roman;sans-serif" w:hAnsi="Times New Roman;sans-serif"/>
          <w:b w:val="false"/>
          <w:color w:val="333333"/>
          <w:sz w:val="22"/>
        </w:rPr>
        <w:t>(1)</w:t>
      </w:r>
      <w:r>
        <w:rPr>
          <w:rFonts w:ascii="Times New Roman;sans-serif" w:hAnsi="Times New Roman;sans-serif"/>
          <w:b w:val="false"/>
          <w:color w:val="333333"/>
          <w:sz w:val="22"/>
          <w:shd w:fill="FFFFFF" w:val="clear"/>
        </w:rPr>
        <w:t xml:space="preserve">Registration Statement (Form S-8 No. </w:t>
      </w:r>
      <w:r>
        <w:rPr>
          <w:rFonts w:ascii="Times New Roman;sans-serif" w:hAnsi="Times New Roman;sans-serif"/>
          <w:b w:val="false"/>
          <w:color w:val="000000"/>
          <w:sz w:val="22"/>
          <w:shd w:fill="FFFFFF" w:val="clear"/>
        </w:rPr>
        <w:t>333-222702</w:t>
      </w:r>
      <w:r>
        <w:rPr>
          <w:rFonts w:ascii="Times New Roman;sans-serif" w:hAnsi="Times New Roman;sans-serif"/>
          <w:b w:val="false"/>
          <w:color w:val="333333"/>
          <w:sz w:val="22"/>
          <w:shd w:fill="FFFFFF" w:val="clear"/>
        </w:rPr>
        <w:t>) pertaining to 1998 Stock Option Plan and 2016 Omnibus Incentive Plan of ACM Research, Inc.;</w:t>
      </w:r>
    </w:p>
    <w:p>
      <w:pPr>
        <w:pStyle w:val="TextBody"/>
        <w:bidi w:val="0"/>
        <w:spacing w:lineRule="auto" w:line="456" w:before="0" w:after="0"/>
        <w:ind w:left="0" w:right="0" w:hanging="360"/>
        <w:jc w:val="left"/>
        <w:rPr/>
      </w:pPr>
      <w:r>
        <w:rPr>
          <w:rFonts w:ascii="Times New Roman;sans-serif" w:hAnsi="Times New Roman;sans-serif"/>
          <w:b w:val="false"/>
          <w:color w:val="333333"/>
          <w:sz w:val="22"/>
        </w:rPr>
        <w:t>(2)</w:t>
      </w:r>
      <w:r>
        <w:rPr>
          <w:rFonts w:ascii="Times New Roman;sans-serif" w:hAnsi="Times New Roman;sans-serif"/>
          <w:b w:val="false"/>
          <w:color w:val="333333"/>
          <w:sz w:val="22"/>
          <w:shd w:fill="FFFFFF" w:val="clear"/>
        </w:rPr>
        <w:t>Registration Statement (Form S-8 No. 333-</w:t>
      </w:r>
      <w:r>
        <w:rPr>
          <w:rFonts w:ascii="Times New Roman;sans-serif" w:hAnsi="Times New Roman;sans-serif"/>
          <w:b w:val="false"/>
          <w:color w:val="000000"/>
          <w:sz w:val="22"/>
          <w:shd w:fill="FFFFFF" w:val="clear"/>
        </w:rPr>
        <w:t>232780</w:t>
      </w:r>
      <w:r>
        <w:rPr>
          <w:rFonts w:ascii="Times New Roman;sans-serif" w:hAnsi="Times New Roman;sans-serif"/>
          <w:b w:val="false"/>
          <w:color w:val="333333"/>
          <w:sz w:val="22"/>
          <w:shd w:fill="FFFFFF" w:val="clear"/>
        </w:rPr>
        <w:t xml:space="preserve">) pertaining to </w:t>
      </w:r>
      <w:r>
        <w:rPr>
          <w:rFonts w:ascii="Times New Roman;sans-serif" w:hAnsi="Times New Roman;sans-serif"/>
          <w:b w:val="false"/>
          <w:color w:val="000000"/>
          <w:sz w:val="22"/>
          <w:shd w:fill="FFFFFF" w:val="clear"/>
        </w:rPr>
        <w:t>2016 Omnibus Incentive Plan of ACM Research, Inc.;</w:t>
      </w:r>
      <w:r>
        <w:rPr>
          <w:color w:val="333333"/>
          <w:shd w:fill="FFFFFF" w:val="clear"/>
        </w:rPr>
        <w:t xml:space="preserve"> </w:t>
      </w:r>
    </w:p>
    <w:p>
      <w:pPr>
        <w:pStyle w:val="TextBody"/>
        <w:bidi w:val="0"/>
        <w:spacing w:lineRule="auto" w:line="456" w:before="0" w:after="0"/>
        <w:ind w:left="0" w:right="0" w:hanging="360"/>
        <w:jc w:val="left"/>
        <w:rPr/>
      </w:pPr>
      <w:r>
        <w:rPr>
          <w:rFonts w:ascii="Times New Roman;sans-serif" w:hAnsi="Times New Roman;sans-serif"/>
          <w:b w:val="false"/>
          <w:color w:val="333333"/>
          <w:sz w:val="22"/>
        </w:rPr>
        <w:t>(3)</w:t>
      </w:r>
      <w:r>
        <w:rPr>
          <w:rFonts w:ascii="Times New Roman;sans-serif" w:hAnsi="Times New Roman;sans-serif"/>
          <w:b w:val="false"/>
          <w:color w:val="333333"/>
          <w:sz w:val="22"/>
          <w:shd w:fill="FFFFFF" w:val="clear"/>
        </w:rPr>
        <w:t>Registration Statement (Form S-8 No. 333-</w:t>
      </w:r>
      <w:r>
        <w:rPr>
          <w:rFonts w:ascii="Times New Roman;sans-serif" w:hAnsi="Times New Roman;sans-serif"/>
          <w:b w:val="false"/>
          <w:color w:val="000000"/>
          <w:sz w:val="22"/>
          <w:shd w:fill="FFFFFF" w:val="clear"/>
        </w:rPr>
        <w:t>254150</w:t>
      </w:r>
      <w:r>
        <w:rPr>
          <w:rFonts w:ascii="Times New Roman;sans-serif" w:hAnsi="Times New Roman;sans-serif"/>
          <w:b w:val="false"/>
          <w:color w:val="333333"/>
          <w:sz w:val="22"/>
          <w:shd w:fill="FFFFFF" w:val="clear"/>
        </w:rPr>
        <w:t xml:space="preserve">) pertaining to </w:t>
      </w:r>
      <w:r>
        <w:rPr>
          <w:rFonts w:ascii="Times New Roman;sans-serif" w:hAnsi="Times New Roman;sans-serif"/>
          <w:b w:val="false"/>
          <w:color w:val="000000"/>
          <w:sz w:val="22"/>
          <w:shd w:fill="FFFFFF" w:val="clear"/>
        </w:rPr>
        <w:t>2016 Omnibus Incentive Plan of ACM Research, Inc.</w:t>
      </w:r>
      <w:r>
        <w:rPr>
          <w:rFonts w:ascii="Times New Roman;sans-serif" w:hAnsi="Times New Roman;sans-serif"/>
          <w:b w:val="false"/>
          <w:color w:val="333333"/>
          <w:sz w:val="22"/>
          <w:shd w:fill="FFFFFF" w:val="clear"/>
        </w:rPr>
        <w:t>; and</w:t>
      </w:r>
    </w:p>
    <w:p>
      <w:pPr>
        <w:pStyle w:val="TextBody"/>
        <w:bidi w:val="0"/>
        <w:spacing w:lineRule="auto" w:line="456" w:before="0" w:after="0"/>
        <w:ind w:left="0" w:right="0" w:hanging="360"/>
        <w:jc w:val="left"/>
        <w:rPr/>
      </w:pPr>
      <w:r>
        <w:rPr>
          <w:rFonts w:ascii="Times New Roman;sans-serif" w:hAnsi="Times New Roman;sans-serif"/>
          <w:b w:val="false"/>
          <w:color w:val="333333"/>
          <w:sz w:val="22"/>
        </w:rPr>
        <w:t>(4)</w:t>
      </w:r>
      <w:r>
        <w:rPr>
          <w:rFonts w:ascii="Times New Roman;sans-serif" w:hAnsi="Times New Roman;sans-serif"/>
          <w:b w:val="false"/>
          <w:color w:val="333333"/>
          <w:sz w:val="22"/>
          <w:shd w:fill="FFFFFF" w:val="clear"/>
        </w:rPr>
        <w:t xml:space="preserve">Registration Statement (Form S-8 No. 333-271931) pertaining to </w:t>
      </w:r>
      <w:r>
        <w:rPr>
          <w:rFonts w:ascii="Times New Roman;sans-serif" w:hAnsi="Times New Roman;sans-serif"/>
          <w:b w:val="false"/>
          <w:color w:val="000000"/>
          <w:sz w:val="22"/>
          <w:shd w:fill="FFFFFF" w:val="clear"/>
        </w:rPr>
        <w:t>2016 Omnibus Incentive Plan of ACM Research, Inc.</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of our reports dated February 28, 2024, with respect to the consolidated financial statements of ACM Research, Inc. and the effectiveness of internal control over financial reporting of ACM Research, Inc. included in this Annual Report (Form 10-K) of ACM Research, Inc. for the year ended December 31,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 Ernst &amp; Young Hua Ming LLP</w:t>
      </w:r>
    </w:p>
    <w:p>
      <w:pPr>
        <w:pStyle w:val="TextBody"/>
        <w:bidi w:val="0"/>
        <w:spacing w:lineRule="auto" w:line="319" w:before="0" w:after="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Shanghai, the People’s Republic of China </w: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February 28, 2024</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hereby consent to the incorporation by reference in the Registration Statement on Form S-8 (Nos. 333-271931, 333-254150, 333-232780 and 333-222702) of our report dated March 1, 2023, relating to the consolidated financial statements, of ACM Research, Inc. and subsidiaries (the “Company”), appearing in this Annual Report on Form 10-K of ACM Research, Inc. and subsidiaries for the year ended December 31, 2023. </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/s/ Armanino</w:t>
      </w:r>
      <w:r>
        <w:rPr>
          <w:rFonts w:ascii="Times New Roman;sans-serif" w:hAnsi="Times New Roman;sans-serif"/>
          <w:b w:val="false"/>
          <w:color w:val="000000"/>
          <w:sz w:val="14"/>
        </w:rPr>
        <w:t>LLP</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San Ramon, California </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February 28,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5667375" cy="552450"/>
            <wp:effectExtent l="0" t="0" r="0" b="0"/>
            <wp:docPr id="16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21" descr=""/>
                    <pic:cNvPicPr>
                      <a:picLocks noChangeAspect="1" noChangeArrowheads="1"/>
                    </pic:cNvPicPr>
                  </pic:nvPicPr>
                  <pic:blipFill>
                    <a:blip r:embed="rId86"/>
                    <a:stretch>
                      <a:fillRect/>
                    </a:stretch>
                  </pic:blipFill>
                  <pic:spPr bwMode="auto">
                    <a:xfrm>
                      <a:off x="0" y="0"/>
                      <a:ext cx="5667375" cy="552450"/>
                    </a:xfrm>
                    <a:prstGeom prst="rect">
                      <a:avLst/>
                    </a:prstGeom>
                  </pic:spPr>
                </pic:pic>
              </a:graphicData>
            </a:graphic>
          </wp:inline>
        </w:drawing>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Consent of Independent Registered Public Accounting Firm</w:t>
      </w:r>
    </w:p>
    <w:p>
      <w:pPr>
        <w:pStyle w:val="TextBody"/>
        <w:bidi w:val="0"/>
        <w:spacing w:before="240" w:after="283"/>
        <w:jc w:val="both"/>
        <w:rPr/>
      </w:pPr>
      <w:r>
        <w:rPr/>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Research, Inc.</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42307 Osgood Road, Suite I</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Fremont, California 94539</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 S-8 (No. 333-222702, 333-232780, 333-254150 and 333-271931) of ACM Research, Inc. of our report dated March 1, 2022 except for the effects of the common stock split discussed in Notes 1 and 2 to the consolidated financial statements, as to which the date is March 1, 2023, relating to the consolidated financial statements, which appear in this Form 10-K.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/s/BDO China Shu Lun Pan Certified Public Accountants LLP</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Shenzhen, The People’s Republic of China</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Exhibit 31.01</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David H. Wang,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ACM Research,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294" w:type="dxa"/>
        <w:jc w:val="left"/>
        <w:tblInd w:w="0" w:type="dxa"/>
        <w:tblLayout w:type="fixed"/>
        <w:tblCellMar>
          <w:top w:w="28" w:type="dxa"/>
          <w:left w:w="28" w:type="dxa"/>
          <w:bottom w:w="28" w:type="dxa"/>
          <w:right w:w="28" w:type="dxa"/>
        </w:tblCellMar>
      </w:tblPr>
      <w:tblGrid>
        <w:gridCol w:w="754"/>
        <w:gridCol w:w="664"/>
        <w:gridCol w:w="667"/>
        <w:gridCol w:w="936"/>
        <w:gridCol w:w="936"/>
        <w:gridCol w:w="1337"/>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David H. Wang</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David H. Wang</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Exhibit 31.02</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Mark A. McKechnie,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ACM Research,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365" w:type="dxa"/>
        <w:jc w:val="left"/>
        <w:tblInd w:w="0" w:type="dxa"/>
        <w:tblLayout w:type="fixed"/>
        <w:tblCellMar>
          <w:top w:w="28" w:type="dxa"/>
          <w:left w:w="28" w:type="dxa"/>
          <w:bottom w:w="28" w:type="dxa"/>
          <w:right w:w="28" w:type="dxa"/>
        </w:tblCellMar>
      </w:tblPr>
      <w:tblGrid>
        <w:gridCol w:w="754"/>
        <w:gridCol w:w="664"/>
        <w:gridCol w:w="667"/>
        <w:gridCol w:w="1546"/>
        <w:gridCol w:w="1546"/>
        <w:gridCol w:w="218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Mark A. McKechnie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A. McKechnie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 Treasurer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Exhibit 32.01</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CERTIFICATION PURSUANT TO 18 U.S.C. 1350,</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ACM Research, Inc. for the year ended December 31, 2023,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ACM Research, Inc. for the period presented therein.</w:t>
      </w:r>
    </w:p>
    <w:tbl>
      <w:tblPr>
        <w:tblW w:w="5294" w:type="dxa"/>
        <w:jc w:val="left"/>
        <w:tblInd w:w="0" w:type="dxa"/>
        <w:tblLayout w:type="fixed"/>
        <w:tblCellMar>
          <w:top w:w="28" w:type="dxa"/>
          <w:left w:w="28" w:type="dxa"/>
          <w:bottom w:w="28" w:type="dxa"/>
          <w:right w:w="28" w:type="dxa"/>
        </w:tblCellMar>
      </w:tblPr>
      <w:tblGrid>
        <w:gridCol w:w="754"/>
        <w:gridCol w:w="664"/>
        <w:gridCol w:w="667"/>
        <w:gridCol w:w="936"/>
        <w:gridCol w:w="936"/>
        <w:gridCol w:w="1337"/>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David H. Wang</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David H. Wang</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tbl>
      <w:tblPr>
        <w:tblW w:w="7365" w:type="dxa"/>
        <w:jc w:val="left"/>
        <w:tblInd w:w="0" w:type="dxa"/>
        <w:tblLayout w:type="fixed"/>
        <w:tblCellMar>
          <w:top w:w="28" w:type="dxa"/>
          <w:left w:w="28" w:type="dxa"/>
          <w:bottom w:w="28" w:type="dxa"/>
          <w:right w:w="28" w:type="dxa"/>
        </w:tblCellMar>
      </w:tblPr>
      <w:tblGrid>
        <w:gridCol w:w="754"/>
        <w:gridCol w:w="664"/>
        <w:gridCol w:w="667"/>
        <w:gridCol w:w="1546"/>
        <w:gridCol w:w="1546"/>
        <w:gridCol w:w="218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Mark A. McKechnie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A. McKechnie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 Treasurer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 1350 and is not being filed as part of the Report or as a separate disclosure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center"/>
        <w:rPr>
          <w:rFonts w:ascii="Times New Roman;sans-serif" w:hAnsi="Times New Roman;sans-serif"/>
          <w:b/>
          <w:color w:val="000000"/>
          <w:sz w:val="22"/>
        </w:rPr>
      </w:pPr>
      <w:r>
        <w:rPr>
          <w:rFonts w:ascii="Times New Roman;sans-serif" w:hAnsi="Times New Roman;sans-serif"/>
          <w:b/>
          <w:color w:val="000000"/>
          <w:sz w:val="22"/>
        </w:rPr>
        <w:t>ACM RESEARCH, INC.</w:t>
      </w:r>
    </w:p>
    <w:p>
      <w:pPr>
        <w:pStyle w:val="TextBody"/>
        <w:bidi w:val="0"/>
        <w:spacing w:lineRule="auto" w:line="556" w:before="0" w:after="0"/>
        <w:jc w:val="center"/>
        <w:rPr>
          <w:rFonts w:ascii="Times New Roman;sans-serif" w:hAnsi="Times New Roman;sans-serif"/>
          <w:b/>
          <w:color w:val="000000"/>
          <w:sz w:val="22"/>
        </w:rPr>
      </w:pPr>
      <w:r>
        <w:rPr>
          <w:rFonts w:ascii="Times New Roman;sans-serif" w:hAnsi="Times New Roman;sans-serif"/>
          <w:b/>
          <w:color w:val="000000"/>
          <w:sz w:val="22"/>
        </w:rPr>
        <w:t>INCENTIVE-BASED COMPENSATION RECOVERY POLICY</w:t>
      </w:r>
    </w:p>
    <w:p>
      <w:pPr>
        <w:pStyle w:val="TextBody"/>
        <w:bidi w:val="0"/>
        <w:spacing w:lineRule="auto" w:line="240"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Policy Purpose</w:t>
      </w:r>
      <w:r>
        <w:rPr>
          <w:rFonts w:ascii="Times New Roman;sans-serif" w:hAnsi="Times New Roman;sans-serif"/>
          <w:b w:val="false"/>
          <w:color w:val="000000"/>
          <w:sz w:val="22"/>
        </w:rPr>
        <w:t>. The purpose of this ACM Research,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Incentive-Based Compensation Recovery Policy (this “</w:t>
      </w:r>
      <w:r>
        <w:rPr>
          <w:rFonts w:ascii="Times New Roman;sans-serif" w:hAnsi="Times New Roman;sans-serif"/>
          <w:b w:val="false"/>
          <w:color w:val="000000"/>
          <w:sz w:val="22"/>
          <w:u w:val="single"/>
        </w:rPr>
        <w:t>Policy</w:t>
      </w:r>
      <w:r>
        <w:rPr>
          <w:color w:val="000000"/>
        </w:rPr>
        <w:t>”</w:t>
      </w:r>
      <w:r>
        <w:rPr>
          <w:rFonts w:ascii="Times New Roman;sans-serif" w:hAnsi="Times New Roman;sans-serif"/>
          <w:b w:val="false"/>
          <w:color w:val="000000"/>
          <w:sz w:val="22"/>
        </w:rPr>
        <w:t>) is to enable the Company to recover Erroneously Awarded Compensation in the event that the Company is required to prepare an Accounting Restatement. This Policy is intended to comply with the requirements set forth in Listing Rule 5608 of the corporate governance rules of The NASDAQ Stock Market (the “</w:t>
      </w:r>
      <w:r>
        <w:rPr>
          <w:rFonts w:ascii="Times New Roman;sans-serif" w:hAnsi="Times New Roman;sans-serif"/>
          <w:b w:val="false"/>
          <w:color w:val="000000"/>
          <w:sz w:val="22"/>
          <w:u w:val="single"/>
        </w:rPr>
        <w:t>Listing Rule</w:t>
      </w:r>
      <w:r>
        <w:rPr>
          <w:color w:val="000000"/>
        </w:rPr>
        <w:t>”</w:t>
      </w:r>
      <w:r>
        <w:rPr>
          <w:rFonts w:ascii="Times New Roman;sans-serif" w:hAnsi="Times New Roman;sans-serif"/>
          <w:b w:val="false"/>
          <w:color w:val="000000"/>
          <w:sz w:val="22"/>
        </w:rPr>
        <w:t xml:space="preserve">) and shall be construed and interpreted in accordance with such intent. Unless otherwise defined in this Policy, capitalized terms shall have the meaning ascribed to such terms in </w:t>
      </w:r>
      <w:r>
        <w:rPr>
          <w:rFonts w:ascii="Times New Roman;sans-serif" w:hAnsi="Times New Roman;sans-serif"/>
          <w:b w:val="false"/>
          <w:color w:val="000000"/>
          <w:sz w:val="22"/>
          <w:u w:val="single"/>
        </w:rPr>
        <w:t>Section 7</w:t>
      </w:r>
      <w:r>
        <w:rPr>
          <w:rFonts w:ascii="Times New Roman;sans-serif" w:hAnsi="Times New Roman;sans-serif"/>
          <w:b w:val="false"/>
          <w:color w:val="000000"/>
          <w:sz w:val="22"/>
        </w:rPr>
        <w:t>. This Policy shall become effective on December 1, 2023. Where the context requires, reference to the Company shall include the Company’s subsidiaries and affiliates (as determined by the Committee in its discretion).</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Policy Administration</w:t>
      </w:r>
      <w:r>
        <w:rPr>
          <w:rFonts w:ascii="Times New Roman;sans-serif" w:hAnsi="Times New Roman;sans-serif"/>
          <w:b w:val="false"/>
          <w:color w:val="000000"/>
          <w:sz w:val="22"/>
        </w:rPr>
        <w:t>. This Policy shall be administered by the Compensation Committee of the Board (the “</w:t>
      </w:r>
      <w:r>
        <w:rPr>
          <w:rFonts w:ascii="Times New Roman;sans-serif" w:hAnsi="Times New Roman;sans-serif"/>
          <w:b w:val="false"/>
          <w:color w:val="000000"/>
          <w:sz w:val="22"/>
          <w:u w:val="single"/>
        </w:rPr>
        <w:t>Committee</w:t>
      </w:r>
      <w:r>
        <w:rPr>
          <w:color w:val="000000"/>
        </w:rPr>
        <w:t>”</w:t>
      </w:r>
      <w:r>
        <w:rPr>
          <w:rFonts w:ascii="Times New Roman;sans-serif" w:hAnsi="Times New Roman;sans-serif"/>
          <w:b w:val="false"/>
          <w:color w:val="000000"/>
          <w:sz w:val="22"/>
        </w:rPr>
        <w:t xml:space="preserve">) unless the Board determines to administer this Policy itself. The Committee has full and final authority to make all determinations under this Policy. All determinations and decisions made by the Committee pursuant to the provisions of this Policy shall be final, conclusive and binding on all persons, including the Company, its affiliates, its stockholders and Executive Officers. Any action or inaction by the Committee with respect to an Executive Officer under this Policy in no way limits the Committee’s actions or decisions not to act with respect to any other Executive Officer under this Policy or under any similar policy, agreement or arrangement, nor shall any such action or inaction serve as a waiver of any rights the Company may have against any Executive Officer other than as set forth in this Policy.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Policy Application</w:t>
      </w:r>
      <w:r>
        <w:rPr>
          <w:rFonts w:ascii="Times New Roman;sans-serif" w:hAnsi="Times New Roman;sans-serif"/>
          <w:b w:val="false"/>
          <w:color w:val="000000"/>
          <w:sz w:val="22"/>
        </w:rPr>
        <w:t xml:space="preserve">. This Policy applies to all Incentive-Based Compensation received by a person: (a) on or after October 2, 2023, and beginning service as an Executive Officer; (b) who served as an Executive Officer at any time during the performance period for such Incentive-Based Compensation; (c) while the Company had a class of securities listed on a national securities exchange or a national securities association; and (d) during the three completed fiscal years immediately preceding the Accounting Restatement Date. In addition to such last three completed fiscal years, the immediately preceding clause (d) includes any transition period that results from a change in the Company’s fiscal year within or immediately following such three completed fiscal years;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 transition period between the last day of the Company’s previous fiscal year end and the first day of its new fiscal year that comprises a period of nine to twelve months shall be deemed a completed fiscal year. For purposes of this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Policy Recovery Requirement</w:t>
      </w:r>
      <w:r>
        <w:rPr>
          <w:rFonts w:ascii="Times New Roman;sans-serif" w:hAnsi="Times New Roman;sans-serif"/>
          <w:b w:val="false"/>
          <w:color w:val="000000"/>
          <w:sz w:val="22"/>
        </w:rPr>
        <w:t xml:space="preserve">. In the event of an Accounting Restatement, the Company must recover, reasonably promptly, Erroneously Awarded Compensation, in amounts determined pursuant to this Policy. The Company’s obligation to recover Erroneously Awarded Compensation is not dependent on if or when the Company files restated financial statements. Recovery under this Policy with respect to an Executive Officer shall not require the finding of any misconduct by such Executive Officer or such Executive Officer being found responsible for the accounting error leading to an Accounting Restatement. In the event of an Accounting Restatement, the Company shall satisfy the Company’s obligations under this Policy to recover any amount owed from any applicable Executive Officer by exercising its sole and absolute discretion in how to accomplish such recovery. The Company’s recovery obligation pursuant to this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shall not apply to the extent that the Committee, or in the absence of the Committee, a majority of the independent directors serving on the Board, determines that such recovery would be impracticable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a.The direct expense paid to a third party to assist in enforcing this Policy would exceed the amount to be recovered. Before concluding that it would be impracticable to recover any amount of Erroneously Awarded Compensation based on expense of enforcement, the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741045"/>
                <wp:effectExtent l="0" t="0" r="0" b="0"/>
                <wp:wrapNone/>
                <wp:docPr id="169" name="Frame148"/>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r>
                                    <w:br w:type="page"/>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Company must make a reasonable attempt to recover such Erroneously Awarded Compensation, document such reasonable attempt(s) to recover, and provide that documentation to the Stock Exchange; or</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b.Recovery would likely cause an otherwise tax-qualified retirement plan, under which benefits are broadly available to employees of the registrant, to fail to meet the requirements of Section 401(a)(13) or Section 411(a) of the Code.</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Policy Prohibition on Indemnification and Insurance Reimbursement</w:t>
      </w:r>
      <w:r>
        <w:rPr>
          <w:rFonts w:ascii="Times New Roman;sans-serif" w:hAnsi="Times New Roman;sans-serif"/>
          <w:b w:val="false"/>
          <w:color w:val="000000"/>
          <w:sz w:val="22"/>
        </w:rPr>
        <w:t xml:space="preserve">. The Company is prohibited from indemnifying any Executive Officer or former Executive Officer against the loss of Erroneously Awarded Compensation. Further, the Company is prohibited from paying or reimbursing an Executive Officer for purchasing insurance to cover any such loss.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Required Policy-Related Filings</w:t>
      </w:r>
      <w:r>
        <w:rPr>
          <w:rFonts w:ascii="Times New Roman;sans-serif" w:hAnsi="Times New Roman;sans-serif"/>
          <w:b w:val="false"/>
          <w:color w:val="000000"/>
          <w:sz w:val="22"/>
        </w:rPr>
        <w:t>. The Company shall file all disclosures with respect to this Policy in accordance with the requirements of the Federal securities laws, including disclosures required by U.S. Securities and Exchange Commission filings.</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a.</w:t>
      </w:r>
      <w:r>
        <w:rPr>
          <w:color w:val="000000"/>
        </w:rPr>
        <w:t>“</w:t>
      </w:r>
      <w:r>
        <w:rPr>
          <w:rFonts w:ascii="Times New Roman;sans-serif" w:hAnsi="Times New Roman;sans-serif"/>
          <w:b w:val="false"/>
          <w:color w:val="000000"/>
          <w:sz w:val="22"/>
          <w:u w:val="single"/>
        </w:rPr>
        <w:t>Accounting Restatement</w:t>
      </w:r>
      <w:r>
        <w:rPr>
          <w:color w:val="000000"/>
        </w:rPr>
        <w:t xml:space="preserve">” </w:t>
      </w:r>
      <w:r>
        <w:rPr>
          <w:rFonts w:ascii="Times New Roman;sans-serif" w:hAnsi="Times New Roman;sans-serif"/>
          <w:b w:val="false"/>
          <w:color w:val="000000"/>
          <w:sz w:val="22"/>
        </w:rPr>
        <w:t>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b.</w:t>
      </w:r>
      <w:r>
        <w:rPr>
          <w:color w:val="000000"/>
        </w:rPr>
        <w:t>“</w:t>
      </w:r>
      <w:r>
        <w:rPr>
          <w:rFonts w:ascii="Times New Roman;sans-serif" w:hAnsi="Times New Roman;sans-serif"/>
          <w:b w:val="false"/>
          <w:color w:val="000000"/>
          <w:sz w:val="22"/>
          <w:u w:val="single"/>
        </w:rPr>
        <w:t>Accounting Restatement Date</w:t>
      </w:r>
      <w:r>
        <w:rPr>
          <w:color w:val="000000"/>
        </w:rPr>
        <w:t xml:space="preserve">” </w:t>
      </w:r>
      <w:r>
        <w:rPr>
          <w:rFonts w:ascii="Times New Roman;sans-serif" w:hAnsi="Times New Roman;sans-serif"/>
          <w:b w:val="false"/>
          <w:color w:val="000000"/>
          <w:sz w:val="22"/>
        </w:rPr>
        <w:t>means the earlier to occur of: (i) the date the Board, a committee of the Board, or the officer or officers of the Company authorized to take such action if the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c.</w:t>
      </w:r>
      <w:r>
        <w:rPr>
          <w:color w:val="000000"/>
        </w:rPr>
        <w:t>“</w:t>
      </w:r>
      <w:r>
        <w:rPr>
          <w:rFonts w:ascii="Times New Roman;sans-serif" w:hAnsi="Times New Roman;sans-serif"/>
          <w:b w:val="false"/>
          <w:color w:val="000000"/>
          <w:sz w:val="22"/>
          <w:u w:val="single"/>
        </w:rPr>
        <w:t>Board</w:t>
      </w:r>
      <w:r>
        <w:rPr>
          <w:color w:val="000000"/>
        </w:rPr>
        <w:t xml:space="preserve">” </w:t>
      </w:r>
      <w:r>
        <w:rPr>
          <w:rFonts w:ascii="Times New Roman;sans-serif" w:hAnsi="Times New Roman;sans-serif"/>
          <w:b w:val="false"/>
          <w:color w:val="000000"/>
          <w:sz w:val="22"/>
        </w:rPr>
        <w:t>means the board of directors of the Company.</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d.</w:t>
      </w:r>
      <w:r>
        <w:rPr>
          <w:color w:val="000000"/>
        </w:rPr>
        <w:t>“</w:t>
      </w: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means the U.S. Internal Revenue Code of 1986, as amended. Any reference to a section of the Code or regulation thereunder includes such section or regulation, any valid regulation or other official guidance promulgated under such section, and any comparable provision of any future legislation or regulation amending, supplementing, or superseding such section or regulation.</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e.</w:t>
      </w:r>
      <w:r>
        <w:rPr>
          <w:color w:val="000000"/>
        </w:rPr>
        <w:t>“</w:t>
      </w:r>
      <w:r>
        <w:rPr>
          <w:rFonts w:ascii="Times New Roman;sans-serif" w:hAnsi="Times New Roman;sans-serif"/>
          <w:b w:val="false"/>
          <w:color w:val="000000"/>
          <w:sz w:val="22"/>
          <w:u w:val="single"/>
        </w:rPr>
        <w:t>Erroneously Awarded Compensation</w:t>
      </w:r>
      <w:r>
        <w:rPr>
          <w:color w:val="000000"/>
        </w:rPr>
        <w:t xml:space="preserve">” </w:t>
      </w:r>
      <w:r>
        <w:rPr>
          <w:rFonts w:ascii="Times New Roman;sans-serif" w:hAnsi="Times New Roman;sans-serif"/>
          <w:b w:val="false"/>
          <w:color w:val="000000"/>
          <w:sz w:val="22"/>
        </w:rPr>
        <w:t xml:space="preserve">means, in the event of an Accounting Restatement, the amount of Incentive-Based Compensation previously received that exceeds the amount of Incentive-Based Compensation that otherwise would have been received had it been determined based on the restated amounts in such Accounting Restatement, and must be computed without regard to any taxes incurred or paid by the relevant Executive Officer;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for Incentive-Based Compensation based on stock price or total stockholder return, where the amount of Erroneously Awarded Compensation is not subject to mathematical recalculation directly from the information in an Accounting Restatement: (i) the amount of Erroneously Awarded Compensation must be based on a reasonable estimate of the effect of the Accounting Restatement on the stock price or total stockholder return upon which the Incentive-Based Compensation was received; and (ii) the Company must maintain documentation of the determination of that reasonable estimate and provide such documentation to the Stock Exchange.</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f.</w:t>
      </w:r>
      <w:r>
        <w:rPr>
          <w:color w:val="000000"/>
        </w:rPr>
        <w:t>“</w:t>
      </w:r>
      <w:r>
        <w:rPr>
          <w:rFonts w:ascii="Times New Roman;sans-serif" w:hAnsi="Times New Roman;sans-serif"/>
          <w:b w:val="false"/>
          <w:color w:val="000000"/>
          <w:sz w:val="22"/>
          <w:u w:val="single"/>
        </w:rPr>
        <w:t>Executive Officer</w:t>
      </w:r>
      <w:r>
        <w:rPr>
          <w:color w:val="000000"/>
        </w:rPr>
        <w:t xml:space="preserve">” </w:t>
      </w:r>
      <w:r>
        <w:rPr>
          <w:rFonts w:ascii="Times New Roman;sans-serif" w:hAnsi="Times New Roman;sans-serif"/>
          <w:b w:val="false"/>
          <w:color w:val="000000"/>
          <w:sz w:val="22"/>
        </w:rPr>
        <w:t xml:space="preserve">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318260"/>
                <wp:effectExtent l="0" t="0" r="0" b="0"/>
                <wp:wrapNone/>
                <wp:docPr id="170" name="Frame149"/>
                <a:graphic xmlns:a="http://schemas.openxmlformats.org/drawingml/2006/main">
                  <a:graphicData uri="http://schemas.microsoft.com/office/word/2010/wordprocessingShape">
                    <wps:wsp>
                      <wps:cNvSpPr txBox="1"/>
                      <wps:spPr>
                        <a:xfrm>
                          <a:off x="0" y="0"/>
                          <a:ext cx="6480175" cy="131826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function, or any other person who performs similar policy-making functions for the Company. An executive officer of the Company’s parent or subsidiary is deemed an “Executive Officer” if the executive officer performs such policy making functions for the Company. For the avoidance of doubt, “Executive Officer” includes, but is not limited to, any person identified as an executive officer pursuant to Item 401(b) of Regulation S-K under the U.S. Securities Act of 1933, as amended.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g.</w:t>
      </w:r>
      <w:r>
        <w:rPr>
          <w:color w:val="000000"/>
        </w:rPr>
        <w:t>“</w:t>
      </w:r>
      <w:r>
        <w:rPr>
          <w:rFonts w:ascii="Times New Roman;sans-serif" w:hAnsi="Times New Roman;sans-serif"/>
          <w:b w:val="false"/>
          <w:color w:val="000000"/>
          <w:sz w:val="22"/>
          <w:u w:val="single"/>
        </w:rPr>
        <w:t>Financial Reporting Measure</w:t>
      </w:r>
      <w:r>
        <w:rPr>
          <w:color w:val="000000"/>
        </w:rPr>
        <w:t xml:space="preserve">” </w:t>
      </w:r>
      <w:r>
        <w:rPr>
          <w:rFonts w:ascii="Times New Roman;sans-serif" w:hAnsi="Times New Roman;sans-serif"/>
          <w:b w:val="false"/>
          <w:color w:val="000000"/>
          <w:sz w:val="22"/>
        </w:rPr>
        <w:t xml:space="preserve">means any measure that is determined and presented in accordance with the accounting principles used in preparing the Company’s financial statements, and any measure that is derived wholly or in part from such measure;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 Financial Reporting Measure is not required to be presented within the Company’s financial statements or included in a filing with the U.S. Securities and Exchange Commission to qualify as a “Financial Reporting Measure.” For purposes of this Policy, “Financial Reporting Measure” includes, but is not limited to, stock price and total stockholder return.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h.</w:t>
      </w:r>
      <w:r>
        <w:rPr>
          <w:color w:val="000000"/>
        </w:rPr>
        <w:t>“</w:t>
      </w:r>
      <w:r>
        <w:rPr>
          <w:rFonts w:ascii="Times New Roman;sans-serif" w:hAnsi="Times New Roman;sans-serif"/>
          <w:b w:val="false"/>
          <w:color w:val="000000"/>
          <w:sz w:val="22"/>
          <w:u w:val="single"/>
        </w:rPr>
        <w:t>Incentive-Based Compensation</w:t>
      </w:r>
      <w:r>
        <w:rPr>
          <w:color w:val="000000"/>
        </w:rPr>
        <w:t xml:space="preserve">” </w:t>
      </w:r>
      <w:r>
        <w:rPr>
          <w:rFonts w:ascii="Times New Roman;sans-serif" w:hAnsi="Times New Roman;sans-serif"/>
          <w:b w:val="false"/>
          <w:color w:val="000000"/>
          <w:sz w:val="22"/>
        </w:rPr>
        <w:t>means any compensation that is granted, earned, or vested based wholly or in part upon the attainment of a Financial Reporting Measure.</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i.</w:t>
      </w:r>
      <w:r>
        <w:rPr>
          <w:color w:val="000000"/>
        </w:rPr>
        <w:t>“</w:t>
      </w:r>
      <w:r>
        <w:rPr>
          <w:rFonts w:ascii="Times New Roman;sans-serif" w:hAnsi="Times New Roman;sans-serif"/>
          <w:b w:val="false"/>
          <w:color w:val="000000"/>
          <w:sz w:val="22"/>
          <w:u w:val="single"/>
        </w:rPr>
        <w:t>Stock Exchange</w:t>
      </w:r>
      <w:r>
        <w:rPr>
          <w:color w:val="000000"/>
        </w:rPr>
        <w:t xml:space="preserve">” </w:t>
      </w:r>
      <w:r>
        <w:rPr>
          <w:rFonts w:ascii="Times New Roman;sans-serif" w:hAnsi="Times New Roman;sans-serif"/>
          <w:b w:val="false"/>
          <w:color w:val="000000"/>
          <w:sz w:val="22"/>
        </w:rPr>
        <w:t>means the national stock exchange on which the Company’s common stock is listed.</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Acknowledgement</w:t>
      </w:r>
      <w:r>
        <w:rPr>
          <w:rFonts w:ascii="Times New Roman;sans-serif" w:hAnsi="Times New Roman;sans-serif"/>
          <w:b w:val="false"/>
          <w:color w:val="000000"/>
          <w:sz w:val="22"/>
        </w:rPr>
        <w:t xml:space="preserve">. Each Executive Officer shall sign and return to the Company, within 30 calendar days following the later of (i) the effective date of this Policy first set forth above or (ii) the date the individual becomes an Executive Officer, the Acknowledgement Form attached hereto as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 pursuant to which the Executive Officer agrees to be bound by, and to comply with, the terms and conditions of this Policy.</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9.</w:t>
      </w:r>
      <w:r>
        <w:rPr>
          <w:rFonts w:ascii="Times New Roman;sans-serif" w:hAnsi="Times New Roman;sans-serif"/>
          <w:b w:val="false"/>
          <w:color w:val="000000"/>
          <w:sz w:val="24"/>
          <w:u w:val="single"/>
        </w:rPr>
        <w:t>Committee Indemnification</w:t>
      </w:r>
      <w:r>
        <w:rPr>
          <w:rFonts w:ascii="Times New Roman;sans-serif" w:hAnsi="Times New Roman;sans-serif"/>
          <w:b w:val="false"/>
          <w:color w:val="000000"/>
          <w:sz w:val="24"/>
        </w:rPr>
        <w:t>. Any members of the Committee,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The provisions in this Policy are intended to be applied to the fullest extent of the law. 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Amendment; Termination</w:t>
      </w:r>
      <w:r>
        <w:rPr>
          <w:rFonts w:ascii="Times New Roman;sans-serif" w:hAnsi="Times New Roman;sans-serif"/>
          <w:b w:val="false"/>
          <w:color w:val="000000"/>
          <w:sz w:val="22"/>
        </w:rPr>
        <w:t>. The Board may amend this Policy from time to time in its sole and absolute discretion and shall amend this Policy as it deems necessary to reflect the Listing Rule. The Board may terminate this Policy at any time.</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Other Recovery Obligations; General Rights</w:t>
      </w:r>
      <w:r>
        <w:rPr>
          <w:rFonts w:ascii="Times New Roman;sans-serif" w:hAnsi="Times New Roman;sans-serif"/>
          <w:b w:val="false"/>
          <w:color w:val="000000"/>
          <w:sz w:val="22"/>
        </w:rPr>
        <w:t>. To the extent that the application of this Policy would provide for recovery of Incentive-Based Compensation that the Company recovers pursuant to Section 304 of the Sarbanes-Oxley Act or other recovery obligations, the amount the relevant Executive Officer has already reimbursed the Company will be credited to the required recovery under this Policy.</w:t>
      </w:r>
      <w:r>
        <w:rPr>
          <w:color w:val="000000"/>
          <w:shd w:fill="FFFFFF" w:val="clear"/>
        </w:rPr>
        <w:t xml:space="preserve"> </w:t>
      </w:r>
      <w:r>
        <w:rPr>
          <w:rFonts w:ascii="Times New Roman;sans-serif" w:hAnsi="Times New Roman;sans-serif"/>
          <w:b w:val="false"/>
          <w:color w:val="000000"/>
          <w:sz w:val="22"/>
        </w:rPr>
        <w:t xml:space="preserve">This Policy shall not limit the rights of the Company to take any other actions or pursue other remedies that the Company may deem appropriate under the circumstances and under applicable law. To the maximum extent permitted under the Listing Rule, this Policy shall be administered in compliance with (or pursuant to an exemption from the application of) Section 409A of the Code.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Successors</w:t>
      </w:r>
      <w:r>
        <w:rPr>
          <w:rFonts w:ascii="Times New Roman;sans-serif" w:hAnsi="Times New Roman;sans-serif"/>
          <w:b w:val="false"/>
          <w:color w:val="000000"/>
          <w:sz w:val="22"/>
        </w:rPr>
        <w:t>. This Policy is binding and enforceable against all Executive Officers and their beneficiaries, heirs, executors, administrators or other legal representatives.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318260"/>
                <wp:effectExtent l="0" t="0" r="0" b="0"/>
                <wp:wrapNone/>
                <wp:docPr id="171" name="Frame150"/>
                <a:graphic xmlns:a="http://schemas.openxmlformats.org/drawingml/2006/main">
                  <a:graphicData uri="http://schemas.microsoft.com/office/word/2010/wordprocessingShape">
                    <wps:wsp>
                      <wps:cNvSpPr txBox="1"/>
                      <wps:spPr>
                        <a:xfrm>
                          <a:off x="0" y="0"/>
                          <a:ext cx="6480175" cy="131826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hanging="36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Governing Law; Venue</w:t>
      </w:r>
      <w:r>
        <w:rPr>
          <w:rFonts w:ascii="Times New Roman;sans-serif" w:hAnsi="Times New Roman;sans-serif"/>
          <w:b w:val="false"/>
          <w:color w:val="000000"/>
          <w:sz w:val="22"/>
        </w:rPr>
        <w:t>. This Policy and all rights and obligations hereunder are governed by and construed in accordance with the internal laws of the State of Delaware, excluding any choice of law rules or principles that may direct the application of the laws of another jurisdiction. All actions arising out of or relating to this Policy shall be heard and determined exclusively in the Court of Chancery of the State of Delaware or, if such court declines to exercise jurisdiction or if subject matter jurisdiction over the matter that is the subject of any such legal action or proceeding is vested exclusively in the U.S. Federal courts, the U.S. District Court for the District of Delaware.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318260"/>
                <wp:effectExtent l="0" t="0" r="0" b="0"/>
                <wp:wrapNone/>
                <wp:docPr id="172" name="Frame151"/>
                <a:graphic xmlns:a="http://schemas.openxmlformats.org/drawingml/2006/main">
                  <a:graphicData uri="http://schemas.microsoft.com/office/word/2010/wordprocessingShape">
                    <wps:wsp>
                      <wps:cNvSpPr txBox="1"/>
                      <wps:spPr>
                        <a:xfrm>
                          <a:off x="0" y="0"/>
                          <a:ext cx="6480175" cy="131826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ACM RESEARCH, INC.</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INCENTIVE-BASED COMPENSATION RECOVERY POLICY</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ACKNOWLEDGEMENT FORM</w:t>
      </w:r>
    </w:p>
    <w:p>
      <w:pPr>
        <w:pStyle w:val="TextBody"/>
        <w:bidi w:val="0"/>
        <w:spacing w:before="0" w:after="0"/>
        <w:jc w:val="center"/>
        <w:rPr/>
      </w:pPr>
      <w:r>
        <w:rPr/>
      </w:r>
    </w:p>
    <w:p>
      <w:pPr>
        <w:pStyle w:val="TextBody"/>
        <w:bidi w:val="0"/>
        <w:spacing w:lineRule="auto" w:line="240" w:before="0" w:after="0"/>
        <w:jc w:val="both"/>
        <w:rPr/>
      </w:pPr>
      <w:r>
        <w:rPr>
          <w:rFonts w:ascii="Times New Roman;sans-serif" w:hAnsi="Times New Roman;sans-serif"/>
          <w:b w:val="false"/>
          <w:color w:val="000000"/>
          <w:sz w:val="22"/>
        </w:rPr>
        <w:t>By signing below, the undersigned acknowledges and confirms that the undersigned has received and reviewed a copy of the ACM Research,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Incentive-Based Compensation Recovery Policy (the “</w:t>
      </w:r>
      <w:r>
        <w:rPr>
          <w:rFonts w:ascii="Times New Roman;sans-serif" w:hAnsi="Times New Roman;sans-serif"/>
          <w:b w:val="false"/>
          <w:color w:val="000000"/>
          <w:sz w:val="22"/>
          <w:u w:val="single"/>
        </w:rPr>
        <w:t>Policy</w:t>
      </w:r>
      <w:r>
        <w:rPr>
          <w:color w:val="000000"/>
        </w:rPr>
        <w:t>”</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 Awarded Compensation (as defined in the Policy) to the Company to the extent required by, and in a manner consistent with, the Policy. Further, by signing below, the undersigned agrees that the terms of the Policy shall govern in the event of any inconsistency between the Policy and the terms of any employment agreement to which the undersigned is a party, or the terms of any compensation plan, program or agreement under which any compensation has been granted, awarded, earned or paid.</w:t>
      </w:r>
    </w:p>
    <w:p>
      <w:pPr>
        <w:pStyle w:val="TextBody"/>
        <w:bidi w:val="0"/>
        <w:spacing w:before="0" w:after="0"/>
        <w:jc w:val="both"/>
        <w:rPr/>
      </w:pPr>
      <w:r>
        <w:rPr/>
      </w:r>
    </w:p>
    <w:p>
      <w:pPr>
        <w:pStyle w:val="TextBody"/>
        <w:bidi w:val="0"/>
        <w:spacing w:before="0" w:after="0"/>
        <w:jc w:val="both"/>
        <w:rPr/>
      </w:pPr>
      <w:r>
        <w:rPr/>
      </w:r>
    </w:p>
    <w:tbl>
      <w:tblPr>
        <w:tblW w:w="2595" w:type="dxa"/>
        <w:jc w:val="left"/>
        <w:tblInd w:w="0" w:type="dxa"/>
        <w:tblLayout w:type="fixed"/>
        <w:tblCellMar>
          <w:top w:w="28" w:type="dxa"/>
          <w:left w:w="28" w:type="dxa"/>
          <w:bottom w:w="28" w:type="dxa"/>
          <w:right w:w="28" w:type="dxa"/>
        </w:tblCellMar>
      </w:tblPr>
      <w:tblGrid>
        <w:gridCol w:w="830"/>
        <w:gridCol w:w="729"/>
        <w:gridCol w:w="1036"/>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EXECUTIVE OFFICER</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Signature</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Print Name</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Date</w:t>
            </w:r>
          </w:p>
        </w:tc>
      </w:tr>
    </w:tbl>
    <w:p>
      <w:pPr>
        <w:pStyle w:val="TextBody"/>
        <w:bidi w:val="0"/>
        <w:spacing w:before="0" w:after="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887730"/>
                <wp:effectExtent l="0" t="0" r="0" b="0"/>
                <wp:wrapNone/>
                <wp:docPr id="173" name="Frame152"/>
                <a:graphic xmlns:a="http://schemas.openxmlformats.org/drawingml/2006/main">
                  <a:graphicData uri="http://schemas.microsoft.com/office/word/2010/wordprocessingShape">
                    <wps:wsp>
                      <wps:cNvSpPr txBox="1"/>
                      <wps:spPr>
                        <a:xfrm>
                          <a:off x="0" y="0"/>
                          <a:ext cx="6480175" cy="88773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shd w:fill="FFFFFF" w:val="clear"/>
        </w:rPr>
      </w:pPr>
      <w:r>
        <w:rPr>
          <w:shd w:fill="FFFFFF" w:val="clear"/>
        </w:rPr>
        <w:drawing>
          <wp:inline distT="0" distB="0" distL="0" distR="0">
            <wp:extent cx="5943600" cy="38100"/>
            <wp:effectExtent l="0" t="0" r="0" b="0"/>
            <wp:docPr id="17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22" descr=""/>
                    <pic:cNvPicPr>
                      <a:picLocks noChangeAspect="1" noChangeArrowheads="1"/>
                    </pic:cNvPicPr>
                  </pic:nvPicPr>
                  <pic:blipFill>
                    <a:blip r:embed="rId87"/>
                    <a:stretch>
                      <a:fillRect/>
                    </a:stretch>
                  </pic:blipFill>
                  <pic:spPr bwMode="auto">
                    <a:xfrm>
                      <a:off x="0" y="0"/>
                      <a:ext cx="5943600" cy="38100"/>
                    </a:xfrm>
                    <a:prstGeom prst="rect">
                      <a:avLst/>
                    </a:prstGeom>
                  </pic:spPr>
                </pic:pic>
              </a:graphicData>
            </a:graphic>
          </wp:inline>
        </w:drawing>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99.01</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42307 Osgood Road, Suite I</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Fremont, California 94539</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February 28, 2024</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By EDGAR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and Exchange Commission</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Division of Corporate Finance</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100 F. Street, N.E.</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Washington, DC 20549</w:t>
      </w:r>
    </w:p>
    <w:p>
      <w:pPr>
        <w:pStyle w:val="TextBody"/>
        <w:bidi w:val="0"/>
        <w:spacing w:before="0" w:after="0"/>
        <w:jc w:val="left"/>
        <w:rPr/>
      </w:pPr>
      <w:r>
        <w:rPr/>
      </w:r>
    </w:p>
    <w:tbl>
      <w:tblPr>
        <w:tblW w:w="2234" w:type="dxa"/>
        <w:jc w:val="left"/>
        <w:tblInd w:w="0" w:type="dxa"/>
        <w:tblLayout w:type="fixed"/>
        <w:tblCellMar>
          <w:top w:w="28" w:type="dxa"/>
          <w:left w:w="28" w:type="dxa"/>
          <w:bottom w:w="28" w:type="dxa"/>
          <w:right w:w="28" w:type="dxa"/>
        </w:tblCellMar>
      </w:tblPr>
      <w:tblGrid>
        <w:gridCol w:w="146"/>
        <w:gridCol w:w="129"/>
        <w:gridCol w:w="130"/>
        <w:gridCol w:w="534"/>
        <w:gridCol w:w="534"/>
        <w:gridCol w:w="761"/>
      </w:tblGrid>
      <w:tr>
        <w:trPr/>
        <w:tc>
          <w:tcPr>
            <w:tcW w:w="1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ACM Research, Inc.</w:t>
            </w:r>
          </w:p>
        </w:tc>
      </w:tr>
    </w:tbl>
    <w:p>
      <w:pPr>
        <w:pStyle w:val="TextBody"/>
        <w:bidi w:val="0"/>
        <w:spacing w:lineRule="auto" w:line="240"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Submission under Item 9C(a) of Form 10-K</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Ladies and Gentlemen:</w:t>
      </w:r>
    </w:p>
    <w:p>
      <w:pPr>
        <w:pStyle w:val="TextBody"/>
        <w:bidi w:val="0"/>
        <w:spacing w:before="0" w:after="0"/>
        <w:jc w:val="left"/>
        <w:rPr/>
      </w:pPr>
      <w:r>
        <w:rPr/>
      </w:r>
    </w:p>
    <w:p>
      <w:pPr>
        <w:pStyle w:val="TextBody"/>
        <w:bidi w:val="0"/>
        <w:spacing w:lineRule="auto" w:line="240" w:before="0" w:after="0"/>
        <w:ind w:left="0" w:right="0" w:firstLine="360"/>
        <w:jc w:val="both"/>
        <w:rPr>
          <w:shd w:fill="FFFFFF" w:val="clear"/>
        </w:rPr>
      </w:pPr>
      <w:r>
        <w:rPr>
          <w:rFonts w:ascii="Times New Roman;sans-serif" w:hAnsi="Times New Roman;sans-serif"/>
          <w:b w:val="false"/>
          <w:color w:val="000000"/>
          <w:sz w:val="20"/>
          <w:shd w:fill="FFFFFF" w:val="clear"/>
        </w:rPr>
        <w:t>ACM Research, Inc. (the “</w:t>
      </w:r>
      <w:r>
        <w:rPr>
          <w:rFonts w:ascii="Times New Roman;sans-serif" w:hAnsi="Times New Roman;sans-serif"/>
          <w:b w:val="false"/>
          <w:i/>
          <w:color w:val="000000"/>
          <w:sz w:val="20"/>
          <w:shd w:fill="FFFFFF" w:val="clear"/>
        </w:rPr>
        <w:t>Company</w:t>
      </w:r>
      <w:r>
        <w:rPr>
          <w:color w:val="000000"/>
          <w:shd w:fill="FFFFFF" w:val="clear"/>
        </w:rPr>
        <w:t>”</w:t>
      </w:r>
      <w:r>
        <w:rPr>
          <w:rFonts w:ascii="Times New Roman;sans-serif" w:hAnsi="Times New Roman;sans-serif"/>
          <w:b w:val="false"/>
          <w:color w:val="000000"/>
          <w:sz w:val="20"/>
          <w:shd w:fill="FFFFFF" w:val="clear"/>
        </w:rPr>
        <w:t>) is submitting the following information pursuant to Item 9C(a) of Form 10-K.</w:t>
      </w:r>
    </w:p>
    <w:p>
      <w:pPr>
        <w:pStyle w:val="TextBody"/>
        <w:bidi w:val="0"/>
        <w:spacing w:before="0" w:after="0"/>
        <w:jc w:val="left"/>
        <w:rPr/>
      </w:pPr>
      <w:r>
        <w:rPr/>
      </w:r>
    </w:p>
    <w:p>
      <w:pPr>
        <w:pStyle w:val="TextBody"/>
        <w:bidi w:val="0"/>
        <w:spacing w:lineRule="auto" w:line="240" w:before="0" w:after="0"/>
        <w:ind w:left="0" w:right="0" w:firstLine="360"/>
        <w:jc w:val="both"/>
        <w:rPr>
          <w:shd w:fill="FFFFFF" w:val="clear"/>
        </w:rPr>
      </w:pPr>
      <w:r>
        <w:rPr>
          <w:rFonts w:ascii="Times New Roman;sans-serif" w:hAnsi="Times New Roman;sans-serif"/>
          <w:b w:val="false"/>
          <w:color w:val="000000"/>
          <w:sz w:val="20"/>
          <w:shd w:fill="FFFFFF" w:val="clear"/>
        </w:rPr>
        <w:t>The Company was identified by the Securities and Exchange Commission pursuant to Section 104(i)(2)(A) of the Sarbanes-Oxley Act of 2002 (15 U.S.C. 7214(i)(2)(A)) as having retained, for the preparation of the audit report on its financial statements included in its Annual Report on Form 10-K for the year ended December 31, 2021, a registered public accounting firm that has a branch or office that is located in a foreign jurisdiction and that the Public Company Accounting Oversight Board (the “</w:t>
      </w:r>
      <w:r>
        <w:rPr>
          <w:rFonts w:ascii="Times New Roman;sans-serif" w:hAnsi="Times New Roman;sans-serif"/>
          <w:b w:val="false"/>
          <w:i/>
          <w:color w:val="000000"/>
          <w:sz w:val="20"/>
          <w:shd w:fill="FFFFFF" w:val="clear"/>
        </w:rPr>
        <w:t>PCAOB</w:t>
      </w:r>
      <w:r>
        <w:rPr>
          <w:color w:val="000000"/>
          <w:shd w:fill="FFFFFF" w:val="clear"/>
        </w:rPr>
        <w:t>”</w:t>
      </w:r>
      <w:r>
        <w:rPr>
          <w:rFonts w:ascii="Times New Roman;sans-serif" w:hAnsi="Times New Roman;sans-serif"/>
          <w:b w:val="false"/>
          <w:color w:val="000000"/>
          <w:sz w:val="20"/>
          <w:shd w:fill="FFFFFF" w:val="clear"/>
        </w:rPr>
        <w:t>) had then determined it was unable to inspect or investigate completely because of a position taken by an authority in the foreign jurisdiction, which determination was vacated by the PCAOB on December 15, 2022.</w:t>
      </w:r>
    </w:p>
    <w:p>
      <w:pPr>
        <w:pStyle w:val="TextBody"/>
        <w:bidi w:val="0"/>
        <w:spacing w:before="0" w:after="0"/>
        <w:jc w:val="left"/>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Company’s best knowledge, and based on examination of the Company’s stockholder register and public filings made by its stockholders, particularly the Schedule 13G and Schedule 13G/As filed in January and February 2024, the Company herein confirms that it is not owned or controlled by any governmental entity in such foreign jurisdiction as of the date of this submission. In addition, the Company is not aware of any governmental entity that is in possession, directly or indirectly, of the power to direct or cause the direction of the management and policies of the Company, whether through the ownership of voting securities, by contract, or otherwise.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believes it has identified and reviewed the appropriate documents in response to the requirement under paragraph (a) of Item 9C in the Form 10-K. Based on its organizational structure and other registrant-specific factors, the appropriate documents include its stockholder register and certain public filings made by its stockholders, particularly the Schedule 13G and Schedule 13G/As filed in January and February 2024.</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did not rely on any legal opinions or third-party certifications, such as affidavits, as the basis for this submission, as the Company did not consider such third-party materials to be required or necessary to support the conclusion as stated. The Company considered “the terms “owned or controlled,” “owned,” and “controlling financial interest” used in the Holding Foreign Companies Accountable Act are reasonably read to have the same meaning as the term “control” as used in the Exchange Act and the Exchange Act rules”, as set forth in the Holding Foreign Companies Accountable Act Disclosure, Release No. 34-9370.</w:t>
      </w:r>
    </w:p>
    <w:p>
      <w:pPr>
        <w:pStyle w:val="TextBody"/>
        <w:bidi w:val="0"/>
        <w:spacing w:before="0" w:after="0"/>
        <w:jc w:val="left"/>
        <w:rPr/>
      </w:pPr>
      <w:r>
        <w:rPr/>
      </w:r>
    </w:p>
    <w:p>
      <w:pPr>
        <w:pStyle w:val="TextBody"/>
        <w:bidi w:val="0"/>
        <w:spacing w:lineRule="auto" w:line="240" w:before="0" w:after="0"/>
        <w:ind w:left="0" w:right="0" w:firstLine="576"/>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Please do not hesitate to contact the Company’s legal counsel, Michael A. Hedge of K&amp;L Gates LLP, at (949) 623-3519 if you have any questions or would like additional information regarding this matter.</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Very truly yours,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Mark McKechnie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Mark McKechnie</w:t>
      </w:r>
    </w:p>
    <w:p>
      <w:pPr>
        <w:pStyle w:val="TextBody"/>
        <w:bidi w:val="0"/>
        <w:spacing w:before="0" w:after="0"/>
        <w:jc w:val="left"/>
        <w:rPr/>
      </w:pPr>
      <w:r>
        <w:rPr/>
      </w:r>
    </w:p>
    <w:tbl>
      <w:tblPr>
        <w:tblW w:w="3465" w:type="dxa"/>
        <w:jc w:val="left"/>
        <w:tblInd w:w="0" w:type="dxa"/>
        <w:tblLayout w:type="fixed"/>
        <w:tblCellMar>
          <w:top w:w="28" w:type="dxa"/>
          <w:left w:w="28" w:type="dxa"/>
          <w:bottom w:w="28" w:type="dxa"/>
          <w:right w:w="28" w:type="dxa"/>
        </w:tblCellMar>
      </w:tblPr>
      <w:tblGrid>
        <w:gridCol w:w="130"/>
        <w:gridCol w:w="115"/>
        <w:gridCol w:w="115"/>
        <w:gridCol w:w="907"/>
        <w:gridCol w:w="907"/>
        <w:gridCol w:w="129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H. Wang, ACM Research, Inc.</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5"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Michael A. Hedge, K&amp;L Gates LLP</w:t>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Jason C. Dreibelbis, K&amp;L Gates LLP</w:t>
      </w:r>
    </w:p>
    <w:p>
      <w:pPr>
        <w:pStyle w:val="TextBody"/>
        <w:bidi w:val="0"/>
        <w:spacing w:before="0" w:after="0"/>
        <w:jc w:val="left"/>
        <w:rPr/>
      </w:pPr>
      <w:r>
        <w:rPr/>
      </w:r>
    </w:p>
    <w:p>
      <w:pPr>
        <w:pStyle w:val="TextBody"/>
        <w:bidi w:val="0"/>
        <w:spacing w:before="0" w:after="0"/>
        <w:jc w:val="left"/>
        <w:rPr/>
      </w:pPr>
      <w:r>
        <w:rPr/>
      </w:r>
    </w:p>
    <w:p>
      <w:pPr>
        <w:pStyle w:val="TextBody"/>
        <w:bidi w:val="0"/>
        <w:jc w:val="left"/>
        <w:rPr>
          <w:shd w:fill="FFFFFF" w:val="clear"/>
        </w:rPr>
      </w:pPr>
      <w:r>
        <w:rPr>
          <w:shd w:fill="FFFFFF" w:val="clear"/>
        </w:rPr>
        <w:drawing>
          <wp:inline distT="0" distB="0" distL="0" distR="0">
            <wp:extent cx="5943600" cy="19050"/>
            <wp:effectExtent l="0" t="0" r="0" b="0"/>
            <wp:docPr id="17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23" descr=""/>
                    <pic:cNvPicPr>
                      <a:picLocks noChangeAspect="1" noChangeArrowheads="1"/>
                    </pic:cNvPicPr>
                  </pic:nvPicPr>
                  <pic:blipFill>
                    <a:blip r:embed="rId88"/>
                    <a:stretch>
                      <a:fillRect/>
                    </a:stretch>
                  </pic:blipFill>
                  <pic:spPr bwMode="auto">
                    <a:xfrm>
                      <a:off x="0" y="0"/>
                      <a:ext cx="5943600" cy="1905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2.jpeg"/><Relationship Id="rId13" Type="http://schemas.openxmlformats.org/officeDocument/2006/relationships/image" Target="media/image11.jpeg"/><Relationship Id="rId14" Type="http://schemas.openxmlformats.org/officeDocument/2006/relationships/hyperlink" Target="https://www.sec.gov/Archives/edgar/data/1680062/000119312517342650/d407541dex301.htm" TargetMode="External"/><Relationship Id="rId15" Type="http://schemas.openxmlformats.org/officeDocument/2006/relationships/hyperlink" Target="https://www.sec.gov/Archives/edgar/data/0001680062/000114036121024240/brhc10026736_ex3-01.htm" TargetMode="External"/><Relationship Id="rId16" Type="http://schemas.openxmlformats.org/officeDocument/2006/relationships/hyperlink" Target="https://www.sec.gov/Archives/edgar/data/1680062/000119312517342650/d407541dex302.htm" TargetMode="External"/><Relationship Id="rId17" Type="http://schemas.openxmlformats.org/officeDocument/2006/relationships/hyperlink" Target="https://www.sec.gov/Archives/edgar/data/1680062/000165495418005164/acm_ex10-03.htm" TargetMode="External"/><Relationship Id="rId18" Type="http://schemas.openxmlformats.org/officeDocument/2006/relationships/hyperlink" Target="https://www.sec.gov/Archives/edgar/data/1680062/000165495418005164/acm_ex10-04.htm" TargetMode="External"/><Relationship Id="rId19" Type="http://schemas.openxmlformats.org/officeDocument/2006/relationships/hyperlink" Target="https://www.sec.gov/Archives/edgar/data/1680062/000165495418005164/acm_ex10-02.htm" TargetMode="External"/><Relationship Id="rId20" Type="http://schemas.openxmlformats.org/officeDocument/2006/relationships/hyperlink" Target="https://www.sec.gov/Archives/edgar/data/1680062/000114036120017994/brhc10014158_ex4-01.htm" TargetMode="External"/><Relationship Id="rId21" Type="http://schemas.openxmlformats.org/officeDocument/2006/relationships/hyperlink" Target="https://www.sec.gov/Archives/edgar/data/1680062/000119312517283955/d311227dex1001.htm" TargetMode="External"/><Relationship Id="rId22" Type="http://schemas.openxmlformats.org/officeDocument/2006/relationships/hyperlink" Target="https://www.sec.gov/Archives/edgar/data/1680062/000165495418011153/acmr_ex1006.htm" TargetMode="External"/><Relationship Id="rId23" Type="http://schemas.openxmlformats.org/officeDocument/2006/relationships/hyperlink" Target="https://www.sec.gov/Archives/edgar/data/1680062/000165495419001232/acm_ex10-1.htm" TargetMode="External"/><Relationship Id="rId24" Type="http://schemas.openxmlformats.org/officeDocument/2006/relationships/hyperlink" Target="https://www.sec.gov/Archives/edgar/data/1680062/000114036122007348/brhc10034322_ex10-01d.htm" TargetMode="External"/><Relationship Id="rId25" Type="http://schemas.openxmlformats.org/officeDocument/2006/relationships/hyperlink" Target="https://www.sec.gov/Archives/edgar/data/1680062/000165495418011154/acmr_ex1001.htm" TargetMode="External"/><Relationship Id="rId26" Type="http://schemas.openxmlformats.org/officeDocument/2006/relationships/hyperlink" Target="https://www.sec.gov/Archives/edgar/data/1680062/000165495418011153/acmr_ex1005.htm" TargetMode="External"/><Relationship Id="rId27" Type="http://schemas.openxmlformats.org/officeDocument/2006/relationships/hyperlink" Target="https://www.sec.gov/Archives/edgar/data/1680062/000119312517283955/d311227dex1003.htm" TargetMode="External"/><Relationship Id="rId28" Type="http://schemas.openxmlformats.org/officeDocument/2006/relationships/hyperlink" Target="https://www.sec.gov/Archives/edgar/data/1680062/000119312517312780/d311227dex1004.htm" TargetMode="External"/><Relationship Id="rId29" Type="http://schemas.openxmlformats.org/officeDocument/2006/relationships/hyperlink" Target="https://www.sec.gov/Archives/edgar/data/1680062/000119312517312780/d311227dex1007.htm" TargetMode="External"/><Relationship Id="rId30" Type="http://schemas.openxmlformats.org/officeDocument/2006/relationships/hyperlink" Target="https://www.sec.gov/Archives/edgar/data/1680062/000119312517312780/d311227dex1010.htm" TargetMode="External"/><Relationship Id="rId31" Type="http://schemas.openxmlformats.org/officeDocument/2006/relationships/hyperlink" Target="https://www.sec.gov/Archives/edgar/data/1680062/000165495419009210/acm_ex10-01.htm" TargetMode="External"/><Relationship Id="rId32" Type="http://schemas.openxmlformats.org/officeDocument/2006/relationships/hyperlink" Target="https://www.sec.gov/Archives/edgar/data/1680062/000165495419009210/acm_ex10-01a.htm" TargetMode="External"/><Relationship Id="rId33" Type="http://schemas.openxmlformats.org/officeDocument/2006/relationships/hyperlink" Target="https://www.sec.gov/Archives/edgar/data/1680062/000165495419009210/acm_ex10-02.htm" TargetMode="External"/><Relationship Id="rId34" Type="http://schemas.openxmlformats.org/officeDocument/2006/relationships/hyperlink" Target="https://www.sec.gov/Archives/edgar/data/1680062/000165495419009210/acm_ex10-02a.htm" TargetMode="External"/><Relationship Id="rId35" Type="http://schemas.openxmlformats.org/officeDocument/2006/relationships/hyperlink" Target="https://www.sec.gov/Archives/edgar/data/1680062/000114036119020461/ex10_03.htm" TargetMode="External"/><Relationship Id="rId36" Type="http://schemas.openxmlformats.org/officeDocument/2006/relationships/hyperlink" Target="https://www.sec.gov/Archives/edgar/data/1680062/000119312517364926/d481028dex1001.htm" TargetMode="External"/><Relationship Id="rId37" Type="http://schemas.openxmlformats.org/officeDocument/2006/relationships/hyperlink" Target="https://www.sec.gov/Archives/edgar/data/1680062/000119312517283955/d311227dex1010a.htm" TargetMode="External"/><Relationship Id="rId38" Type="http://schemas.openxmlformats.org/officeDocument/2006/relationships/hyperlink" Target="https://www.sec.gov/Archives/edgar/data/1680062/000119312517283955/d311227dex1010b.htm" TargetMode="External"/><Relationship Id="rId39" Type="http://schemas.openxmlformats.org/officeDocument/2006/relationships/hyperlink" Target="https://www.sec.gov/Archives/edgar/data/1680062/000119312517283955/d311227dex1010c.htm" TargetMode="External"/><Relationship Id="rId40" Type="http://schemas.openxmlformats.org/officeDocument/2006/relationships/hyperlink" Target="https://www.sec.gov/Archives/edgar/data/1680062/000119312517283955/d311227dex1011.htm" TargetMode="External"/><Relationship Id="rId41" Type="http://schemas.openxmlformats.org/officeDocument/2006/relationships/hyperlink" Target="https://www.sec.gov/Archives/edgar/data/1680062/000119312517283955/d311227dex1012.htm" TargetMode="External"/><Relationship Id="rId42" Type="http://schemas.openxmlformats.org/officeDocument/2006/relationships/hyperlink" Target="https://www.sec.gov/Archives/edgar/data/1680062/000119312517283955/d311227dex1012a.htm" TargetMode="External"/><Relationship Id="rId43" Type="http://schemas.openxmlformats.org/officeDocument/2006/relationships/hyperlink" Target="https://www.sec.gov/Archives/edgar/data/1680062/000119312517283955/d311227dex1012b.htm" TargetMode="External"/><Relationship Id="rId44" Type="http://schemas.openxmlformats.org/officeDocument/2006/relationships/hyperlink" Target="https://www.sec.gov/Archives/edgar/data/1680062/000119312517283955/d311227dex1013.htm" TargetMode="External"/><Relationship Id="rId45" Type="http://schemas.openxmlformats.org/officeDocument/2006/relationships/hyperlink" Target="https://www.sec.gov/Archives/edgar/data/1680062/000114036119014943/nc10003786x1_ex10-02.htm" TargetMode="External"/><Relationship Id="rId46" Type="http://schemas.openxmlformats.org/officeDocument/2006/relationships/hyperlink" Target="https://www.sec.gov/Archives/edgar/data/1680062/000114036122007348/brhc10034322_ex10-20.htm" TargetMode="External"/><Relationship Id="rId47" Type="http://schemas.openxmlformats.org/officeDocument/2006/relationships/hyperlink" Target="https://www.sec.gov/Archives/edgar/data/1680062/000114036120011117/ex10_02.htm" TargetMode="External"/><Relationship Id="rId48" Type="http://schemas.openxmlformats.org/officeDocument/2006/relationships/hyperlink" Target="https://www.sec.gov/Archives/edgar/data/1680062/000114036120011117/ex10_03.htm" TargetMode="External"/><Relationship Id="rId49" Type="http://schemas.openxmlformats.org/officeDocument/2006/relationships/hyperlink" Target="https://www.sec.gov/Archives/edgar/data/1680062/000114036120025035/brhc10016473_ex10-01.htm" TargetMode="External"/><Relationship Id="rId50" Type="http://schemas.openxmlformats.org/officeDocument/2006/relationships/hyperlink" Target="https://www.sec.gov/Archives/edgar/data/1680062/000114036120011506/ex10_01.htm" TargetMode="External"/><Relationship Id="rId51" Type="http://schemas.openxmlformats.org/officeDocument/2006/relationships/hyperlink" Target="https://www.sec.gov/Archives/edgar/data/1680062/000114036120012790/ex10_01.htm" TargetMode="External"/><Relationship Id="rId52" Type="http://schemas.openxmlformats.org/officeDocument/2006/relationships/hyperlink" Target="https://www.sec.gov/Archives/edgar/data/1680062/000114036120012790/ex10_02.htm" TargetMode="External"/><Relationship Id="rId53" Type="http://schemas.openxmlformats.org/officeDocument/2006/relationships/hyperlink" Target="https://www.sec.gov/Archives/edgar/data/1680062/000114036120012790/ex10_03.htm" TargetMode="External"/><Relationship Id="rId54" Type="http://schemas.openxmlformats.org/officeDocument/2006/relationships/hyperlink" Target="https://www.sec.gov/Archives/edgar/data/1680062/000114036120012790/ex10_04.htm" TargetMode="External"/><Relationship Id="rId55" Type="http://schemas.openxmlformats.org/officeDocument/2006/relationships/hyperlink" Target="https://www.sec.gov/Archives/edgar/data/1680062/000114036120012790/ex10_05.htm" TargetMode="External"/><Relationship Id="rId56" Type="http://schemas.openxmlformats.org/officeDocument/2006/relationships/hyperlink" Target="https://www.sec.gov/Archives/edgar/data/1680062/000114036120012790/ex10_06.htm" TargetMode="External"/><Relationship Id="rId57" Type="http://schemas.openxmlformats.org/officeDocument/2006/relationships/hyperlink" Target="https://www.sec.gov/Archives/edgar/data/1680062/000114036120012790/ex10_07.htm" TargetMode="External"/><Relationship Id="rId58" Type="http://schemas.openxmlformats.org/officeDocument/2006/relationships/hyperlink" Target="https://www.sec.gov/Archives/edgar/data/1680062/000114036120012790/ex10_08.htm" TargetMode="External"/><Relationship Id="rId59" Type="http://schemas.openxmlformats.org/officeDocument/2006/relationships/hyperlink" Target="https://www.sec.gov/Archives/edgar/data/1680062/000114036120012790/ex10_09.htm" TargetMode="External"/><Relationship Id="rId60" Type="http://schemas.openxmlformats.org/officeDocument/2006/relationships/hyperlink" Target="https://www.sec.gov/Archives/edgar/data/1680062/000114036120012790/ex10_10.htm" TargetMode="External"/><Relationship Id="rId61" Type="http://schemas.openxmlformats.org/officeDocument/2006/relationships/hyperlink" Target="https://www.sec.gov/Archives/edgar/data/1680062/000114036120012790/ex10_11.htm" TargetMode="External"/><Relationship Id="rId62" Type="http://schemas.openxmlformats.org/officeDocument/2006/relationships/hyperlink" Target="https://www.sec.gov/Archives/edgar/data/1680062/000114036120012790/ex10_12.htm" TargetMode="External"/><Relationship Id="rId63" Type="http://schemas.openxmlformats.org/officeDocument/2006/relationships/hyperlink" Target="https://www.sec.gov/Archives/edgar/data/1680062/000114036120012790/ex10_13.htm" TargetMode="External"/><Relationship Id="rId64" Type="http://schemas.openxmlformats.org/officeDocument/2006/relationships/hyperlink" Target="https://www.sec.gov/Archives/edgar/data/1680062/000114036120012790/ex10_14.htm" TargetMode="External"/><Relationship Id="rId65" Type="http://schemas.openxmlformats.org/officeDocument/2006/relationships/hyperlink" Target="https://www.sec.gov/Archives/edgar/data/1680062/000114036120012790/ex10_15.htm" TargetMode="External"/><Relationship Id="rId66" Type="http://schemas.openxmlformats.org/officeDocument/2006/relationships/hyperlink" Target="https://www.sec.gov/Archives/edgar/data/1680062/000114036120012790/ex10_16.htm" TargetMode="External"/><Relationship Id="rId67" Type="http://schemas.openxmlformats.org/officeDocument/2006/relationships/hyperlink" Target="https://www.sec.gov/Archives/edgar/data/1680062/000114036120015474/ex10_01.htm" TargetMode="External"/><Relationship Id="rId68" Type="http://schemas.openxmlformats.org/officeDocument/2006/relationships/hyperlink" Target="https://www.sec.gov/Archives/edgar/data/1680062/000114036120015474/ex10_02.htm" TargetMode="External"/><Relationship Id="rId69" Type="http://schemas.openxmlformats.org/officeDocument/2006/relationships/hyperlink" Target="https://www.sec.gov/Archives/edgar/data/1680062/000114036121006213/brhc10020536_ex10-01.htm" TargetMode="External"/><Relationship Id="rId70" Type="http://schemas.openxmlformats.org/officeDocument/2006/relationships/hyperlink" Target="https://www.sec.gov/Archives/edgar/data/1680062/000114036121006213/brhc10020536_ex10-01a.htm" TargetMode="External"/><Relationship Id="rId71" Type="http://schemas.openxmlformats.org/officeDocument/2006/relationships/hyperlink" Target="https://www.sec.gov/Archives/edgar/data/1680062/000114036121006213/brhc10020536_ex10-02.htm" TargetMode="External"/><Relationship Id="rId72" Type="http://schemas.openxmlformats.org/officeDocument/2006/relationships/hyperlink" Target="https://www.sec.gov/Archives/edgar/data/1680062/000114036121006213/brhc10020536_ex10-03.htm" TargetMode="External"/><Relationship Id="rId73" Type="http://schemas.openxmlformats.org/officeDocument/2006/relationships/hyperlink" Target="https://www.sec.gov/Archives/edgar/data/0001680062/000114036121016476/brhc10023839_ex10-01.htm" TargetMode="External"/><Relationship Id="rId74" Type="http://schemas.openxmlformats.org/officeDocument/2006/relationships/hyperlink" Target="https://www.sec.gov/ix?doc=/Archives/edgar/data/0001680062/000114036123037101/brhc20055674_8k.htm" TargetMode="External"/><Relationship Id="rId75" Type="http://schemas.openxmlformats.org/officeDocument/2006/relationships/hyperlink" Target="https://www.sec.gov/Archives/edgar/data/1680062/000168006223000013/oregonleaseagreementapri.htm" TargetMode="External"/><Relationship Id="rId76" Type="http://schemas.openxmlformats.org/officeDocument/2006/relationships/hyperlink" Target="https://www.sec.gov/ix?doc=/Archives/edgar/data/0001680062/000114036123036521/brhc20056458_8k.htm" TargetMode="External"/><Relationship Id="rId77" Type="http://schemas.openxmlformats.org/officeDocument/2006/relationships/hyperlink" Target="https://www.sec.gov/ix?doc=/Archives/edgar/data/0001680062/000114036123045244/ef20011135_8k.htm" TargetMode="External"/><Relationship Id="rId78" Type="http://schemas.openxmlformats.org/officeDocument/2006/relationships/image" Target="media/image12.png"/><Relationship Id="rId79" Type="http://schemas.openxmlformats.org/officeDocument/2006/relationships/image" Target="media/image13.png"/><Relationship Id="rId80" Type="http://schemas.openxmlformats.org/officeDocument/2006/relationships/image" Target="media/image13.png"/><Relationship Id="rId81" Type="http://schemas.openxmlformats.org/officeDocument/2006/relationships/image" Target="media/image13.png"/><Relationship Id="rId82" Type="http://schemas.openxmlformats.org/officeDocument/2006/relationships/image" Target="media/image13.png"/><Relationship Id="rId83" Type="http://schemas.openxmlformats.org/officeDocument/2006/relationships/image" Target="media/image14.jpeg"/><Relationship Id="rId84" Type="http://schemas.openxmlformats.org/officeDocument/2006/relationships/image" Target="media/image12.png"/><Relationship Id="rId85" Type="http://schemas.openxmlformats.org/officeDocument/2006/relationships/image" Target="media/image13.png"/><Relationship Id="rId86" Type="http://schemas.openxmlformats.org/officeDocument/2006/relationships/image" Target="media/image15.jpeg"/><Relationship Id="rId87" Type="http://schemas.openxmlformats.org/officeDocument/2006/relationships/image" Target="media/image12.png"/><Relationship Id="rId88" Type="http://schemas.openxmlformats.org/officeDocument/2006/relationships/image" Target="media/image13.png"/><Relationship Id="rId89" Type="http://schemas.openxmlformats.org/officeDocument/2006/relationships/fontTable" Target="fontTable.xml"/><Relationship Id="rId9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89368</Words>
  <Characters>493785</Characters>
  <CharactersWithSpaces>579382</CharactersWithSpaces>
  <Paragraphs>5720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usfremontofficelease_202</dc:title>
</cp:coreProperties>
</file>