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5" w:lineRule="exact"/>
        <w:rPr>
          <w:sz w:val="24"/>
          <w:szCs w:val="24"/>
          <w:color w:val="auto"/>
        </w:rPr>
      </w:pPr>
    </w:p>
    <w:p>
      <w:pPr>
        <w:ind w:left="980" w:right="2660" w:hanging="972"/>
        <w:spacing w:after="0" w:line="261" w:lineRule="auto"/>
        <w:tabs>
          <w:tab w:leader="none" w:pos="21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980" w:right="4420" w:hanging="972"/>
        <w:spacing w:after="0" w:line="257" w:lineRule="auto"/>
        <w:tabs>
          <w:tab w:leader="none" w:pos="21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9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_________ to _____________</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500" w:type="dxa"/>
        <w:tblCellMar>
          <w:top w:w="0" w:type="dxa"/>
          <w:left w:w="0" w:type="dxa"/>
          <w:bottom w:w="0" w:type="dxa"/>
          <w:right w:w="0" w:type="dxa"/>
        </w:tblCellMar>
      </w:tblPr>
      <w:tr>
        <w:trPr>
          <w:trHeight w:val="222"/>
        </w:trPr>
        <w:tc>
          <w:tcPr>
            <w:tcW w:w="5680" w:type="dxa"/>
            <w:vAlign w:val="bottom"/>
          </w:tcPr>
          <w:p>
            <w:pPr>
              <w:jc w:val="center"/>
              <w:ind w:right="1212"/>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752"/>
              <w:spacing w:after="0"/>
              <w:rPr>
                <w:sz w:val="20"/>
                <w:szCs w:val="20"/>
                <w:color w:val="auto"/>
              </w:rPr>
            </w:pPr>
            <w:r>
              <w:rPr>
                <w:rFonts w:ascii="Arial" w:cs="Arial" w:eastAsia="Arial" w:hAnsi="Arial"/>
                <w:sz w:val="18"/>
                <w:szCs w:val="18"/>
                <w:b w:val="1"/>
                <w:bCs w:val="1"/>
                <w:color w:val="auto"/>
              </w:rPr>
              <w:t>94-3290283</w:t>
            </w:r>
          </w:p>
        </w:tc>
      </w:tr>
      <w:tr>
        <w:trPr>
          <w:trHeight w:val="222"/>
        </w:trPr>
        <w:tc>
          <w:tcPr>
            <w:tcW w:w="5680" w:type="dxa"/>
            <w:vAlign w:val="bottom"/>
          </w:tcPr>
          <w:p>
            <w:pPr>
              <w:jc w:val="center"/>
              <w:ind w:right="1212"/>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3820" w:type="dxa"/>
            <w:vAlign w:val="bottom"/>
          </w:tcPr>
          <w:p>
            <w:pPr>
              <w:jc w:val="center"/>
              <w:ind w:left="1212"/>
              <w:spacing w:after="0"/>
              <w:rPr>
                <w:sz w:val="20"/>
                <w:szCs w:val="20"/>
                <w:color w:val="auto"/>
              </w:rPr>
            </w:pPr>
            <w:r>
              <w:rPr>
                <w:rFonts w:ascii="Arial" w:cs="Arial" w:eastAsia="Arial" w:hAnsi="Arial"/>
                <w:sz w:val="18"/>
                <w:szCs w:val="18"/>
                <w:i w:val="1"/>
                <w:iCs w:val="1"/>
                <w:color w:val="auto"/>
                <w:w w:val="89"/>
              </w:rPr>
              <w:t>(I.R.S. Employee Identification No.)</w:t>
            </w:r>
          </w:p>
        </w:tc>
      </w:tr>
      <w:tr>
        <w:trPr>
          <w:trHeight w:val="426"/>
        </w:trPr>
        <w:tc>
          <w:tcPr>
            <w:tcW w:w="5680" w:type="dxa"/>
            <w:vAlign w:val="bottom"/>
          </w:tcPr>
          <w:p>
            <w:pPr>
              <w:jc w:val="center"/>
              <w:ind w:right="1192"/>
              <w:spacing w:after="0"/>
              <w:rPr>
                <w:sz w:val="20"/>
                <w:szCs w:val="20"/>
                <w:color w:val="auto"/>
              </w:rPr>
            </w:pPr>
            <w:r>
              <w:rPr>
                <w:rFonts w:ascii="Arial" w:cs="Arial" w:eastAsia="Arial" w:hAnsi="Arial"/>
                <w:sz w:val="18"/>
                <w:szCs w:val="18"/>
                <w:b w:val="1"/>
                <w:bCs w:val="1"/>
                <w:color w:val="auto"/>
                <w:w w:val="89"/>
              </w:rPr>
              <w:t>42307 Osgood Road, Suite I, Fremont, California</w:t>
            </w:r>
          </w:p>
        </w:tc>
        <w:tc>
          <w:tcPr>
            <w:tcW w:w="3820" w:type="dxa"/>
            <w:vAlign w:val="bottom"/>
          </w:tcPr>
          <w:p>
            <w:pPr>
              <w:jc w:val="right"/>
              <w:ind w:right="952"/>
              <w:spacing w:after="0"/>
              <w:rPr>
                <w:sz w:val="20"/>
                <w:szCs w:val="20"/>
                <w:color w:val="auto"/>
              </w:rPr>
            </w:pPr>
            <w:r>
              <w:rPr>
                <w:rFonts w:ascii="Arial" w:cs="Arial" w:eastAsia="Arial" w:hAnsi="Arial"/>
                <w:sz w:val="18"/>
                <w:szCs w:val="18"/>
                <w:b w:val="1"/>
                <w:bCs w:val="1"/>
                <w:color w:val="auto"/>
              </w:rPr>
              <w:t>94539</w:t>
            </w:r>
          </w:p>
        </w:tc>
      </w:tr>
      <w:tr>
        <w:trPr>
          <w:trHeight w:val="222"/>
        </w:trPr>
        <w:tc>
          <w:tcPr>
            <w:tcW w:w="5680" w:type="dxa"/>
            <w:vAlign w:val="bottom"/>
          </w:tcPr>
          <w:p>
            <w:pPr>
              <w:jc w:val="center"/>
              <w:ind w:right="119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820" w:type="dxa"/>
            <w:vAlign w:val="bottom"/>
          </w:tcPr>
          <w:p>
            <w:pPr>
              <w:jc w:val="center"/>
              <w:ind w:left="1212"/>
              <w:spacing w:after="0"/>
              <w:rPr>
                <w:sz w:val="20"/>
                <w:szCs w:val="20"/>
                <w:color w:val="auto"/>
              </w:rPr>
            </w:pPr>
            <w:r>
              <w:rPr>
                <w:rFonts w:ascii="Arial" w:cs="Arial" w:eastAsia="Arial" w:hAnsi="Arial"/>
                <w:sz w:val="18"/>
                <w:szCs w:val="18"/>
                <w:i w:val="1"/>
                <w:iCs w:val="1"/>
                <w:color w:val="auto"/>
                <w:w w:val="89"/>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44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22"/>
        </w:trPr>
        <w:tc>
          <w:tcPr>
            <w:tcW w:w="5380" w:type="dxa"/>
            <w:vAlign w:val="bottom"/>
          </w:tcPr>
          <w:p>
            <w:pPr>
              <w:jc w:val="center"/>
              <w:spacing w:after="0"/>
              <w:rPr>
                <w:sz w:val="20"/>
                <w:szCs w:val="20"/>
                <w:color w:val="auto"/>
              </w:rPr>
            </w:pPr>
            <w:r>
              <w:rPr>
                <w:rFonts w:ascii="Arial" w:cs="Arial" w:eastAsia="Arial" w:hAnsi="Arial"/>
                <w:sz w:val="18"/>
                <w:szCs w:val="18"/>
                <w:color w:val="auto"/>
                <w:w w:val="87"/>
              </w:rPr>
              <w:t>Class A Common Stock, $0.0001 par value per share</w:t>
            </w:r>
          </w:p>
        </w:tc>
        <w:tc>
          <w:tcPr>
            <w:tcW w:w="44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Nasdaq Global Market</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8"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None.</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940" w:type="dxa"/>
            <w:vAlign w:val="bottom"/>
          </w:tcPr>
          <w:p>
            <w:pPr>
              <w:ind w:left="15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16"/>
        </w:trPr>
        <w:tc>
          <w:tcPr>
            <w:tcW w:w="64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 </w:t>
            </w:r>
            <w:r>
              <w:rPr>
                <w:rFonts w:ascii="Arial" w:cs="Arial" w:eastAsia="Arial" w:hAnsi="Arial"/>
                <w:sz w:val="18"/>
                <w:szCs w:val="18"/>
                <w:i w:val="1"/>
                <w:iCs w:val="1"/>
                <w:color w:val="auto"/>
              </w:rPr>
              <w:t>(Do not check if a smaller reporting company)</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tc>
        <w:tc>
          <w:tcPr>
            <w:tcW w:w="4940" w:type="dxa"/>
            <w:vAlign w:val="bottom"/>
          </w:tcPr>
          <w:p>
            <w:pPr>
              <w:ind w:left="15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75"/>
        </w:trPr>
        <w:tc>
          <w:tcPr>
            <w:tcW w:w="6480" w:type="dxa"/>
            <w:vAlign w:val="bottom"/>
          </w:tcPr>
          <w:p>
            <w:pPr>
              <w:spacing w:after="0"/>
              <w:rPr>
                <w:sz w:val="23"/>
                <w:szCs w:val="23"/>
                <w:color w:val="auto"/>
              </w:rPr>
            </w:pPr>
          </w:p>
        </w:tc>
        <w:tc>
          <w:tcPr>
            <w:tcW w:w="4940" w:type="dxa"/>
            <w:vAlign w:val="bottom"/>
          </w:tcPr>
          <w:p>
            <w:pPr>
              <w:ind w:left="15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r>
        <w:trPr>
          <w:trHeight w:val="360"/>
        </w:trPr>
        <w:tc>
          <w:tcPr>
            <w:tcW w:w="64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7" w:right="239" w:bottom="1440" w:gutter="0" w:footer="0" w:header="0"/>
        </w:sectPr>
      </w:pPr>
    </w:p>
    <w:bookmarkStart w:id="1" w:name="page2"/>
    <w:bookmarkEnd w:id="1"/>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of March 19, 2018, there were 12,992,768 shares of Class A Common Stock and 2,409,738 shares of Class B Common Stock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 intends to file a proxy statement pursuant to Regulation 14A within 120 days of the end of the fiscal year ended December 31, 2017. Portions of such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09"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80" w:type="dxa"/>
            <w:vAlign w:val="bottom"/>
            <w:gridSpan w:val="16"/>
          </w:tcPr>
          <w:p>
            <w:pPr>
              <w:ind w:left="20"/>
              <w:spacing w:after="0"/>
              <w:rPr>
                <w:sz w:val="20"/>
                <w:szCs w:val="20"/>
                <w:color w:val="auto"/>
              </w:rPr>
            </w:pPr>
            <w:r>
              <w:rPr>
                <w:rFonts w:ascii="Arial" w:cs="Arial" w:eastAsia="Arial" w:hAnsi="Arial"/>
                <w:sz w:val="22"/>
                <w:szCs w:val="22"/>
                <w:b w:val="1"/>
                <w:bCs w:val="1"/>
                <w:color w:val="auto"/>
              </w:rPr>
              <w:t>TABLE OF CONTENTS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10"/>
          </w:tcPr>
          <w:p>
            <w:pPr>
              <w:jc w:val="center"/>
              <w:ind w:right="4440"/>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600" w:type="dxa"/>
            <w:vAlign w:val="bottom"/>
            <w:gridSpan w:val="28"/>
          </w:tcPr>
          <w:p>
            <w:pPr>
              <w:ind w:left="9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1B</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120" w:type="dxa"/>
            <w:vAlign w:val="bottom"/>
            <w:gridSpan w:val="2"/>
          </w:tcPr>
          <w:p>
            <w:pPr>
              <w:spacing w:after="0"/>
              <w:rPr>
                <w:sz w:val="15"/>
                <w:szCs w:val="15"/>
                <w:color w:val="auto"/>
              </w:rPr>
            </w:pPr>
          </w:p>
        </w:tc>
        <w:tc>
          <w:tcPr>
            <w:tcW w:w="9600" w:type="dxa"/>
            <w:vAlign w:val="bottom"/>
            <w:gridSpan w:val="28"/>
          </w:tcPr>
          <w:p>
            <w:pPr>
              <w:ind w:left="9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600" w:type="dxa"/>
            <w:vAlign w:val="bottom"/>
            <w:gridSpan w:val="28"/>
          </w:tcPr>
          <w:p>
            <w:pPr>
              <w:ind w:left="9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1"/>
          </w:tcPr>
          <w:p>
            <w:pPr>
              <w:jc w:val="center"/>
              <w:ind w:right="4400"/>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PART II</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5</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Market for Registrant’s Common Equity, Related Stockholder Matters and Issuer Purchases of Equity Securities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9600" w:type="dxa"/>
            <w:vAlign w:val="bottom"/>
            <w:gridSpan w:val="28"/>
          </w:tcPr>
          <w:p>
            <w:pPr>
              <w:ind w:left="9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7</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7A</w:t>
              </w:r>
            </w:hyperlink>
          </w:p>
        </w:tc>
        <w:tc>
          <w:tcPr>
            <w:tcW w:w="9600" w:type="dxa"/>
            <w:vAlign w:val="bottom"/>
            <w:gridSpan w:val="28"/>
          </w:tcPr>
          <w:p>
            <w:pPr>
              <w:ind w:left="96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8</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6"/>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9</w:t>
              </w:r>
            </w:hyperlink>
          </w:p>
        </w:tc>
        <w:tc>
          <w:tcPr>
            <w:tcW w:w="9600" w:type="dxa"/>
            <w:vAlign w:val="bottom"/>
            <w:gridSpan w:val="28"/>
          </w:tcPr>
          <w:p>
            <w:pPr>
              <w:ind w:left="96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Changes in and Disagreements with Accountants on Accounting and Financial Disclosure</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w w:val="94"/>
              </w:rPr>
            </w:pPr>
            <w:hyperlink w:anchor="page107">
              <w:r>
                <w:rPr>
                  <w:rFonts w:ascii="Arial" w:cs="Arial" w:eastAsia="Arial" w:hAnsi="Arial"/>
                  <w:sz w:val="18"/>
                  <w:szCs w:val="18"/>
                  <w:color w:val="0000EE"/>
                  <w:w w:val="94"/>
                </w:rPr>
                <w:t>ITEM 9A</w:t>
              </w:r>
            </w:hyperlink>
          </w:p>
        </w:tc>
        <w:tc>
          <w:tcPr>
            <w:tcW w:w="100" w:type="dxa"/>
            <w:vAlign w:val="bottom"/>
            <w:shd w:val="clear" w:color="auto" w:fill="CCEEFF"/>
          </w:tcPr>
          <w:p>
            <w:pPr>
              <w:spacing w:after="0"/>
              <w:rPr>
                <w:sz w:val="15"/>
                <w:szCs w:val="15"/>
                <w:color w:val="auto"/>
              </w:rPr>
            </w:pPr>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ITEM 9B</w:t>
              </w:r>
            </w:hyperlink>
          </w:p>
        </w:tc>
        <w:tc>
          <w:tcPr>
            <w:tcW w:w="100" w:type="dxa"/>
            <w:vAlign w:val="bottom"/>
          </w:tcPr>
          <w:p>
            <w:pPr>
              <w:spacing w:after="0"/>
              <w:rPr>
                <w:sz w:val="15"/>
                <w:szCs w:val="15"/>
                <w:color w:val="auto"/>
              </w:rPr>
            </w:pPr>
          </w:p>
        </w:tc>
        <w:tc>
          <w:tcPr>
            <w:tcW w:w="9600" w:type="dxa"/>
            <w:vAlign w:val="bottom"/>
            <w:gridSpan w:val="28"/>
          </w:tcPr>
          <w:p>
            <w:pPr>
              <w:ind w:left="96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gridSpan w:val="13"/>
          </w:tcPr>
          <w:p>
            <w:pPr>
              <w:jc w:val="center"/>
              <w:ind w:right="4360"/>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III</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 10</w:t>
              </w:r>
            </w:hyperlink>
          </w:p>
        </w:tc>
        <w:tc>
          <w:tcPr>
            <w:tcW w:w="140" w:type="dxa"/>
            <w:vAlign w:val="bottom"/>
            <w:gridSpan w:val="3"/>
            <w:shd w:val="clear" w:color="auto" w:fill="CCEEFF"/>
          </w:tcPr>
          <w:p>
            <w:pPr>
              <w:spacing w:after="0"/>
              <w:rPr>
                <w:sz w:val="15"/>
                <w:szCs w:val="15"/>
                <w:color w:val="auto"/>
              </w:rPr>
            </w:pPr>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 11</w:t>
              </w:r>
            </w:hyperlink>
          </w:p>
        </w:tc>
        <w:tc>
          <w:tcPr>
            <w:tcW w:w="140" w:type="dxa"/>
            <w:vAlign w:val="bottom"/>
            <w:gridSpan w:val="3"/>
          </w:tcPr>
          <w:p>
            <w:pPr>
              <w:spacing w:after="0"/>
              <w:rPr>
                <w:sz w:val="15"/>
                <w:szCs w:val="15"/>
                <w:color w:val="auto"/>
              </w:rPr>
            </w:pPr>
          </w:p>
        </w:tc>
        <w:tc>
          <w:tcPr>
            <w:tcW w:w="9600" w:type="dxa"/>
            <w:vAlign w:val="bottom"/>
            <w:gridSpan w:val="28"/>
          </w:tcPr>
          <w:p>
            <w:pPr>
              <w:ind w:left="96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 12</w:t>
              </w:r>
            </w:hyperlink>
          </w:p>
        </w:tc>
        <w:tc>
          <w:tcPr>
            <w:tcW w:w="140" w:type="dxa"/>
            <w:vAlign w:val="bottom"/>
            <w:gridSpan w:val="3"/>
            <w:shd w:val="clear" w:color="auto" w:fill="CCEEFF"/>
          </w:tcPr>
          <w:p>
            <w:pPr>
              <w:spacing w:after="0"/>
              <w:rPr>
                <w:sz w:val="15"/>
                <w:szCs w:val="15"/>
                <w:color w:val="auto"/>
              </w:rPr>
            </w:pPr>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 13</w:t>
              </w:r>
            </w:hyperlink>
          </w:p>
        </w:tc>
        <w:tc>
          <w:tcPr>
            <w:tcW w:w="140" w:type="dxa"/>
            <w:vAlign w:val="bottom"/>
            <w:gridSpan w:val="3"/>
          </w:tcPr>
          <w:p>
            <w:pPr>
              <w:spacing w:after="0"/>
              <w:rPr>
                <w:sz w:val="15"/>
                <w:szCs w:val="15"/>
                <w:color w:val="auto"/>
              </w:rPr>
            </w:pPr>
          </w:p>
        </w:tc>
        <w:tc>
          <w:tcPr>
            <w:tcW w:w="9600" w:type="dxa"/>
            <w:vAlign w:val="bottom"/>
            <w:gridSpan w:val="28"/>
          </w:tcPr>
          <w:p>
            <w:pPr>
              <w:ind w:left="96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14</w:t>
              </w:r>
            </w:hyperlink>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Principal Accountant Fees and Services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080" w:type="dxa"/>
            <w:vAlign w:val="bottom"/>
            <w:tcBorders>
              <w:top w:val="single" w:sz="8" w:color="CCEEFF"/>
            </w:tcBorders>
            <w:gridSpan w:val="13"/>
          </w:tcPr>
          <w:p>
            <w:pPr>
              <w:jc w:val="center"/>
              <w:ind w:right="4360"/>
              <w:spacing w:after="0"/>
              <w:rPr>
                <w:rFonts w:ascii="Arial" w:cs="Arial" w:eastAsia="Arial" w:hAnsi="Arial"/>
                <w:sz w:val="18"/>
                <w:szCs w:val="18"/>
                <w:b w:val="1"/>
                <w:bCs w:val="1"/>
                <w:color w:val="0000EE"/>
                <w:w w:val="95"/>
              </w:rPr>
            </w:pPr>
            <w:hyperlink w:anchor="page109">
              <w:r>
                <w:rPr>
                  <w:rFonts w:ascii="Arial" w:cs="Arial" w:eastAsia="Arial" w:hAnsi="Arial"/>
                  <w:sz w:val="18"/>
                  <w:szCs w:val="18"/>
                  <w:b w:val="1"/>
                  <w:bCs w:val="1"/>
                  <w:color w:val="0000EE"/>
                  <w:w w:val="95"/>
                </w:rPr>
                <w:t>PART IV</w:t>
              </w:r>
            </w:hyperlink>
          </w:p>
        </w:tc>
        <w:tc>
          <w:tcPr>
            <w:tcW w:w="10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 15</w:t>
              </w:r>
            </w:hyperlink>
          </w:p>
        </w:tc>
        <w:tc>
          <w:tcPr>
            <w:tcW w:w="140" w:type="dxa"/>
            <w:vAlign w:val="bottom"/>
            <w:gridSpan w:val="3"/>
            <w:shd w:val="clear" w:color="auto" w:fill="CCEEFF"/>
          </w:tcPr>
          <w:p>
            <w:pPr>
              <w:spacing w:after="0"/>
              <w:rPr>
                <w:sz w:val="15"/>
                <w:szCs w:val="15"/>
                <w:color w:val="auto"/>
              </w:rPr>
            </w:pPr>
          </w:p>
        </w:tc>
        <w:tc>
          <w:tcPr>
            <w:tcW w:w="9600" w:type="dxa"/>
            <w:vAlign w:val="bottom"/>
            <w:gridSpan w:val="28"/>
            <w:shd w:val="clear" w:color="auto" w:fill="CCEEFF"/>
          </w:tcPr>
          <w:p>
            <w:pPr>
              <w:ind w:left="96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Exhibits and Financial Statement Schedules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3"/>
          </w:tcPr>
          <w:p>
            <w:pPr>
              <w:spacing w:after="0" w:line="176" w:lineRule="exact"/>
              <w:rPr>
                <w:sz w:val="20"/>
                <w:szCs w:val="20"/>
                <w:color w:val="auto"/>
              </w:rPr>
            </w:pPr>
            <w:r>
              <w:rPr>
                <w:rFonts w:ascii="Arial" w:cs="Arial" w:eastAsia="Arial" w:hAnsi="Arial"/>
                <w:sz w:val="18"/>
                <w:szCs w:val="18"/>
                <w:color w:val="0000EE"/>
                <w:w w:val="91"/>
              </w:rPr>
              <w:t>ITEM 16</w:t>
            </w:r>
          </w:p>
        </w:tc>
        <w:tc>
          <w:tcPr>
            <w:tcW w:w="140" w:type="dxa"/>
            <w:vAlign w:val="bottom"/>
            <w:gridSpan w:val="3"/>
          </w:tcPr>
          <w:p>
            <w:pPr>
              <w:spacing w:after="0"/>
              <w:rPr>
                <w:sz w:val="15"/>
                <w:szCs w:val="15"/>
                <w:color w:val="auto"/>
              </w:rPr>
            </w:pPr>
          </w:p>
        </w:tc>
        <w:tc>
          <w:tcPr>
            <w:tcW w:w="9600" w:type="dxa"/>
            <w:vAlign w:val="bottom"/>
            <w:gridSpan w:val="28"/>
          </w:tcPr>
          <w:p>
            <w:pPr>
              <w:ind w:left="960"/>
              <w:spacing w:after="0" w:line="176" w:lineRule="exact"/>
              <w:rPr>
                <w:sz w:val="20"/>
                <w:szCs w:val="20"/>
                <w:color w:val="auto"/>
              </w:rPr>
            </w:pPr>
            <w:r>
              <w:rPr>
                <w:rFonts w:ascii="Arial" w:cs="Arial" w:eastAsia="Arial" w:hAnsi="Arial"/>
                <w:sz w:val="18"/>
                <w:szCs w:val="18"/>
                <w:color w:val="0000EE"/>
              </w:rPr>
              <w:t>Form 10-K Summary</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80" w:type="dxa"/>
            <w:vAlign w:val="bottom"/>
            <w:tcBorders>
              <w:bottom w:val="single" w:sz="8" w:color="0000EE"/>
            </w:tcBorders>
            <w:gridSpan w:val="6"/>
          </w:tcPr>
          <w:p>
            <w:pPr>
              <w:spacing w:after="0" w:line="176" w:lineRule="exact"/>
              <w:rPr>
                <w:rFonts w:ascii="Arial" w:cs="Arial" w:eastAsia="Arial" w:hAnsi="Arial"/>
                <w:sz w:val="18"/>
                <w:szCs w:val="18"/>
                <w:b w:val="1"/>
                <w:bCs w:val="1"/>
                <w:color w:val="0000EE"/>
                <w:w w:val="81"/>
              </w:rPr>
            </w:pPr>
            <w:hyperlink w:anchor="page112">
              <w:r>
                <w:rPr>
                  <w:rFonts w:ascii="Arial" w:cs="Arial" w:eastAsia="Arial" w:hAnsi="Arial"/>
                  <w:sz w:val="18"/>
                  <w:szCs w:val="18"/>
                  <w:b w:val="1"/>
                  <w:bCs w:val="1"/>
                  <w:color w:val="0000EE"/>
                  <w:w w:val="81"/>
                </w:rPr>
                <w:t>Signatures</w:t>
              </w:r>
            </w:hyperlink>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30" w:lineRule="exact"/>
        <w:rPr>
          <w:sz w:val="20"/>
          <w:szCs w:val="20"/>
          <w:color w:val="auto"/>
        </w:rPr>
      </w:pPr>
    </w:p>
    <w:p>
      <w:pPr>
        <w:ind w:right="160" w:firstLine="486"/>
        <w:spacing w:after="0" w:line="268" w:lineRule="auto"/>
        <w:rPr>
          <w:sz w:val="20"/>
          <w:szCs w:val="20"/>
          <w:color w:val="auto"/>
        </w:rPr>
      </w:pPr>
      <w:r>
        <w:rPr>
          <w:rFonts w:ascii="Arial" w:cs="Arial" w:eastAsia="Arial" w:hAnsi="Arial"/>
          <w:sz w:val="18"/>
          <w:szCs w:val="18"/>
          <w:color w:val="auto"/>
        </w:rPr>
        <w:t>SAPS, TEBO and ULTRA C are our trademarks. This report also contains other companies’ trademarks, registered marks and trade names, which are the property of those companies.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This Annual Report on Form 10-K, or this report, contains forward-looking statements that involve risks and uncertainties. All statements, other than statements of historical facts, included in this report regarding our strategy, future operations, future financial position, future revenue, projected costs, prospects, plans and objectives of management are forward-looking statements. In some cases, forward-looking statements can be identified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0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102" w:lineRule="exact"/>
        <w:rPr>
          <w:sz w:val="20"/>
          <w:szCs w:val="20"/>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expenses and revenue, our ability to maintain and expand gross profit;</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of our products, particularly in the People’s Republic of China, or the PRC;</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products and our ability to serve those markets;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costs of developing and commercializing new products;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trends and challenges in our business and the market in which we operate;</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or retain key personnel;</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and the stability of our, supply chain and manufacturing;</w:t>
      </w:r>
    </w:p>
    <w:p>
      <w:pPr>
        <w:spacing w:after="0" w:line="157" w:lineRule="exact"/>
        <w:rPr>
          <w:rFonts w:ascii="Arial" w:cs="Arial" w:eastAsia="Arial" w:hAnsi="Arial"/>
          <w:sz w:val="18"/>
          <w:szCs w:val="18"/>
          <w:color w:val="auto"/>
        </w:rPr>
      </w:pPr>
    </w:p>
    <w:p>
      <w:pPr>
        <w:ind w:left="920" w:right="20" w:hanging="480"/>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 including export controls, tax law changes and interpretations, economic sanctions and anti-corruption regulations;</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proceeds from this offering and the concurrent private placement.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Any forward-looking statements made by us in this report speak only as of the date of our filing of this report with the Securities and Exchange Commission, or the SEC, and are subject to a number of risks, uncertainties and assumptions described in “Item 1A. Risk Factors” and elsewhere in this report.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report, and the documents that we reference in this report and have filed as exhibits to this report, should be read completely and with the understanding that our actual future results may be materially different from what we expect. We qualify all of our forward-looking statements by these cautionary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This report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“Item 1A. Risk Factors” and elsewhere in this report. These and other factors could cause results to differ materially from those expressed in the estimates included in this report.</w:t>
      </w:r>
    </w:p>
    <w:p>
      <w:pPr>
        <w:spacing w:after="0" w:line="1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list identifies the sources of certain of the third-party forecasts and other estimates included in this report, together with the section or subsection of this report in which that estimate appears. As of the date of our filing of this report with the SEC, each of the following sources was publicly available without charge:</w:t>
      </w:r>
    </w:p>
    <w:p>
      <w:pPr>
        <w:spacing w:after="0" w:line="127" w:lineRule="exact"/>
        <w:rPr>
          <w:sz w:val="20"/>
          <w:szCs w:val="20"/>
          <w:color w:val="auto"/>
        </w:rPr>
      </w:pPr>
    </w:p>
    <w:p>
      <w:pPr>
        <w:ind w:left="920" w:hanging="480"/>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PricewaterhouseCoopers, </w:t>
      </w:r>
      <w:r>
        <w:rPr>
          <w:rFonts w:ascii="Arial" w:cs="Arial" w:eastAsia="Arial" w:hAnsi="Arial"/>
          <w:sz w:val="18"/>
          <w:szCs w:val="18"/>
          <w:i w:val="1"/>
          <w:iCs w:val="1"/>
          <w:color w:val="auto"/>
        </w:rPr>
        <w:t>China’s impact on the semiconductor industry: 2017 update</w:t>
      </w:r>
      <w:r>
        <w:rPr>
          <w:rFonts w:ascii="Arial" w:cs="Arial" w:eastAsia="Arial" w:hAnsi="Arial"/>
          <w:sz w:val="18"/>
          <w:szCs w:val="18"/>
          <w:color w:val="auto"/>
        </w:rPr>
        <w:t>, September and November 2017 (“Business—Industry Background—Growing Influence of the PRC Across the Semiconductor Industry”);</w:t>
      </w:r>
    </w:p>
    <w:p>
      <w:pPr>
        <w:spacing w:after="0" w:line="118"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IC Insights, Inc., </w:t>
      </w:r>
      <w:r>
        <w:rPr>
          <w:rFonts w:ascii="Arial" w:cs="Arial" w:eastAsia="Arial" w:hAnsi="Arial"/>
          <w:sz w:val="18"/>
          <w:szCs w:val="18"/>
          <w:i w:val="1"/>
          <w:iCs w:val="1"/>
          <w:color w:val="auto"/>
        </w:rPr>
        <w:t>Semiconductor Unit Shipments Forecast to Exceed 1 Trillion Devices in 2018</w:t>
      </w:r>
      <w:r>
        <w:rPr>
          <w:rFonts w:ascii="Arial" w:cs="Arial" w:eastAsia="Arial" w:hAnsi="Arial"/>
          <w:sz w:val="18"/>
          <w:szCs w:val="18"/>
          <w:color w:val="auto"/>
        </w:rPr>
        <w:t>, January 25, 2018 (“Business—Industry Background”);</w:t>
      </w:r>
    </w:p>
    <w:p>
      <w:pPr>
        <w:spacing w:after="0" w:line="118"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Semiconductor Industry Association and Nathan Associates, </w:t>
      </w:r>
      <w:r>
        <w:rPr>
          <w:rFonts w:ascii="Arial" w:cs="Arial" w:eastAsia="Arial" w:hAnsi="Arial"/>
          <w:sz w:val="18"/>
          <w:szCs w:val="18"/>
          <w:i w:val="1"/>
          <w:iCs w:val="1"/>
          <w:color w:val="auto"/>
        </w:rPr>
        <w:t>Beyond Borders: The Global Semiconductor Value Chain: How an Interconnected</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Promotes Innovation and Growth</w:t>
      </w:r>
      <w:r>
        <w:rPr>
          <w:rFonts w:ascii="Arial" w:cs="Arial" w:eastAsia="Arial" w:hAnsi="Arial"/>
          <w:sz w:val="18"/>
          <w:szCs w:val="18"/>
          <w:color w:val="auto"/>
        </w:rPr>
        <w:t>, May 2016 (“Business—Industry Background—Escalating Need for Advanced Chip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w:t>
      </w:r>
    </w:p>
    <w:p>
      <w:pPr>
        <w:spacing w:after="0" w:line="126"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Semiconductor Equipment and Materials International, </w:t>
      </w:r>
      <w:r>
        <w:rPr>
          <w:rFonts w:ascii="Arial" w:cs="Arial" w:eastAsia="Arial" w:hAnsi="Arial"/>
          <w:sz w:val="18"/>
          <w:szCs w:val="18"/>
          <w:i w:val="1"/>
          <w:iCs w:val="1"/>
          <w:color w:val="auto"/>
        </w:rPr>
        <w:t>World Fab Forward Report,</w:t>
      </w:r>
      <w:r>
        <w:rPr>
          <w:rFonts w:ascii="Arial" w:cs="Arial" w:eastAsia="Arial" w:hAnsi="Arial"/>
          <w:sz w:val="18"/>
          <w:szCs w:val="18"/>
          <w:color w:val="auto"/>
        </w:rPr>
        <w:t xml:space="preserve"> December 4, 2017 (“Business—Industry Background— Escalating Need for Advanced Chip Manufacturing Equipment”);</w:t>
      </w:r>
    </w:p>
    <w:p>
      <w:pPr>
        <w:spacing w:after="0" w:line="118"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International Trade Administration of the United States Department of Commerce, </w:t>
      </w:r>
      <w:r>
        <w:rPr>
          <w:rFonts w:ascii="Arial" w:cs="Arial" w:eastAsia="Arial" w:hAnsi="Arial"/>
          <w:sz w:val="18"/>
          <w:szCs w:val="18"/>
          <w:i w:val="1"/>
          <w:iCs w:val="1"/>
          <w:color w:val="auto"/>
        </w:rPr>
        <w:t>2016 Top Markets Report Semiconductors and Semiconductor</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Manufacturing Equipment Country Case Study</w:t>
      </w:r>
      <w:r>
        <w:rPr>
          <w:rFonts w:ascii="Arial" w:cs="Arial" w:eastAsia="Arial" w:hAnsi="Arial"/>
          <w:sz w:val="18"/>
          <w:szCs w:val="18"/>
          <w:color w:val="auto"/>
        </w:rPr>
        <w:t>, July 1, 2016 (“Business—Industry Background—Growing Influence of the PRC Across the</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Industry”); and</w:t>
      </w:r>
    </w:p>
    <w:p>
      <w:pPr>
        <w:spacing w:after="0" w:line="126"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Semiconductor Equipment and Materials International, </w:t>
      </w:r>
      <w:r>
        <w:rPr>
          <w:rFonts w:ascii="Arial" w:cs="Arial" w:eastAsia="Arial" w:hAnsi="Arial"/>
          <w:sz w:val="18"/>
          <w:szCs w:val="18"/>
          <w:i w:val="1"/>
          <w:iCs w:val="1"/>
          <w:color w:val="auto"/>
        </w:rPr>
        <w:t>World Fab Forecast Report</w:t>
      </w:r>
      <w:r>
        <w:rPr>
          <w:rFonts w:ascii="Arial" w:cs="Arial" w:eastAsia="Arial" w:hAnsi="Arial"/>
          <w:sz w:val="18"/>
          <w:szCs w:val="18"/>
          <w:color w:val="auto"/>
        </w:rPr>
        <w:t>, November 2016 (“Business—Our Solutions—China-based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81" w:lineRule="exact"/>
        <w:rPr>
          <w:sz w:val="20"/>
          <w:szCs w:val="20"/>
          <w:color w:val="auto"/>
        </w:rPr>
      </w:pPr>
    </w:p>
    <w:p>
      <w:pPr>
        <w:jc w:val="both"/>
        <w:ind w:left="920" w:hanging="480"/>
        <w:spacing w:after="0" w:line="256"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SAPS technology, which we introduced in 2009, employs alternating phases 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w:t>
      </w:r>
    </w:p>
    <w:p>
      <w:pPr>
        <w:spacing w:after="0" w:line="129" w:lineRule="exact"/>
        <w:rPr>
          <w:rFonts w:ascii="Arial" w:cs="Arial" w:eastAsia="Arial" w:hAnsi="Arial"/>
          <w:sz w:val="18"/>
          <w:szCs w:val="18"/>
          <w:color w:val="auto"/>
        </w:rPr>
      </w:pPr>
    </w:p>
    <w:p>
      <w:pPr>
        <w:jc w:val="both"/>
        <w:ind w:left="920" w:hanging="480"/>
        <w:spacing w:after="0" w:line="306"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TEBO technology, which we introduced in March 2016, has been developed to provide effective, damage-free cleaning for both conventional two-dimensional, or 2D, and three-dimensional, or 3D, patterned wafers at advanced process nodes. We have demonstrated the damage-free cleaning capabilities of TEBO technology on 3D patterned wafers for feature nodes as small as 16nm.</w:t>
      </w:r>
    </w:p>
    <w:p>
      <w:pPr>
        <w:spacing w:after="0" w:line="9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As of March 19, 2018, we had been issued more than 140 patents in the United States, the People’s Republic of China or the PRC, Japan, Korea, Singapore and Taiwan.</w:t>
      </w:r>
    </w:p>
    <w:p>
      <w:pPr>
        <w:spacing w:after="0" w:line="11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seek to market our single-wafer wet processing equipment by first establishing a referenceable base of leading logic and memory chip makers, whose use of our products can influence decisions by other manufacturers. Our SAPS technology employs alternating phases of megasonic waves to deliver megasonic energy to flat and patterned wafer surfaces in a highly uniform manner on a microscopic level. We believe this process is helping us penetrate the mature integrated circuit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Using a similar “demo-to-sales” process, we have placed TEBO evaluation equipment with a leading PRC foundry and a leading Taiwanese foundry and we recognized revenue from our initial sale of TEBO equipment in 2016. Our revenue from the selected customers’ purchases of single-wafer wet cleaning equipment totaled $19.3 million, or 53.2% of our revenue, in 2017 and $21.5 million, or 78.4% of our total revenue, in 2016.</w:t>
      </w:r>
    </w:p>
    <w:p>
      <w:pPr>
        <w:spacing w:after="0" w:line="106"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 2006 we established our operational center in Shanghai, and we currently conduct substantially all of our development and manufacturing activities in the PRC. Our Shanghai operations position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we intend to increase the personnel and functions at our Fremont headquarters as part of our plan to expand our market presence in North America and Europe.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Semiconductors are the foundation of the exponential growth of digital technologies and applications. For more than thirty years, strong demand for personal computers, tablet computers, mobile phones and other digital 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(January 2018) estimates that worldwide semiconductor shipments grew from 103.7 billion units in 1987 to 986.2 billion units in 2017 and will increase at a rate of 9.0% to reach 1.1 trillion units in 2018.</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Continuing Demand for Faster, Better, Cheaper Chips</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2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30"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8"/>
          <w:szCs w:val="18"/>
          <w:i w:val="1"/>
          <w:iCs w:val="1"/>
          <w:color w:val="auto"/>
        </w:rPr>
        <w:t>FinFET</w:t>
      </w:r>
      <w:r>
        <w:rPr>
          <w:rFonts w:ascii="Arial" w:cs="Arial" w:eastAsia="Arial" w:hAnsi="Arial"/>
          <w:sz w:val="18"/>
          <w:szCs w:val="18"/>
          <w:color w:val="auto"/>
        </w:rPr>
        <w:t xml:space="preserve">, which provide faster switching while consuming less power. For memory chip manufacturers, </w:t>
      </w:r>
      <w:r>
        <w:rPr>
          <w:rFonts w:ascii="Arial" w:cs="Arial" w:eastAsia="Arial" w:hAnsi="Arial"/>
          <w:sz w:val="18"/>
          <w:szCs w:val="18"/>
          <w:i w:val="1"/>
          <w:iCs w:val="1"/>
          <w:color w:val="auto"/>
        </w:rPr>
        <w:t>3D NAND</w:t>
      </w:r>
      <w:r>
        <w:rPr>
          <w:rFonts w:ascii="Arial" w:cs="Arial" w:eastAsia="Arial" w:hAnsi="Arial"/>
          <w:sz w:val="18"/>
          <w:szCs w:val="18"/>
          <w:color w:val="auto"/>
        </w:rPr>
        <w:t xml:space="preserve"> stacks memory cells to deliver greater capacity at lower cost and </w:t>
      </w:r>
      <w:r>
        <w:rPr>
          <w:rFonts w:ascii="Arial" w:cs="Arial" w:eastAsia="Arial" w:hAnsi="Arial"/>
          <w:sz w:val="18"/>
          <w:szCs w:val="18"/>
          <w:i w:val="1"/>
          <w:iCs w:val="1"/>
          <w:color w:val="auto"/>
        </w:rPr>
        <w:t>3D cross</w:t>
      </w:r>
      <w:r>
        <w:rPr>
          <w:rFonts w:ascii="Arial" w:cs="Arial" w:eastAsia="Arial" w:hAnsi="Arial"/>
          <w:sz w:val="18"/>
          <w:szCs w:val="18"/>
          <w:color w:val="auto"/>
        </w:rPr>
        <w:t xml:space="preserve"> </w:t>
      </w:r>
      <w:r>
        <w:rPr>
          <w:rFonts w:ascii="Arial" w:cs="Arial" w:eastAsia="Arial" w:hAnsi="Arial"/>
          <w:sz w:val="18"/>
          <w:szCs w:val="18"/>
          <w:i w:val="1"/>
          <w:iCs w:val="1"/>
          <w:color w:val="auto"/>
        </w:rPr>
        <w:t>point</w:t>
      </w:r>
      <w:r>
        <w:rPr>
          <w:rFonts w:ascii="Arial" w:cs="Arial" w:eastAsia="Arial" w:hAnsi="Arial"/>
          <w:sz w:val="18"/>
          <w:szCs w:val="18"/>
          <w:color w:val="auto"/>
        </w:rPr>
        <w:t>, a transistor-less memory cell architecture, is being developed to accelerate processing of massive data sets.</w:t>
      </w:r>
      <w:r>
        <w:rPr>
          <w:rFonts w:ascii="Arial" w:cs="Arial" w:eastAsia="Arial" w:hAnsi="Arial"/>
          <w:sz w:val="18"/>
          <w:szCs w:val="18"/>
          <w:i w:val="1"/>
          <w:iCs w:val="1"/>
          <w:color w:val="auto"/>
        </w:rPr>
        <w:t xml:space="preserve"> EUV lithography </w:t>
      </w:r>
      <w:r>
        <w:rPr>
          <w:rFonts w:ascii="Arial" w:cs="Arial" w:eastAsia="Arial" w:hAnsi="Arial"/>
          <w:sz w:val="18"/>
          <w:szCs w:val="18"/>
          <w:color w:val="auto"/>
        </w:rPr>
        <w:t>is a promising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that could improve patterning capability and increase feature density at nodes of 5nm and beyond by extending photolithography to the extreme ultraviolet wavelength of 13.5nm.</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Escalating Need for Advanced Chip Manufacturing Equipment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Manufacturing steps differ for logic and memory chips, but all chips are manufactured in two general processes:</w:t>
      </w:r>
    </w:p>
    <w:p>
      <w:pPr>
        <w:spacing w:after="0" w:line="158" w:lineRule="exact"/>
        <w:rPr>
          <w:sz w:val="20"/>
          <w:szCs w:val="20"/>
          <w:color w:val="auto"/>
        </w:rPr>
      </w:pPr>
    </w:p>
    <w:p>
      <w:pPr>
        <w:jc w:val="both"/>
        <w:ind w:left="920" w:hanging="480"/>
        <w:spacing w:after="0" w:line="255"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8"/>
          <w:szCs w:val="18"/>
          <w:i w:val="1"/>
          <w:iCs w:val="1"/>
          <w:color w:val="auto"/>
        </w:rPr>
        <w:t>photolithography</w:t>
      </w:r>
      <w:r>
        <w:rPr>
          <w:rFonts w:ascii="Arial" w:cs="Arial" w:eastAsia="Arial" w:hAnsi="Arial"/>
          <w:sz w:val="18"/>
          <w:szCs w:val="18"/>
          <w:color w:val="auto"/>
        </w:rPr>
        <w:t xml:space="preserve"> to create a design, </w:t>
      </w:r>
      <w:r>
        <w:rPr>
          <w:rFonts w:ascii="Arial" w:cs="Arial" w:eastAsia="Arial" w:hAnsi="Arial"/>
          <w:sz w:val="18"/>
          <w:szCs w:val="18"/>
          <w:i w:val="1"/>
          <w:iCs w:val="1"/>
          <w:color w:val="auto"/>
        </w:rPr>
        <w:t>deposition</w:t>
      </w:r>
      <w:r>
        <w:rPr>
          <w:rFonts w:ascii="Arial" w:cs="Arial" w:eastAsia="Arial" w:hAnsi="Arial"/>
          <w:sz w:val="18"/>
          <w:szCs w:val="18"/>
          <w:color w:val="auto"/>
        </w:rPr>
        <w:t xml:space="preserve"> to add layers of materials, </w:t>
      </w:r>
      <w:r>
        <w:rPr>
          <w:rFonts w:ascii="Arial" w:cs="Arial" w:eastAsia="Arial" w:hAnsi="Arial"/>
          <w:sz w:val="18"/>
          <w:szCs w:val="18"/>
          <w:i w:val="1"/>
          <w:iCs w:val="1"/>
          <w:color w:val="auto"/>
        </w:rPr>
        <w:t>etching</w:t>
      </w:r>
      <w:r>
        <w:rPr>
          <w:rFonts w:ascii="Arial" w:cs="Arial" w:eastAsia="Arial" w:hAnsi="Arial"/>
          <w:sz w:val="18"/>
          <w:szCs w:val="18"/>
          <w:color w:val="auto"/>
        </w:rPr>
        <w:t xml:space="preserve"> to remove unwanted exposed materials, and </w:t>
      </w:r>
      <w:r>
        <w:rPr>
          <w:rFonts w:ascii="Arial" w:cs="Arial" w:eastAsia="Arial" w:hAnsi="Arial"/>
          <w:sz w:val="18"/>
          <w:szCs w:val="18"/>
          <w:i w:val="1"/>
          <w:iCs w:val="1"/>
          <w:color w:val="auto"/>
        </w:rPr>
        <w:t>chemical mechanical planarization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CMP</w:t>
      </w:r>
      <w:r>
        <w:rPr>
          <w:rFonts w:ascii="Arial" w:cs="Arial" w:eastAsia="Arial" w:hAnsi="Arial"/>
          <w:sz w:val="18"/>
          <w:szCs w:val="18"/>
          <w:color w:val="auto"/>
        </w:rPr>
        <w:t xml:space="preserve"> to smooth the surface for the next cycle of process steps.</w:t>
      </w:r>
    </w:p>
    <w:p>
      <w:pPr>
        <w:spacing w:after="0" w:line="129"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back-end assembly and testing process, a completed wafer from the front-end process is cut into individual “dies.” Each die is tested against specifications and, if compliant, encapsulated in a package that protects the die and supports critical power and electrical connections. The resulting chip is then subjected to final electrical and reliability tests.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(December 2017) estimates that worldwide fab tool billings totaled $57.0 billion in 2017 and will reach $63.0 billion by 2017, an increase of 10.5%.</w:t>
      </w:r>
    </w:p>
    <w:p>
      <w:pPr>
        <w:spacing w:after="0" w:line="10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02"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Growing Influence of the PRC Across the Semiconductor Industry</w:t>
      </w:r>
    </w:p>
    <w:p>
      <w:pPr>
        <w:spacing w:after="0" w:line="158"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The PRC is both the largest and the fastest-growing market for semiconductors. According to a study by PricewaterhouseCoopers (November 2017), during the ten-year period ending in 2016, the PRC’s semiconductor consumption grew at a CAGR of 12.0% while worldwide consumption increased by only 3.2%, and in 2016 the PRC consumed 58.5% of the world’s semiconductors. The PRC government is implementing focused policies, including state-led investment initiatives, that aim to create and support an independent domestic semiconductor supply chain spanning from design to final system production. The PRC has already made significant progress across the principal semiconductor industry sectors, as shown in the following market information compiled by PricewaterhouseCoopers (September and November 2017):</w:t>
      </w:r>
    </w:p>
    <w:p>
      <w:pPr>
        <w:spacing w:after="0" w:line="1" w:lineRule="exact"/>
        <w:rPr>
          <w:sz w:val="20"/>
          <w:szCs w:val="20"/>
          <w:color w:val="auto"/>
        </w:rPr>
      </w:pPr>
    </w:p>
    <w:p>
      <w:pPr>
        <w:ind w:left="940" w:hanging="486"/>
        <w:spacing w:after="0" w:line="250"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chip design, or “fabless,” industry is the fastest growing segment of the PRC’s semiconductor industry, with revenue increasing from $2.3 billion in 2006 to $24.8 billion in 2016, a CAGR of 26.6%.</w:t>
      </w:r>
    </w:p>
    <w:p>
      <w:pPr>
        <w:ind w:left="940" w:hanging="486"/>
        <w:spacing w:after="0" w:line="250"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China’s share of worldwide semiconductor manufacturing capacity expanded from 7.3% in 2006 to 14.2% in 2016, and its semiconductor manufacturing revenue increased at a CAGR of 15.4% over the ten-year period ending in 2016.</w:t>
      </w:r>
    </w:p>
    <w:p>
      <w:pPr>
        <w:ind w:left="940" w:hanging="486"/>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China’s semiconductor packaging, assembly and test revenue also grew at a CAGR of 14.2% over the ten-year period ending in 2015.</w:t>
      </w:r>
    </w:p>
    <w:p>
      <w:pPr>
        <w:spacing w:after="0" w:line="1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PRC’s semiconductor tools industry produced less than 0.5% of the world’s semiconductor manufacturing equipment in 2014 (International Trade Association of U.S. Department of Commerce, July 2016).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 w:name="page9"/>
    <w:bookmarkEnd w:id="8"/>
    <w:p>
      <w:pPr>
        <w:spacing w:after="0" w:line="19"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Emerging Criticality of Wafer Cleaning</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29"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0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 xml:space="preserve">There are two basic types of cleaning methods. </w:t>
      </w:r>
      <w:r>
        <w:rPr>
          <w:rFonts w:ascii="Arial" w:cs="Arial" w:eastAsia="Arial" w:hAnsi="Arial"/>
          <w:sz w:val="16"/>
          <w:szCs w:val="16"/>
          <w:i w:val="1"/>
          <w:iCs w:val="1"/>
          <w:color w:val="auto"/>
        </w:rPr>
        <w:t>Wet cleaning</w:t>
      </w:r>
      <w:r>
        <w:rPr>
          <w:rFonts w:ascii="Arial" w:cs="Arial" w:eastAsia="Arial" w:hAnsi="Arial"/>
          <w:sz w:val="16"/>
          <w:szCs w:val="16"/>
          <w:color w:val="auto"/>
        </w:rPr>
        <w:t xml:space="preserve"> uses liquid chemistry by applying combinations of solvents, acids and water to spray, scrub, etch and dissolve random defects. </w:t>
      </w:r>
      <w:r>
        <w:rPr>
          <w:rFonts w:ascii="Arial" w:cs="Arial" w:eastAsia="Arial" w:hAnsi="Arial"/>
          <w:sz w:val="16"/>
          <w:szCs w:val="16"/>
          <w:i w:val="1"/>
          <w:iCs w:val="1"/>
          <w:color w:val="auto"/>
        </w:rPr>
        <w:t>Dry cleaning</w:t>
      </w:r>
      <w:r>
        <w:rPr>
          <w:rFonts w:ascii="Arial" w:cs="Arial" w:eastAsia="Arial" w:hAnsi="Arial"/>
          <w:sz w:val="16"/>
          <w:szCs w:val="16"/>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As jet spray and megasonic cleaning techniques have continued to develop, chip makers have regularly upgraded from simple tanks with on-off switches to complex, specialized, expensive single-wafer cleaning tools.</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Inadequacy of Traditional Single-Wafer Cleaning Technologies</w:t>
      </w:r>
    </w:p>
    <w:p>
      <w:pPr>
        <w:spacing w:after="0" w:line="15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At process nodes of 100nm or more, chips consisted of 2D features and architectures,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9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process nodes shrank below 100nm, equipment manufacturers introduced single-wafer megasonic cleaning tools, which processed wafers one by one, rather than in batches. Because these tools did not deliver energy uniformly across the wafer surface, manufacturers found the tools did not clean wafers thoroughly and evenly and, increasingly as process nodes continued to shrink, led to damage to patterned wafer structures. Equipment makers also began to offer single-wafer cleaning tools that used jet spraying rather than acoustic vibrations. The physical energyof jet 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5"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As process nodes continue to shrink to 22nm and less, finer feature sizes and denser, more complex architectures make the cleaning process even more complicated and challenging:</w:t>
      </w:r>
    </w:p>
    <w:p>
      <w:pPr>
        <w:spacing w:after="0" w:line="118" w:lineRule="exact"/>
        <w:rPr>
          <w:sz w:val="20"/>
          <w:szCs w:val="20"/>
          <w:color w:val="auto"/>
        </w:rPr>
      </w:pPr>
    </w:p>
    <w:p>
      <w:pPr>
        <w:ind w:left="920" w:hanging="480"/>
        <w:spacing w:after="0" w:line="33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71" w:lineRule="exact"/>
        <w:rPr>
          <w:rFonts w:ascii="Arial" w:cs="Arial" w:eastAsia="Arial" w:hAnsi="Arial"/>
          <w:sz w:val="16"/>
          <w:szCs w:val="16"/>
          <w:color w:val="auto"/>
        </w:rPr>
      </w:pPr>
    </w:p>
    <w:p>
      <w:pPr>
        <w:jc w:val="both"/>
        <w:ind w:left="920" w:hanging="480"/>
        <w:spacing w:after="0" w:line="259"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3D architectures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126" w:lineRule="exact"/>
        <w:rPr>
          <w:rFonts w:ascii="Arial" w:cs="Arial" w:eastAsia="Arial" w:hAnsi="Arial"/>
          <w:sz w:val="18"/>
          <w:szCs w:val="18"/>
          <w:color w:val="auto"/>
        </w:rPr>
      </w:pPr>
    </w:p>
    <w:p>
      <w:pPr>
        <w:jc w:val="both"/>
        <w:ind w:left="920" w:hanging="480"/>
        <w:spacing w:after="0" w:line="298"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chip technologies and architectures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9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Effective, damage-free cleaning poses a significant challenge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architectures,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The single-wafer cleaning tools should produce less environmentally harmful chemical waste and should be easily accessible to manufacturers in the burgeoning Chinese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architectures and high aspect ratios more effectively than traditional jet spray and transient megasonic technologies. Key elements of our solutions include:</w:t>
      </w:r>
    </w:p>
    <w:p>
      <w:pPr>
        <w:spacing w:after="0" w:line="130"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b w:val="1"/>
          <w:bCs w:val="1"/>
          <w:i w:val="1"/>
          <w:iCs w:val="1"/>
          <w:color w:val="auto"/>
        </w:rPr>
        <w:t>Differentiated technologies for advanced chips</w:t>
      </w:r>
      <w:r>
        <w:rPr>
          <w:rFonts w:ascii="Arial" w:cs="Arial" w:eastAsia="Arial" w:hAnsi="Arial"/>
          <w:sz w:val="16"/>
          <w:szCs w:val="16"/>
          <w:color w:val="auto"/>
        </w:rPr>
        <w:t>. Our proprietary single-wafer wet cleaning technologies control the power intensity and distribution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megasonic cleaning in order to remove random defects from a wafer surface effectively, without damaging the wafer or its features, even at process nodes of</w:t>
      </w:r>
    </w:p>
    <w:p>
      <w:pPr>
        <w:sectPr>
          <w:pgSz w:w="11900" w:h="16858" w:orient="portrait"/>
          <w:cols w:equalWidth="0" w:num="1">
            <w:col w:w="11420"/>
          </w:cols>
          <w:pgMar w:left="240" w:top="129"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22nm or less. We developed these technologies to help semiconductor manufacturers produce chips that reach their ultimate physical limitations.</w:t>
      </w:r>
    </w:p>
    <w:p>
      <w:pPr>
        <w:spacing w:after="0" w:line="181" w:lineRule="exact"/>
        <w:rPr>
          <w:sz w:val="20"/>
          <w:szCs w:val="20"/>
          <w:color w:val="auto"/>
        </w:rPr>
      </w:pPr>
    </w:p>
    <w:p>
      <w:pPr>
        <w:jc w:val="both"/>
        <w:ind w:left="920" w:hanging="480"/>
        <w:spacing w:after="0" w:line="291"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Flat and patterned wafer surfaces. </w:t>
      </w:r>
      <w:r>
        <w:rPr>
          <w:rFonts w:ascii="Arial" w:cs="Arial" w:eastAsia="Arial" w:hAnsi="Arial"/>
          <w:sz w:val="16"/>
          <w:szCs w:val="16"/>
          <w:color w:val="auto"/>
        </w:rPr>
        <w:t>Our SAPS technology, which we introduced in 2009, employs alternating phases of megasonic waves to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less than 50nm in size,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06" w:lineRule="exact"/>
        <w:rPr>
          <w:rFonts w:ascii="Arial" w:cs="Arial" w:eastAsia="Arial" w:hAnsi="Arial"/>
          <w:sz w:val="16"/>
          <w:szCs w:val="16"/>
          <w:color w:val="auto"/>
        </w:rPr>
      </w:pPr>
    </w:p>
    <w:p>
      <w:pPr>
        <w:jc w:val="both"/>
        <w:ind w:left="920" w:hanging="480"/>
        <w:spacing w:after="0" w:line="288"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High-aspect ratio conventional 2D and advanced 3D patterned wafer surfaces. </w:t>
      </w:r>
      <w:r>
        <w:rPr>
          <w:rFonts w:ascii="Arial" w:cs="Arial" w:eastAsia="Arial" w:hAnsi="Arial"/>
          <w:sz w:val="16"/>
          <w:szCs w:val="16"/>
          <w:color w:val="auto"/>
        </w:rPr>
        <w:t>Our TEBO technology, which we introduced in March 2016,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architectures such as FinFET, DRAM, 3D NAND and 3D cross point memory having aspect ratios as high as 60-to-1. We believe TEBO technology can be applied for even smaller process nodes. TEBO tools are currently being evaluated by a selected group of leading memory and logic chip manufacturers.</w:t>
      </w:r>
    </w:p>
    <w:p>
      <w:pPr>
        <w:spacing w:after="0" w:line="10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China-based operations</w:t>
      </w:r>
      <w:r>
        <w:rPr>
          <w:rFonts w:ascii="Arial" w:cs="Arial" w:eastAsia="Arial" w:hAnsi="Arial"/>
          <w:sz w:val="18"/>
          <w:szCs w:val="18"/>
          <w:color w:val="auto"/>
        </w:rPr>
        <w:t>. In 2006 we established our operational center in Shanghai, and currently we conduct substantially all of our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activities in the PRC. This strategy positions us near potential customers throughout Asia, giving us increased access to those customers and reducing shipping and manufacturing costs for equipment they purchase. SEMI (November 2016) estimates 78% of new front-end facilities and production lines starting operation from 2017 through 2020 will be constructed in Asia, with 42% expected to be built in the PRC. Our Shanghai location also gives us access to a large pool of highly qualified potential employees.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Extensive intellectual property protection</w:t>
      </w:r>
      <w:r>
        <w:rPr>
          <w:rFonts w:ascii="Arial" w:cs="Arial" w:eastAsia="Arial" w:hAnsi="Arial"/>
          <w:sz w:val="18"/>
          <w:szCs w:val="18"/>
          <w:color w:val="auto"/>
        </w:rPr>
        <w:t>. Since our formation in 1998, we have focused on building a strategic portfolio of intellectual property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protect our key innovations, including most recently our SAPS and TEBO technologies. As of March 19, 2018, we had been issued more than 140 patents in the United States, the PRC, Japan, Korea, Singapore and Taiwan.</w:t>
      </w:r>
    </w:p>
    <w:p>
      <w:pPr>
        <w:spacing w:after="0" w:line="127"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b w:val="1"/>
          <w:bCs w:val="1"/>
          <w:i w:val="1"/>
          <w:iCs w:val="1"/>
          <w:color w:val="auto"/>
        </w:rPr>
        <w:t>Custom-made wafer assembly packaging solutions</w:t>
      </w:r>
      <w:r>
        <w:rPr>
          <w:rFonts w:ascii="Arial" w:cs="Arial" w:eastAsia="Arial" w:hAnsi="Arial"/>
          <w:sz w:val="16"/>
          <w:szCs w:val="16"/>
          <w:color w:val="auto"/>
        </w:rPr>
        <w:t>. In addition to our product offerings for single-wafer cleaning in the front-end wafer fabrication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we leverage our technology and expertise to provide a wide range of advanced packaging equipment, such as coaters, developers, photoresist strippers, scrubbers, wet etchers and copper-plating tools, to back-end wafer assembly and packaging factories, particularly in the PRC. For these offerings, we focus on providing customized equipment with competitive performance, service and pricing.</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Strategy</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Our objective is to be the leading global provider of a full range of wet cleaning equipment for the manufacture of advanced integrated circuits. To achieve this goal, we are pursuing the following strategies:</w:t>
      </w:r>
    </w:p>
    <w:p>
      <w:pPr>
        <w:spacing w:after="0" w:line="186"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i w:val="1"/>
          <w:iCs w:val="1"/>
          <w:color w:val="auto"/>
        </w:rPr>
        <w:t>Extend technology leadership</w:t>
      </w:r>
      <w:r>
        <w:rPr>
          <w:rFonts w:ascii="Arial" w:cs="Arial" w:eastAsia="Arial" w:hAnsi="Arial"/>
          <w:sz w:val="16"/>
          <w:szCs w:val="16"/>
          <w:color w:val="auto"/>
        </w:rPr>
        <w:t>. We intend to build upon our technology leadership in wet processing by continuing to develop and refine our differentiated</w:t>
      </w:r>
      <w:r>
        <w:rPr>
          <w:rFonts w:ascii="Arial" w:cs="Arial" w:eastAsia="Arial" w:hAnsi="Arial"/>
          <w:sz w:val="16"/>
          <w:szCs w:val="16"/>
          <w:i w:val="1"/>
          <w:iCs w:val="1"/>
          <w:color w:val="auto"/>
        </w:rPr>
        <w:t xml:space="preserve"> </w:t>
      </w:r>
      <w:r>
        <w:rPr>
          <w:rFonts w:ascii="Arial" w:cs="Arial" w:eastAsia="Arial" w:hAnsi="Arial"/>
          <w:sz w:val="16"/>
          <w:szCs w:val="16"/>
          <w:color w:val="auto"/>
        </w:rPr>
        <w:t>SAPS and TEBO technologies and equipment to address cleaning challenges presented by the manufacture of increasingly advanced chip nodes. Our investment in research and development totaled $5.1 million, or 14.1% of our revenue, in 2017 and $3.3 million, or 11.9% of our revenue, in 2016. We will continue to invest in product development and to strengthen our global patent portfolio in strategic jurisdictions.</w:t>
      </w:r>
    </w:p>
    <w:p>
      <w:pPr>
        <w:spacing w:after="0" w:line="16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Establish referenceable customer base</w:t>
      </w:r>
      <w:r>
        <w:rPr>
          <w:rFonts w:ascii="Arial" w:cs="Arial" w:eastAsia="Arial" w:hAnsi="Arial"/>
          <w:sz w:val="16"/>
          <w:szCs w:val="16"/>
          <w:color w:val="auto"/>
        </w:rPr>
        <w:t>. In commercializing our SAPS equipment, we placed evaluation equipment with selected customers, who</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purchased additional SAPS equipment to enable them to add more cleaning steps during their manufacturing processes. Using a similar “demo-to-sales” process, we have placed TEBO evaluation equipment with a leading PRC foundry and a leading Taiwanese foundry and we recognized revenue from our initial sale of TEBO equipment in 2016. Based on our market experience, we believe that implementation of our SAPS and TEBO equipment by selected leading memory and logic chip manufacturers will encourage evaluation of our equipment by other manufacturers, who will view the leading companies’ implementation as a validation of our equipment that facilitates a shorter evaluation process.</w:t>
      </w:r>
    </w:p>
    <w:p>
      <w:pPr>
        <w:spacing w:after="0" w:line="1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Leverage local presence to address growing Chinese market</w:t>
      </w:r>
      <w:r>
        <w:rPr>
          <w:rFonts w:ascii="Arial" w:cs="Arial" w:eastAsia="Arial" w:hAnsi="Arial"/>
          <w:sz w:val="18"/>
          <w:szCs w:val="18"/>
          <w:color w:val="auto"/>
        </w:rPr>
        <w:t>. The market for semiconductor manufacturing equipment in the PRC is expected to grow</w:t>
      </w:r>
      <w:r>
        <w:rPr>
          <w:rFonts w:ascii="Arial" w:cs="Arial" w:eastAsia="Arial" w:hAnsi="Arial"/>
          <w:sz w:val="18"/>
          <w:szCs w:val="18"/>
          <w:i w:val="1"/>
          <w:iCs w:val="1"/>
          <w:color w:val="auto"/>
        </w:rPr>
        <w:t xml:space="preserve"> </w:t>
      </w:r>
      <w:r>
        <w:rPr>
          <w:rFonts w:ascii="Arial" w:cs="Arial" w:eastAsia="Arial" w:hAnsi="Arial"/>
          <w:sz w:val="18"/>
          <w:szCs w:val="18"/>
          <w:color w:val="auto"/>
        </w:rPr>
        <w:t>markedly in the upcoming years. Our experience has shown that chip manufacturers in the PRC demand equipment meeting their specific technical requirements and prefer building relationships with local suppliers. We established our operations in Shanghai a decade ago, and we will continue to work closely with chip manufacturers in the PRC and throughout Asia to understand their specific requirements, encourage them to adopt our SAPS and TEBO technologies, and enable us to design innovative products and solutions to address their needs.</w:t>
      </w:r>
    </w:p>
    <w:p>
      <w:pPr>
        <w:spacing w:after="0" w:line="19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i w:val="1"/>
          <w:iCs w:val="1"/>
          <w:color w:val="auto"/>
        </w:rPr>
        <w:t xml:space="preserve">Continue to improve performance through operational excellence. </w:t>
      </w:r>
      <w:r>
        <w:rPr>
          <w:rFonts w:ascii="Arial" w:cs="Arial" w:eastAsia="Arial" w:hAnsi="Arial"/>
          <w:sz w:val="18"/>
          <w:szCs w:val="18"/>
          <w:color w:val="auto"/>
        </w:rPr>
        <w:t>We actively manage our business through principles of operational excellence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ensure 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9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Pursue strategic acquisitions and relationships</w:t>
      </w:r>
      <w:r>
        <w:rPr>
          <w:rFonts w:ascii="Arial" w:cs="Arial" w:eastAsia="Arial" w:hAnsi="Arial"/>
          <w:sz w:val="18"/>
          <w:szCs w:val="18"/>
          <w:color w:val="auto"/>
        </w:rPr>
        <w:t>. To complement and accelerate our internal growth, we may pursue acquisitions of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products or business relationships that 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 In September 2017, we acquired 20% of the outstanding equity of Ninebell, one of our key subassembly providers.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Technologies</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effectively, without damaging the wafer or its features, even at increasingly advanced process nodes.</w:t>
      </w:r>
    </w:p>
    <w:p>
      <w:pPr>
        <w:spacing w:after="0" w:line="13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2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2007 we began to focus our development efforts on single-wafer wet-cleaning solutions for the front-end fabrication process. We have developed innovative, proprietary technologies that reintroduce megasonic technology to the wafer cleaning process. Our approach is based on our understanding of the shortfalls and limitations of previously existing megasonic cleaning technologies that led to ineffective cleaning and damaged chip features. In 2009 we introduced our proprietary Space Alternated Phase Shift, or SAPS, megasonic technology, which can be applied in flat patterned wafer cleaning at numerous steps during the chip fabrication process. By delivering megasonic energy uniformly across a wafer, SAPS technology eliminates the particle removal inefficiencies that characterized traditional megasonic cleaning technologies. In March 2016 we introduced our proprietary Timely Energized Bubble Oscillation, or TEBO, technology, which can be applied at numerous steps during the fabrication of small node conventional 2D and 3D patterned wafers. By providing multi-parameter control of bubble cavitation during megasonic cleaning, TEBO technology avoids the fine-pattern damage caused by previously existing megasonic cleaning processes.</w:t>
      </w:r>
    </w:p>
    <w:p>
      <w:pPr>
        <w:spacing w:after="0" w:line="13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Space Alternated Phase Shift Cleaning</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SAPS Technology</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0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45nm. These trials show that SAPs technology has an even greater relative advantage over conventional jet spray technology when cleaning defects between 50 and 65nm in size and that SAPs technology continues to be effective for defects of sizes between 45 nm and 50nm, for which jet spray technology has proven to be ineffective.</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SAPS Applications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SAPS megasonic cleaning technology can be applied during the chip fabrication process to clean wafer surfaces and interconnects. It also can be used to clean, and lengthen the lifetime of, recycled test wafers.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i w:val="1"/>
          <w:iCs w:val="1"/>
          <w:color w:val="auto"/>
        </w:rPr>
        <w:t xml:space="preserve">Wafer Surfaces. </w:t>
      </w:r>
      <w:r>
        <w:rPr>
          <w:rFonts w:ascii="Arial" w:cs="Arial" w:eastAsia="Arial" w:hAnsi="Arial"/>
          <w:sz w:val="18"/>
          <w:szCs w:val="18"/>
          <w:color w:val="auto"/>
        </w:rPr>
        <w:t>SAPS technology can enhance removal of random defects following planarization and deposition, which are among the most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and most repeated, steps in the fabrication process:</w:t>
      </w:r>
    </w:p>
    <w:p>
      <w:pPr>
        <w:spacing w:after="0" w:line="118" w:lineRule="exact"/>
        <w:rPr>
          <w:sz w:val="20"/>
          <w:szCs w:val="20"/>
          <w:color w:val="auto"/>
        </w:rPr>
      </w:pPr>
    </w:p>
    <w:p>
      <w:pPr>
        <w:jc w:val="both"/>
        <w:ind w:left="920" w:hanging="480"/>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Post CMP</w:t>
      </w:r>
      <w:r>
        <w:rPr>
          <w:rFonts w:ascii="Arial" w:cs="Arial" w:eastAsia="Arial" w:hAnsi="Arial"/>
          <w:sz w:val="18"/>
          <w:szCs w:val="18"/>
          <w:color w:val="auto"/>
        </w:rPr>
        <w:t>: Chemical mechanical planarization, or CMP, uses an abrasive chemical slurry following other fabrication processes, such as deposition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etching, in order to achieve a smooth wafer surface in preparation for subsequent processing steps. SAPS technology can be applied following each CMP process to remove residual random defects deposited or formed during CMP.</w:t>
      </w:r>
    </w:p>
    <w:p>
      <w:pPr>
        <w:spacing w:after="0" w:line="126" w:lineRule="exact"/>
        <w:rPr>
          <w:rFonts w:ascii="Arial" w:cs="Arial" w:eastAsia="Arial" w:hAnsi="Arial"/>
          <w:sz w:val="18"/>
          <w:szCs w:val="18"/>
          <w:color w:val="auto"/>
        </w:rPr>
      </w:pPr>
    </w:p>
    <w:p>
      <w:pPr>
        <w:jc w:val="both"/>
        <w:ind w:left="920" w:hanging="480"/>
        <w:spacing w:after="0" w:line="256"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Post Hard Mask Deposition: </w:t>
      </w:r>
      <w:r>
        <w:rPr>
          <w:rFonts w:ascii="Arial" w:cs="Arial" w:eastAsia="Arial" w:hAnsi="Arial"/>
          <w:sz w:val="18"/>
          <w:szCs w:val="18"/>
          <w:color w:val="auto"/>
        </w:rPr>
        <w:t>As part of the photolithographical patterning process, a mask is applied with each deposition of a material layer to</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3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6"/>
          <w:szCs w:val="16"/>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22"/>
          <w:szCs w:val="22"/>
          <w:color w:val="auto"/>
          <w:vertAlign w:val="subscript"/>
        </w:rPr>
        <w:t>,</w:t>
      </w:r>
      <w:r>
        <w:rPr>
          <w:rFonts w:ascii="Arial" w:cs="Arial" w:eastAsia="Arial" w:hAnsi="Arial"/>
          <w:sz w:val="16"/>
          <w:szCs w:val="16"/>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1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i w:val="1"/>
          <w:iCs w:val="1"/>
          <w:color w:val="auto"/>
        </w:rPr>
        <w:t xml:space="preserve">Interconnects and Barrier Metals. </w:t>
      </w:r>
      <w:r>
        <w:rPr>
          <w:rFonts w:ascii="Arial" w:cs="Arial" w:eastAsia="Arial" w:hAnsi="Arial"/>
          <w:sz w:val="16"/>
          <w:szCs w:val="16"/>
          <w:color w:val="auto"/>
        </w:rPr>
        <w:t>Each successive advanced process node has led to finer feature sizes of interconnects such as contacts, which form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99" w:lineRule="exact"/>
        <w:rPr>
          <w:sz w:val="20"/>
          <w:szCs w:val="20"/>
          <w:color w:val="auto"/>
        </w:rPr>
      </w:pPr>
    </w:p>
    <w:p>
      <w:pPr>
        <w:ind w:left="920" w:hanging="480"/>
        <w:spacing w:after="0" w:line="268"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Post Contact/Via Etch: </w:t>
      </w:r>
      <w:r>
        <w:rPr>
          <w:rFonts w:ascii="Arial" w:cs="Arial" w:eastAsia="Arial" w:hAnsi="Arial"/>
          <w:sz w:val="18"/>
          <w:szCs w:val="18"/>
          <w:color w:val="auto"/>
        </w:rPr>
        <w:t>Wet etching processes are commonly used to create patterns of high-density contacts and vias. SAPS technology can be</w:t>
      </w:r>
      <w:r>
        <w:rPr>
          <w:rFonts w:ascii="Arial" w:cs="Arial" w:eastAsia="Arial" w:hAnsi="Arial"/>
          <w:sz w:val="18"/>
          <w:szCs w:val="18"/>
          <w:i w:val="1"/>
          <w:iCs w:val="1"/>
          <w:color w:val="auto"/>
        </w:rPr>
        <w:t xml:space="preserve"> </w:t>
      </w:r>
      <w:r>
        <w:rPr>
          <w:rFonts w:ascii="Arial" w:cs="Arial" w:eastAsia="Arial" w:hAnsi="Arial"/>
          <w:sz w:val="18"/>
          <w:szCs w:val="18"/>
          <w:color w:val="auto"/>
        </w:rPr>
        <w:t>applied after each such etching process to remove random defects that could otherwise lead to electrical shorts.</w:t>
      </w:r>
    </w:p>
    <w:p>
      <w:pPr>
        <w:spacing w:after="0" w:line="118"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Pre Barrier Metal Deposition</w:t>
      </w:r>
      <w:r>
        <w:rPr>
          <w:rFonts w:ascii="Arial" w:cs="Arial" w:eastAsia="Arial" w:hAnsi="Arial"/>
          <w:sz w:val="18"/>
          <w:szCs w:val="18"/>
          <w:color w:val="auto"/>
        </w:rPr>
        <w:t>: Copper wiring requires metal diffusion barriers at the top of via holes to prevent electrical leakage. SAPS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can be applied prior to deposition of barrier metal to remove residual oxidized copper, which otherwise would adhere poorly to the barrier and impair performance.</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SAPS Equipment</w:t>
      </w:r>
    </w:p>
    <w:p>
      <w:pPr>
        <w:spacing w:after="0" w:line="158"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6"/>
          <w:szCs w:val="16"/>
          <w:color w:val="auto"/>
        </w:rPr>
        <w:t>We currently offer two models of wet wafer cleaning equipment based on our SAPS technology, Ultra C SAPS II and Ultra C SAPS V. Each of these models is a single-wafer, serial-processing tool that can be configured to customer specifications and, in conjunction with appropriate dilute</w:t>
      </w:r>
    </w:p>
    <w:p>
      <w:pPr>
        <w:spacing w:after="0" w:line="1" w:lineRule="exact"/>
        <w:rPr>
          <w:sz w:val="20"/>
          <w:szCs w:val="20"/>
          <w:color w:val="auto"/>
        </w:rPr>
      </w:pPr>
    </w:p>
    <w:p>
      <w:pPr>
        <w:jc w:val="both"/>
        <w:ind w:left="2420"/>
        <w:spacing w:after="0" w:line="312" w:lineRule="auto"/>
        <w:rPr>
          <w:sz w:val="20"/>
          <w:szCs w:val="20"/>
          <w:color w:val="auto"/>
        </w:rPr>
      </w:pPr>
      <w:r>
        <w:rPr>
          <w:rFonts w:ascii="Arial" w:cs="Arial" w:eastAsia="Arial" w:hAnsi="Arial"/>
          <w:sz w:val="15"/>
          <w:szCs w:val="15"/>
          <w:color w:val="auto"/>
        </w:rPr>
        <w:t>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We expect the sales prices of our SAPS tools generally to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1260475" cy="1260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047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SAPS II was released in 2011. Its key features include:</w:t>
      </w:r>
    </w:p>
    <w:p>
      <w:pPr>
        <w:spacing w:after="0" w:line="225" w:lineRule="exact"/>
        <w:rPr>
          <w:sz w:val="20"/>
          <w:szCs w:val="20"/>
          <w:color w:val="auto"/>
        </w:rPr>
      </w:pPr>
    </w:p>
    <w:p>
      <w:pPr>
        <w:ind w:left="2740" w:hanging="328"/>
        <w:spacing w:after="0"/>
        <w:tabs>
          <w:tab w:leader="none" w:pos="2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compact design, with footprint of 2.65m x 4.10m x 2.85m (WxDxH), requiring limited clean room floor space;</w:t>
      </w:r>
    </w:p>
    <w:p>
      <w:pPr>
        <w:spacing w:after="0" w:line="15" w:lineRule="exact"/>
        <w:rPr>
          <w:rFonts w:ascii="Arial" w:cs="Arial" w:eastAsia="Arial" w:hAnsi="Arial"/>
          <w:sz w:val="18"/>
          <w:szCs w:val="18"/>
          <w:color w:val="auto"/>
        </w:rPr>
      </w:pPr>
    </w:p>
    <w:p>
      <w:pPr>
        <w:ind w:left="2740" w:hanging="328"/>
        <w:spacing w:after="0"/>
        <w:tabs>
          <w:tab w:leader="none" w:pos="2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8 chambers, providing throughput of up to 225 wafers per hour;</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double-sided cleaning capability, with up to 5 cleaning chemicals for process flexibility;</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2-chemical recycling capability for reduced chemical consumption;</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image wafer detection method for lowering wafer breakage rates; and</w:t>
      </w:r>
    </w:p>
    <w:p>
      <w:pPr>
        <w:spacing w:after="0" w:line="9" w:lineRule="exact"/>
        <w:rPr>
          <w:rFonts w:ascii="Arial" w:cs="Arial" w:eastAsia="Arial" w:hAnsi="Arial"/>
          <w:sz w:val="18"/>
          <w:szCs w:val="18"/>
          <w:color w:val="auto"/>
        </w:rPr>
      </w:pPr>
    </w:p>
    <w:p>
      <w:pPr>
        <w:ind w:left="2740" w:right="20" w:hanging="328"/>
        <w:spacing w:after="0" w:line="261" w:lineRule="auto"/>
        <w:tabs>
          <w:tab w:leader="none" w:pos="2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-970280</wp:posOffset>
            </wp:positionV>
            <wp:extent cx="1277620" cy="1166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762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SAPS V, which was released in 2014, offers increased productivity for chip manufacturers moving to advanced nodes. SAPS V provides all of the features and functionality of SAPS II, upgraded as follows:</w:t>
      </w:r>
    </w:p>
    <w:p>
      <w:pPr>
        <w:spacing w:after="0" w:line="186" w:lineRule="exact"/>
        <w:rPr>
          <w:sz w:val="20"/>
          <w:szCs w:val="20"/>
          <w:color w:val="auto"/>
        </w:rPr>
      </w:pPr>
    </w:p>
    <w:p>
      <w:pPr>
        <w:ind w:left="2740" w:hanging="328"/>
        <w:spacing w:after="0"/>
        <w:tabs>
          <w:tab w:leader="none" w:pos="2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compact design, with footprint of 2.55m x 5.1m x 2.85m (WxDxH);</w:t>
      </w:r>
    </w:p>
    <w:p>
      <w:pPr>
        <w:spacing w:after="0" w:line="15" w:lineRule="exact"/>
        <w:rPr>
          <w:rFonts w:ascii="Arial" w:cs="Arial" w:eastAsia="Arial" w:hAnsi="Arial"/>
          <w:sz w:val="18"/>
          <w:szCs w:val="18"/>
          <w:color w:val="auto"/>
        </w:rPr>
      </w:pPr>
    </w:p>
    <w:p>
      <w:pPr>
        <w:ind w:left="2740" w:hanging="328"/>
        <w:spacing w:after="0"/>
        <w:tabs>
          <w:tab w:leader="none" w:pos="2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12 chambers, providing throughput of up to 375 wafers per hour;</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chemical supply system integrated into mainframe;</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inline mixing method replaces tank auto-changing, reducing process time; and</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1260475" cy="1115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047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Timely Energized Bubble Oscillation Cleaning</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TEBO Technology</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developed TEBO technology for application in wet wafer cleaning during the fabrication of both conventional 2D and 3D patterned wafers with fine feature sizes. TEBO technology facilitates effective cleaning even with patterned features too small or fragile to be addressed by conventional jet spray and megasonic cleaning technologies.</w:t>
      </w:r>
    </w:p>
    <w:p>
      <w:pPr>
        <w:spacing w:after="0" w:line="12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3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aswell as other 3D architectures that may be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TEBO Applications</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130" w:lineRule="exact"/>
        <w:rPr>
          <w:sz w:val="20"/>
          <w:szCs w:val="20"/>
          <w:color w:val="auto"/>
        </w:rPr>
      </w:pPr>
    </w:p>
    <w:p>
      <w:pPr>
        <w:jc w:val="both"/>
        <w:ind w:left="920" w:hanging="480"/>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Memory Chips: </w:t>
      </w:r>
      <w:r>
        <w:rPr>
          <w:rFonts w:ascii="Arial" w:cs="Arial" w:eastAsia="Arial" w:hAnsi="Arial"/>
          <w:sz w:val="18"/>
          <w:szCs w:val="18"/>
          <w:color w:val="auto"/>
        </w:rPr>
        <w:t>TEBO technology can be applied in up to a total of 47 steps in the fabrication of a dynamic random-access memory, or DRAM, chip,</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8 steps in cleaning ISO structures, 19 steps in cleaning buried gates, and 20 steps in cleaning high aspect-ratio storage nodes and stacked films.</w:t>
      </w:r>
    </w:p>
    <w:p>
      <w:pPr>
        <w:spacing w:after="0" w:line="126" w:lineRule="exact"/>
        <w:rPr>
          <w:rFonts w:ascii="Arial" w:cs="Arial" w:eastAsia="Arial" w:hAnsi="Arial"/>
          <w:sz w:val="18"/>
          <w:szCs w:val="18"/>
          <w:color w:val="auto"/>
        </w:rPr>
      </w:pPr>
    </w:p>
    <w:p>
      <w:pPr>
        <w:ind w:left="920" w:hanging="480"/>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Logic Chips: </w:t>
      </w:r>
      <w:r>
        <w:rPr>
          <w:rFonts w:ascii="Arial" w:cs="Arial" w:eastAsia="Arial" w:hAnsi="Arial"/>
          <w:sz w:val="16"/>
          <w:szCs w:val="16"/>
          <w:color w:val="auto"/>
        </w:rPr>
        <w:t>In the fabrication process for a logic chip with a FinFET structure, TEBO technology can be used in 15 or more cleaning steps.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For purposes of solving inside pattern surface conditions for memory or logic chips, TEBO technology uses environmentally friendly dilute chemicals such as RCA SC-1 and hydrogen gas doped functional water.</w:t>
      </w:r>
    </w:p>
    <w:p>
      <w:pPr>
        <w:spacing w:after="0" w:line="11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TEBO Equipment</w:t>
      </w:r>
    </w:p>
    <w:p>
      <w:pPr>
        <w:spacing w:after="0" w:line="1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We expect the sales prices of our TEBO tools generally to range between $3.5 million and $6.5 million, although the sales price of a particular tool will vary depending upon the required specifications.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model of TEBO equipment includes:</w:t>
      </w:r>
    </w:p>
    <w:p>
      <w:pPr>
        <w:spacing w:after="0" w:line="225" w:lineRule="exact"/>
        <w:rPr>
          <w:sz w:val="20"/>
          <w:szCs w:val="20"/>
          <w:color w:val="auto"/>
        </w:rPr>
      </w:pPr>
    </w:p>
    <w:p>
      <w:pPr>
        <w:ind w:left="2740" w:hanging="328"/>
        <w:spacing w:after="0"/>
        <w:tabs>
          <w:tab w:leader="none" w:pos="2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equipment front-end module, or EFEM, which moves wafers from chamber to chamber;</w:t>
      </w:r>
    </w:p>
    <w:p>
      <w:pPr>
        <w:spacing w:after="0" w:line="15" w:lineRule="exact"/>
        <w:rPr>
          <w:rFonts w:ascii="Arial" w:cs="Arial" w:eastAsia="Arial" w:hAnsi="Arial"/>
          <w:sz w:val="18"/>
          <w:szCs w:val="18"/>
          <w:color w:val="auto"/>
        </w:rPr>
      </w:pPr>
    </w:p>
    <w:p>
      <w:pPr>
        <w:ind w:left="2740" w:hanging="328"/>
        <w:spacing w:after="0"/>
        <w:tabs>
          <w:tab w:leader="none" w:pos="2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or more chamber modules, each equipped with a TEBO megasonic generator system;</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electrical module to provide power for the tool; and</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1166495" cy="1166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649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Ultra C TEBO II was released in 2016. Its key features include:</w:t>
      </w:r>
    </w:p>
    <w:p>
      <w:pPr>
        <w:spacing w:after="0" w:line="225" w:lineRule="exact"/>
        <w:rPr>
          <w:sz w:val="20"/>
          <w:szCs w:val="20"/>
          <w:color w:val="auto"/>
        </w:rPr>
      </w:pPr>
    </w:p>
    <w:p>
      <w:pPr>
        <w:ind w:left="2740" w:hanging="328"/>
        <w:spacing w:after="0"/>
        <w:tabs>
          <w:tab w:leader="none" w:pos="2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compact design, with footprint of 2.25m x 2.25m x 2.85m (WxDxH);</w:t>
      </w:r>
    </w:p>
    <w:p>
      <w:pPr>
        <w:spacing w:after="0" w:line="15" w:lineRule="exact"/>
        <w:rPr>
          <w:rFonts w:ascii="Arial" w:cs="Arial" w:eastAsia="Arial" w:hAnsi="Arial"/>
          <w:sz w:val="18"/>
          <w:szCs w:val="18"/>
          <w:color w:val="auto"/>
        </w:rPr>
      </w:pPr>
    </w:p>
    <w:p>
      <w:pPr>
        <w:ind w:left="2740" w:right="20" w:hanging="328"/>
        <w:spacing w:after="0" w:line="250" w:lineRule="auto"/>
        <w:tabs>
          <w:tab w:leader="none" w:pos="2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 to 8 chambers with an upgraded transport system and optimized robotic scheduler, providing throughput of up to 300 wafers per hour;</w:t>
      </w:r>
    </w:p>
    <w:p>
      <w:pPr>
        <w:ind w:left="2740" w:hanging="328"/>
        <w:spacing w:after="0"/>
        <w:tabs>
          <w:tab w:leader="none" w:pos="2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EFEM module consisting of 4 load ports, transfer robot and 1 process robot; and</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focus on dilute chemicals contributes to environmental sustainability and lower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1337945" cy="1183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Ultra C TEBO V also was introduced in 2016, and its key features include:</w:t>
      </w:r>
    </w:p>
    <w:p>
      <w:pPr>
        <w:spacing w:after="0" w:line="225" w:lineRule="exact"/>
        <w:rPr>
          <w:sz w:val="20"/>
          <w:szCs w:val="20"/>
          <w:color w:val="auto"/>
        </w:rPr>
      </w:pPr>
    </w:p>
    <w:p>
      <w:pPr>
        <w:ind w:left="2740" w:hanging="328"/>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footprint of 2.45m x 5.30m x 2.85m (WxDxH);</w:t>
      </w:r>
    </w:p>
    <w:p>
      <w:pPr>
        <w:spacing w:after="0" w:line="15" w:lineRule="exact"/>
        <w:rPr>
          <w:rFonts w:ascii="Arial" w:cs="Arial" w:eastAsia="Arial" w:hAnsi="Arial"/>
          <w:sz w:val="18"/>
          <w:szCs w:val="18"/>
          <w:color w:val="auto"/>
        </w:rPr>
      </w:pPr>
    </w:p>
    <w:p>
      <w:pPr>
        <w:ind w:left="2740" w:hanging="328"/>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12 chamber modules, providing throughput of up to 300 wafers per hour;</w:t>
      </w:r>
    </w:p>
    <w:p>
      <w:pPr>
        <w:spacing w:after="0" w:line="9" w:lineRule="exact"/>
        <w:rPr>
          <w:rFonts w:ascii="Arial" w:cs="Arial" w:eastAsia="Arial" w:hAnsi="Arial"/>
          <w:sz w:val="18"/>
          <w:szCs w:val="18"/>
          <w:color w:val="auto"/>
        </w:rPr>
      </w:pPr>
    </w:p>
    <w:p>
      <w:pPr>
        <w:ind w:left="2740" w:hanging="328"/>
        <w:spacing w:after="0"/>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EFEM module consisting of 4 load ports, 1 transfer robot and 1 process robot; and</w:t>
      </w:r>
    </w:p>
    <w:p>
      <w:pPr>
        <w:spacing w:after="0" w:line="9" w:lineRule="exact"/>
        <w:rPr>
          <w:rFonts w:ascii="Arial" w:cs="Arial" w:eastAsia="Arial" w:hAnsi="Arial"/>
          <w:sz w:val="18"/>
          <w:szCs w:val="18"/>
          <w:color w:val="auto"/>
        </w:rPr>
      </w:pPr>
    </w:p>
    <w:p>
      <w:pPr>
        <w:ind w:left="2740" w:hanging="328"/>
        <w:spacing w:after="0" w:line="261" w:lineRule="auto"/>
        <w:tabs>
          <w:tab w:leader="none" w:pos="2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chemical delivery module for delivery of isopropyl alcohol,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1149350" cy="960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Custom-Made Wafer Assembly and Packaging Equipment</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leverage our technology and expertise to provide a range of single-wafer tools for back-end wafer assembly and packaging factories, principally in the PRC. We focus on providing custom-made, differentiated equipment that incorporates customer-requested features, at a competitive price. The sales prices for these tools generally range between $500,000 and $1.0 million, and these offerings generated $5.7 million, or 20.9%, of our revenue in 2016 and $4.2 million, or 13.5%, of our revenue in 2015.</w:t>
      </w:r>
    </w:p>
    <w:p>
      <w:pPr>
        <w:spacing w:after="0" w:line="197" w:lineRule="exact"/>
        <w:rPr>
          <w:sz w:val="20"/>
          <w:szCs w:val="20"/>
          <w:color w:val="auto"/>
        </w:rPr>
      </w:pPr>
    </w:p>
    <w:p>
      <w:pPr>
        <w:jc w:val="both"/>
        <w:ind w:right="1700" w:firstLine="486"/>
        <w:spacing w:after="0" w:line="291" w:lineRule="auto"/>
        <w:rPr>
          <w:sz w:val="20"/>
          <w:szCs w:val="20"/>
          <w:color w:val="auto"/>
        </w:rPr>
      </w:pPr>
      <w:r>
        <w:rPr>
          <w:rFonts w:ascii="Arial" w:cs="Arial" w:eastAsia="Arial" w:hAnsi="Arial"/>
          <w:sz w:val="16"/>
          <w:szCs w:val="16"/>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-843915</wp:posOffset>
            </wp:positionV>
            <wp:extent cx="754380" cy="69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4380" cy="694690"/>
                    </a:xfrm>
                    <a:prstGeom prst="rect">
                      <a:avLst/>
                    </a:prstGeom>
                    <a:noFill/>
                  </pic:spPr>
                </pic:pic>
              </a:graphicData>
            </a:graphic>
          </wp:anchor>
        </w:drawing>
      </w:r>
    </w:p>
    <w:p>
      <w:pPr>
        <w:spacing w:after="0" w:line="8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As of December 31, 2017, customers had purchased and deployed more than 30 Ultra C SAPS and TEBO cleaning tools. All of our sales in 2016 and 2017 were to customers located in Asia, and we anticipate that a substantial majority of our revenue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3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generate most of our revenue from a limited number of customers as the result of our strategy of initially placing SAPS - and TEBO-based equipment with a small number of leading chip manufacturers that are driving technology trends and key capability implementation. In 2017, 55.2% of our revenue was derived from four customers: SK Hynix Inc., a leading Korean memory chip company that accounted for 18.1% of our revenue; Shanghai Integrated Circuit Research and Development Center Ltd., a public research consortia for the Chinese semiconductor industry that accounted for 14.1% of our revenue; JiangYin ChangDian Advanced Packaging Co. Ltd., a leading PRC foundry that accounted for 12.8% of our revenue; and Yangtze Memory Technologies Co., Ltd., a leading PRC memory chip company that, together with one of its subsidiaries, accounted 10.2% of our revenue. In 2016 99.3% of our revenue was derived from four customers: Shanghai Huali Microelectronics Corporation, a leading PRC foundry that accounted for 33.7% of our revenue; Semiconductor Manufacturing International Corporation, a leading PRC foundry that accounted for 25.0% of our revenue; SK Hynix Inc. accounted for 24.0% of our revenue; and JiangYin ChangDian Advanced Packaging Co. Ltd., a leading PRC foundry that accounted for 16.6% of our revenue.</w:t>
      </w:r>
    </w:p>
    <w:p>
      <w:pPr>
        <w:spacing w:after="0" w:line="10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“Item 1A. Risk Factors—Risks Related to Our Business and Our Industry—We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0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2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three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02" w:lineRule="exact"/>
        <w:rPr>
          <w:sz w:val="20"/>
          <w:szCs w:val="20"/>
          <w:color w:val="auto"/>
        </w:rPr>
      </w:pPr>
    </w:p>
    <w:p>
      <w:pPr>
        <w:ind w:right="240" w:firstLine="486"/>
        <w:spacing w:after="0" w:line="332" w:lineRule="auto"/>
        <w:rPr>
          <w:sz w:val="20"/>
          <w:szCs w:val="20"/>
          <w:color w:val="auto"/>
        </w:rPr>
      </w:pPr>
      <w:r>
        <w:rPr>
          <w:rFonts w:ascii="Arial" w:cs="Arial" w:eastAsia="Arial" w:hAnsi="Arial"/>
          <w:sz w:val="16"/>
          <w:szCs w:val="16"/>
          <w:color w:val="auto"/>
        </w:rPr>
        <w:t>In each of 2016 and 2017, we sourced approximately one-third of the parts and components ($8.0 million in 2016 and $10.8M in 2017) for our products from Chinese suppliers and the remaining parts and components were sourced from suppliers in the United States and, to a lesser extent, Japan and Korea</w:t>
      </w:r>
    </w:p>
    <w:p>
      <w:pPr>
        <w:spacing w:after="0" w:line="7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 —We depend on a limited number of suppliers, including single source suppliers, for critical components and assemblies, and our business could be disrupted if they are unable to meet our needs.”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December 31, 2017, approximately half of our research and development personnel hold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ind w:firstLine="486"/>
        <w:spacing w:after="0" w:line="332" w:lineRule="auto"/>
        <w:rPr>
          <w:sz w:val="20"/>
          <w:szCs w:val="20"/>
          <w:color w:val="auto"/>
        </w:rPr>
      </w:pPr>
      <w:r>
        <w:rPr>
          <w:rFonts w:ascii="Arial" w:cs="Arial" w:eastAsia="Arial" w:hAnsi="Arial"/>
          <w:sz w:val="16"/>
          <w:szCs w:val="16"/>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72" w:lineRule="exact"/>
        <w:rPr>
          <w:sz w:val="20"/>
          <w:szCs w:val="20"/>
          <w:color w:val="auto"/>
        </w:rPr>
      </w:pPr>
    </w:p>
    <w:p>
      <w:pPr>
        <w:ind w:left="920" w:hanging="480"/>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80" w:lineRule="exact"/>
        <w:rPr>
          <w:rFonts w:ascii="Arial" w:cs="Arial" w:eastAsia="Arial" w:hAnsi="Arial"/>
          <w:sz w:val="16"/>
          <w:szCs w:val="16"/>
          <w:color w:val="auto"/>
        </w:rPr>
      </w:pPr>
    </w:p>
    <w:p>
      <w:pPr>
        <w:ind w:left="920" w:hanging="480"/>
        <w:spacing w:after="0" w:line="268"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cleaning steps for Ultra C TEBO cleaners for FinFET in logic chips, gates in DRAM, and deep vias in both 3D NAND and 3D cross point memory technologies;</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hardware, including new system platforms, new chamber structures and new chemical blending systems;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software to integrate new functionalities to improve tool performance.</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Longer term, we are working on new proprietary process capabilities based on our existing tool hardware platforms. We are also working to integrate our tools with third-party tools in adjacent process areas in the chip manufacturing flow. Without reduction by grant amounts received from PRC governmental authorities (see “Management’s Discussion and Analysis of Financial Condition and Results of Operations—Key Components of Results of Operations—PRC Government Research and Development Funding”), our gross research and development expense totaled $8.6 million, or 23.4% of revenue, in 2017 and $9.5 million, or 34.7% of revenue, in 2016. We intend to continue to invest in research and development to support and enhance our existing cleaning products and to develop future product offerings to build and maintain our technology leadership position.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2017, we had 20 issued patents and numerous pending applications in the United States. These patents carry expiration dates from 2018 through 2027. Many of the US patents and applications have also been filed internationally, in one or more of the European Union, PRC, Japan, Korea, Singapore and Taiwan.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18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have 22 patents granted internationally protecting our SAPS technologies. We also have filed four international patent applications for key TEBO technologies in accordance with the Patent Cooperation Treaty, in anticipation of filing in the U.S. national phase.</w:t>
      </w:r>
    </w:p>
    <w:p>
      <w:pPr>
        <w:spacing w:after="0" w:line="130"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99"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9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1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9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9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0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Additional information about the risks relating to our intellectual property is provided under “Item 1A. Risk Factors—Risks Relating to Our Intellectual Property.”</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Compared to our company, our current and potential competitors may have:</w:t>
      </w:r>
    </w:p>
    <w:p>
      <w:pPr>
        <w:spacing w:after="0" w:line="158" w:lineRule="exact"/>
        <w:rPr>
          <w:sz w:val="20"/>
          <w:szCs w:val="20"/>
          <w:color w:val="auto"/>
        </w:rPr>
      </w:pPr>
    </w:p>
    <w:p>
      <w:pPr>
        <w:ind w:left="920" w:hanging="480"/>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better established credibility and market reputations, longer operating histories, and broader product offerings;</w:t>
      </w:r>
    </w:p>
    <w:p>
      <w:pPr>
        <w:spacing w:after="0" w:line="157"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greater financial, technical, marketing and other resources, which may allow them to pursue design, development, manufacturing, sales, marketing, distribution and service support of their products;</w:t>
      </w:r>
    </w:p>
    <w:p>
      <w:pPr>
        <w:spacing w:after="0" w:line="118"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extensive customer and partner relationships, which may position them to identify and respond more successfully to market developments and changes in customer demands; and</w:t>
      </w:r>
    </w:p>
    <w:p>
      <w:pPr>
        <w:spacing w:after="0" w:line="118" w:lineRule="exact"/>
        <w:rPr>
          <w:rFonts w:ascii="Arial" w:cs="Arial" w:eastAsia="Arial" w:hAnsi="Arial"/>
          <w:sz w:val="18"/>
          <w:szCs w:val="18"/>
          <w:color w:val="auto"/>
        </w:rPr>
      </w:pPr>
    </w:p>
    <w:p>
      <w:pPr>
        <w:ind w:left="920" w:right="20" w:hanging="480"/>
        <w:spacing w:after="0" w:line="268"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product offerings, which may enable them to offer bundled discounts for customers purchasing multiple products or other incentives that we cannot match or offer.</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principal competitive factors in our market include:</w:t>
      </w:r>
    </w:p>
    <w:p>
      <w:pPr>
        <w:spacing w:after="0" w:line="158" w:lineRule="exact"/>
        <w:rPr>
          <w:sz w:val="20"/>
          <w:szCs w:val="20"/>
          <w:color w:val="auto"/>
        </w:rPr>
      </w:pPr>
    </w:p>
    <w:p>
      <w:pPr>
        <w:ind w:left="920" w:right="20" w:hanging="480"/>
        <w:spacing w:after="0" w:line="268"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service support capability and spare parts delivery time;</w:t>
      </w:r>
    </w:p>
    <w:p>
      <w:pPr>
        <w:spacing w:after="0" w:line="22" w:lineRule="exact"/>
        <w:rPr>
          <w:rFonts w:ascii="Arial" w:cs="Arial" w:eastAsia="Arial" w:hAnsi="Arial"/>
          <w:sz w:val="18"/>
          <w:szCs w:val="18"/>
          <w:color w:val="auto"/>
        </w:rPr>
      </w:pPr>
    </w:p>
    <w:p>
      <w:pPr>
        <w:ind w:left="920" w:hanging="48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innovation and development of functionality and features that are must-haves for advanced fabrication nodes;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anticipate customer requirements, especially for advanced process nodes of less than 45nm;</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identify new process applications;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skill and capability of personnel, including design engineers, manufacturing engineers and technicians, application engineers, and service engineers.</w:t>
      </w:r>
    </w:p>
    <w:p>
      <w:pPr>
        <w:spacing w:after="0" w:line="19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semiconductor manufacturers must make a substantial investment to qualify and integrate new equipment into semiconductor production lines. Some manufacturers have announced they will fabricate chips for the 10nm node beginning in 2017 and the 7nm node commencing in 2018, and we have one customer that currently is evaluating implementation of our equipment for both the 10nm and 7nm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0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Employees</w:t>
      </w:r>
    </w:p>
    <w:p>
      <w:pPr>
        <w:spacing w:after="0" w:line="15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December 31 2017, we had 191 full-time equivalent employees, of whom 22 were in administration, 50 were in manufacturing, 80 were in research and development, and 39 were in sales and marketing and customer services. Of these employees, 183 were located in the PRC, 4 were located in Korea and 4 were based in the United States.</w:t>
      </w:r>
    </w:p>
    <w:p>
      <w:pPr>
        <w:spacing w:after="0" w:line="127" w:lineRule="exact"/>
        <w:rPr>
          <w:sz w:val="20"/>
          <w:szCs w:val="20"/>
          <w:color w:val="auto"/>
        </w:rPr>
      </w:pPr>
    </w:p>
    <w:p>
      <w:pPr>
        <w:ind w:right="900" w:firstLine="486"/>
        <w:spacing w:after="0" w:line="268" w:lineRule="auto"/>
        <w:rPr>
          <w:sz w:val="20"/>
          <w:szCs w:val="20"/>
          <w:color w:val="auto"/>
        </w:rPr>
      </w:pPr>
      <w:r>
        <w:rPr>
          <w:rFonts w:ascii="Arial" w:cs="Arial" w:eastAsia="Arial" w:hAnsi="Arial"/>
          <w:sz w:val="18"/>
          <w:szCs w:val="18"/>
          <w:color w:val="auto"/>
        </w:rPr>
        <w:t>We have never had a work stoppage, and none of our employees are represented by a labor organization or subject to any collective bargaining arrangements. We consider our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we are uncertain about our future profitability.</w:t>
      </w:r>
    </w:p>
    <w:p>
      <w:pPr>
        <w:spacing w:after="0" w:line="15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have incurred significant losses since our inception in 1998, and as of December 31, 2017 we had an accumulated deficit of $10.0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93"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including continued investments in our research and development team;</w:t>
      </w:r>
    </w:p>
    <w:p>
      <w:pPr>
        <w:spacing w:after="0" w:line="157"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goods being manufactured and sold for our installed base;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field service;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expenses, including legal and accounting expenses related to being a public company.</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limited revenue and may not be able to regain or maintain profitability.</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To date we have only generated limited revenue from sales of our products. Our revenue totaled $27.4 million in 2016 and $36.5 million in 2017. Our revenue was not sufficient to cover our operating expenses prior to 2015, and our net income decreased to $2.4 million in 2016 from $7.9 million in 2015. In 2017 we incurred an operating loss of $0.9 million, as compared to net income of $2.4 million in 2016. Our ability to generate significant revenue and operate profitably depends upon our ability to commercialize our Ultra C single-wafer wet cleaning equipment based on our SAPS and TEBO technologies. Our ability to generate significant product revenue from our current tools or future tool candidates also depends on a number of additional factors, including our ability to:</w:t>
      </w:r>
    </w:p>
    <w:p>
      <w:pPr>
        <w:spacing w:after="0" w:line="102"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achieve market acceptance of Ultra C equipment based on SAPS technology as well as Ultra C equipment based on TEBO technology;</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customer base, including the establishment of relationships with companies in the United States;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expand our supplier relationships with third parties;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our reputation for providing efficient on-time delivery of high quality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If we fail to regain and sustain profitability on a continuing basis, we may be unable to continue our operations at planned levels and be forced to reduce our operations or even shut down.</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may need to raise funds in the future, depending on many factors, including:</w:t>
      </w:r>
    </w:p>
    <w:p>
      <w:pPr>
        <w:spacing w:after="0" w:line="158"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applying our existing technologies to new or enhanced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developing new technologies and introducing new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our expansion, including capital expenditures, increasing our sales and marketing and service and support efforts, and expanding our geographic operations;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to obtain governmental subsidies for developmental projects in the future;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debt repayment obligations;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timing of any future acquisitions.</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quarterly operating results can be difficult to predict and can fluctuate substantially, which could result in volatility in the price of Class A common stock.</w:t>
      </w:r>
    </w:p>
    <w:p>
      <w:pPr>
        <w:spacing w:after="0" w:line="11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93" w:lineRule="exact"/>
        <w:rPr>
          <w:sz w:val="20"/>
          <w:szCs w:val="20"/>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cyclicality of the semiconductor industry and the related impact on the purchase of equipment used in the manufacture of integrated circuits, or chips;</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purchases of our tools by chip fabricators, which order types of tools based on multi-year capital plans under which the number and dollar amount of tool purchases can vary significantly from year to year;</w:t>
      </w:r>
    </w:p>
    <w:p>
      <w:pPr>
        <w:spacing w:after="0" w:line="118"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126"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significant expenditures required to customize our products often exceed the deposits received from our customers;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lead time required to manufacture our tools;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recognizing revenue due to the timing of shipment and acceptance of our tools;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sell additional tools to existing customers;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changes in customer specifications or requirements;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length of our product sales cycle;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product mix, including the mix of systems, upgrades, spare parts and service;</w:t>
      </w:r>
    </w:p>
    <w:p>
      <w:pPr>
        <w:spacing w:after="0" w:line="157" w:lineRule="exact"/>
        <w:rPr>
          <w:rFonts w:ascii="Arial" w:cs="Arial" w:eastAsia="Arial" w:hAnsi="Arial"/>
          <w:sz w:val="18"/>
          <w:szCs w:val="18"/>
          <w:color w:val="auto"/>
        </w:rPr>
      </w:pPr>
    </w:p>
    <w:p>
      <w:pPr>
        <w:ind w:left="980" w:right="34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product releases or upgrades or announcements of product releases or upgrades by us or our competitors, including changes in customer orders in anticipation of new products or product enhancements;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enhance our tools with new and better functionality that meet customer requirements and changing industry trends;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constraints on our suppliers’ capacity;</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investments in research and development related to releasing new applications of our technologies and new products;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the development and manufacture of our new products and upgraded versions of our products and the market acceptance of these products when introduced;</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control costs, including operating expenses and the costs of the components and subassemblies used in our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related to the acquisition and integration of product lines, technologies or businesses;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18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11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93"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29" w:lineRule="exact"/>
        <w:rPr>
          <w:sz w:val="20"/>
          <w:szCs w:val="20"/>
          <w:color w:val="auto"/>
        </w:rPr>
      </w:pPr>
    </w:p>
    <w:p>
      <w:pPr>
        <w:ind w:right="140" w:firstLine="486"/>
        <w:spacing w:after="0" w:line="298" w:lineRule="auto"/>
        <w:rPr>
          <w:sz w:val="20"/>
          <w:szCs w:val="20"/>
          <w:color w:val="auto"/>
        </w:rPr>
      </w:pPr>
      <w:r>
        <w:rPr>
          <w:rFonts w:ascii="Arial" w:cs="Arial" w:eastAsia="Arial" w:hAnsi="Arial"/>
          <w:sz w:val="16"/>
          <w:szCs w:val="16"/>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industry chip manufacturers adopting our SAPS and TEBO technologies.</w:t>
      </w:r>
    </w:p>
    <w:p>
      <w:pPr>
        <w:spacing w:after="0" w:line="1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SAPS and TEBO technologies do not achieve widespread market acceptance, we will not be able to compete effectively.</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commercial success of our tools will depend, in part, on gaining substantial market acceptance by chip manufacturers. Our ability to gain acceptance for our products will depend upon a number of factors, including:</w:t>
      </w:r>
    </w:p>
    <w:p>
      <w:pPr>
        <w:spacing w:after="0" w:line="118" w:lineRule="exact"/>
        <w:rPr>
          <w:sz w:val="20"/>
          <w:szCs w:val="20"/>
          <w:color w:val="auto"/>
        </w:rPr>
      </w:pPr>
    </w:p>
    <w:p>
      <w:pPr>
        <w:ind w:left="98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demonstrate the differentiated, innovative nature of our SAPS and TEBO technologies and the advantages of our tools over those of our competitors;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compatibility of our tools with existing or potential customers’ manufacturing processes and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customer service available to support our products;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experiences our customers have with our products.</w:t>
      </w:r>
    </w:p>
    <w:p>
      <w:pPr>
        <w:spacing w:after="0" w:line="15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9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105"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accurate anticipation of market requirements, changes in technology and evolving standards;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80"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and availability of suppliers and third-party manufacturers to manufacture and deliver the critical components and subassemblies of our tools in a timely manner;</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lifecycle of those products;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deliver products in a timely manner within our customers’ product planning and deployment cycle.</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identify and enter new product markets.</w:t>
      </w:r>
    </w:p>
    <w:p>
      <w:pPr>
        <w:spacing w:after="0" w:line="15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118"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The chip equipment industry is highly competitive, and we face substantial competition throughout the world in each of the markets we serve. Many of our current and potential competitors have, among other things:</w:t>
      </w:r>
    </w:p>
    <w:p>
      <w:pPr>
        <w:spacing w:after="0" w:line="118"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financial, technical, sales and marketing, manufacturing, distribution and other resources;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established credibility and market reputations;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broader product offerings;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more extensive service offerings, including the ability to have large inventories of spare parts available near, or even at, customer locations;</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sales forces;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more extensive geographic coverage.</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2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chip manufacturing industry is highly concentrated, and we derive a significant portion of our revenue from the sale of our products to a small number of customers. In 2017, 55.2% of our revenue was derived from four customers: SK Hynix Inc., 18.1%; Shanghai Integrated Circuit Research and Development Center Ltd., 14.1%; JiangYin ChangDian Advanced Packaging Co. Ltd., 12.8% and Yangtze Memory Technologies Co., Ltd, 10.2%. In 2016, 99.3% of our revenue was derived from four customers: Shanghai Huali Microelectronics Corporation, 33.7%; Semiconductor Manufacturing International Corporation, 25.0%; SK Hynix Inc., 24.0%; and JiangYin ChangDian Advanced Packaging Co. Ltd., 16.6%. 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0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8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0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11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duration or ultimate success of our sales cycle depends on factors such as:</w:t>
      </w:r>
    </w:p>
    <w:p>
      <w:pPr>
        <w:spacing w:after="0" w:line="158"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by our sales force;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complexity of our customers’ manufacturing processes and the compatibility of our tools with those processes;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internal technical capabilities and sophistication; and</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capital spending plans and processes, including budgetary constraints, internal approvals, extended negotiations or administrative delays.</w:t>
      </w:r>
    </w:p>
    <w:p>
      <w:pPr>
        <w:spacing w:after="0" w:line="11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18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 failure to prevent inventory shortages or accurately predict customers’ needs could result in decreased revenue and gross margins and harm our business.</w:t>
      </w:r>
    </w:p>
    <w:p>
      <w:pPr>
        <w:spacing w:after="0" w:line="19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tools contain defects or do not meet customer specifications, we could lose customers and revenue.</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99" w:lineRule="exact"/>
        <w:rPr>
          <w:sz w:val="20"/>
          <w:szCs w:val="20"/>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customers may delay or reject acceptance of our tools that contain defects or fail to meet their specifications;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suffer customer dissatisfaction, negative publicity and reputational damage, resulting in reduced orders or otherwise damaging our ability to retain existing customers and attract new customers;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incur substantial costs as a result of warranty claims or service obligations or in order to enhance the reliability of our tools;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attention of our technical and management resources may be diverted;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replace defective systems or invest significant capital to resolve these problems;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write off inventory and other assets related to our tools.</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claims in excess of our estimates could adversely affect our business.</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3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30" w:lineRule="exact"/>
        <w:rPr>
          <w:sz w:val="20"/>
          <w:szCs w:val="20"/>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price increases;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capacity shortages or other inability to meet any increase in demand for our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control over manufacturing process for components and subassemblies and delivery schedules;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exposure to potential misappropriation of our intellectual property;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limited warranties on subassemblies and components supplied to us.</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9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07"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10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4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and TEBO. To the extent that we receive a lower level of, or no, governmental subsidies in the future, we may need to raise additional funds through public or private financings, strategic relationships, or other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will depend on our ability to manage any future growth.</w:t>
      </w:r>
    </w:p>
    <w:p>
      <w:pPr>
        <w:spacing w:after="0" w:line="1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have experienced rapid growth in our business recently due, in part, to an expansion of our product offerings and an increase in the number of customers that we serve. For example, our headcount grew by 18.7% during 2016 and by an additional 28.1% during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105" w:lineRule="exact"/>
        <w:rPr>
          <w:sz w:val="20"/>
          <w:szCs w:val="20"/>
          <w:color w:val="auto"/>
        </w:rPr>
      </w:pPr>
    </w:p>
    <w:p>
      <w:pPr>
        <w:ind w:left="980" w:hanging="486"/>
        <w:spacing w:after="0" w:line="268"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train, integrate and manage additional qualified engineers for research and development activities, sales and marketing personnel, service and support personnel and financial and information technology personnel;</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multiple relationships with our customers, suppliers and other third parties;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enhance our information technology infrastructure, systems and controls.</w:t>
      </w:r>
    </w:p>
    <w:p>
      <w:pPr>
        <w:spacing w:after="0" w:line="15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highly dependent on our Chief Executive Officer and President and other senior management and key employees, and we currently do not have a permanent Chief Financial Officer.</w:t>
      </w:r>
    </w:p>
    <w:p>
      <w:pPr>
        <w:spacing w:after="0" w:line="186"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 Dr. David H. Wang, our Chair of the Board, Chief Executive Officer, President and founder. In January 2018 we notified our former Chief Financial Officer of the termination of his employment effective January 24, 2018. Our Chief Accounting Officer, who joined us effective January 24, 2018, currently is serving as our interim Chief Financial Officer. We are uncertain as to when we will be able to identify and hire a successor Chief Financial Office, and we may incur significant expense in recruiting and hiring such a successor. If one or more of our other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their employment at any time. The loss of Dr. Wang or other key management personnel, including our former Chief Financial Officer, could significantly delay or prevent the achievement of our business objectives.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8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certain U.S. and state net operating loss carryforwards may be limited under applicable tax laws.</w:t>
      </w:r>
    </w:p>
    <w:p>
      <w:pPr>
        <w:spacing w:after="0" w:line="158"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As of December 31, 2017, we had net operating loss carryforward amounts, or NOLs, of $20.1 million for U.S. federal income tax purposes and $536,000 for U.S. state income tax purposes. The federal and state NOLs will expire at various dates beginning in 2019.</w:t>
      </w:r>
    </w:p>
    <w:p>
      <w:pPr>
        <w:spacing w:after="0" w:line="118"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that we pursue in the future, whether or not consummated, could result in other operating and financial difficulties.</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127" w:lineRule="exact"/>
        <w:rPr>
          <w:sz w:val="20"/>
          <w:szCs w:val="20"/>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acquired product lines, technologies or businesses may not improve our financial and strategic position as planned;</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determine we have overpaid for the product lines, technologies or businesses, or that the economic conditions underlying our acquisition have changed;</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product lines or technologies;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employees, suppliers, financial markets or investors;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product lines or technologies with our existing technologies;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incur one-time write-offs, such as acquired in-process research and development costs, and restructuring charges;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acquire goodwill and other intangible assets that are subject to impairment tests, which could result in future impairment charges;</w:t>
      </w:r>
    </w:p>
    <w:p>
      <w:pPr>
        <w:spacing w:after="0" w:line="180"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1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105" w:lineRule="exact"/>
        <w:rPr>
          <w:sz w:val="20"/>
          <w:szCs w:val="20"/>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demand for our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reserves on accounts receivable due to our customers’ inability to pay us;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reserves on inventory balances due to excess or obsolete inventory as a result of our inability to sell such inventory;</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impairments including the potential impairment of goodwill and other intangible assets;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the value of our investments;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the value of certain facilities we lease to less than our residual value guarantee with the lessor; and</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maintaining reliable and uninterrupted sources of supply.</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81"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All of our sales in 2016 and 2017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93"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or adverse changes in, foreign laws or regulatory requirements;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comply with the import laws and regulations of various foreign jurisdictions, including a range of U.S. import laws;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potentially adverse tax consequences, including withholding tax rules that may limit the repatriation of our earnings, and higher effective income tax rates in foreign countries where we conduct business;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from local suppliers with which potential customers may prefer to do business;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seasonal reduction in business activity, such as during Chinese, or Lunar, New Year in parts of Asia and in other periods in various individual countries;</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intellectual property;</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sales cycles and reliance on indirect sales in certain regions;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difficulty in responding to customer requests for maintenance and spare parts on a timely basis;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the increased travel, infrastructure and legal and compliance costs associated with multiple international locations;</w:t>
      </w:r>
    </w:p>
    <w:p>
      <w:pPr>
        <w:spacing w:after="0" w:line="118" w:lineRule="exact"/>
        <w:rPr>
          <w:rFonts w:ascii="Arial" w:cs="Arial" w:eastAsia="Arial" w:hAnsi="Arial"/>
          <w:sz w:val="18"/>
          <w:szCs w:val="18"/>
          <w:color w:val="auto"/>
        </w:rPr>
      </w:pPr>
    </w:p>
    <w:p>
      <w:pPr>
        <w:ind w:left="980" w:right="380" w:hanging="486"/>
        <w:spacing w:after="0" w:line="33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71" w:lineRule="exact"/>
        <w:rPr>
          <w:rFonts w:ascii="Arial" w:cs="Arial" w:eastAsia="Arial" w:hAnsi="Arial"/>
          <w:sz w:val="16"/>
          <w:szCs w:val="16"/>
          <w:color w:val="auto"/>
        </w:rPr>
      </w:pPr>
    </w:p>
    <w:p>
      <w:pPr>
        <w:ind w:left="980" w:right="20" w:hanging="486"/>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1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particular, the Asian market is extremely competitive, and chip manufacturers may be aggressive in seeking price concessions from suppliers, including chip equipment manufacturers.</w:t>
      </w:r>
    </w:p>
    <w:p>
      <w:pPr>
        <w:spacing w:after="0" w:line="118"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foreign currency exchange rates may adversely affect our results of operations and financial position.</w:t>
      </w:r>
    </w:p>
    <w:p>
      <w:pPr>
        <w:spacing w:after="0" w:line="1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18"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7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18" w:lineRule="exact"/>
        <w:rPr>
          <w:sz w:val="20"/>
          <w:szCs w:val="20"/>
          <w:color w:val="auto"/>
        </w:rPr>
      </w:pPr>
    </w:p>
    <w:p>
      <w:pPr>
        <w:jc w:val="both"/>
        <w:ind w:right="20" w:firstLine="486"/>
        <w:spacing w:after="0" w:line="306" w:lineRule="auto"/>
        <w:rPr>
          <w:sz w:val="20"/>
          <w:szCs w:val="20"/>
          <w:color w:val="auto"/>
        </w:rPr>
      </w:pPr>
      <w:r>
        <w:rPr>
          <w:rFonts w:ascii="Arial" w:cs="Arial" w:eastAsia="Arial" w:hAnsi="Arial"/>
          <w:sz w:val="16"/>
          <w:szCs w:val="16"/>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9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06"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facilities could be damaged or disrupted by a natural disaster, war, terrorist attacks or other catastrophic events.</w:t>
      </w:r>
    </w:p>
    <w:p>
      <w:pPr>
        <w:spacing w:after="0" w:line="1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2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connection with its audit of our consolidated financial statements as of, and for the year ended, December 31, 2016,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 financial reporting requirements. As of December 31, 2017, we considered we were still in a transitional period to enhance the quality of our accounting and financial reporting function, we determined that the above mentioned material weakness had not been fully remediated. We have taken, and are continuing to take, remedial measures to improve the effectiveness of our controls, including by hiring additional accounting and finance personnel and by engaging outside consulting firms, although we now are also seeking to identify a qualified candidate to succeed our former Chief Financial Officer whose employment terminated effective January 24, 2018.</w:t>
      </w:r>
    </w:p>
    <w:p>
      <w:pPr>
        <w:spacing w:after="0" w:line="32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BDO China is the independent registered public accounting firm that issued the audit report included in this report in connection with our consolidated financial statements as of, and for the years ended, December 31, 2017 and 2016.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0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May 2013 the PCAOB announced that it had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including our SAPS and TEBO technologies.</w:t>
      </w:r>
    </w:p>
    <w:p>
      <w:pPr>
        <w:spacing w:after="0" w:line="158"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05" w:lineRule="exact"/>
        <w:rPr>
          <w:sz w:val="20"/>
          <w:szCs w:val="20"/>
          <w:color w:val="auto"/>
        </w:rPr>
      </w:pPr>
    </w:p>
    <w:p>
      <w:pPr>
        <w:ind w:firstLine="486"/>
        <w:spacing w:after="0" w:line="33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72" w:lineRule="exact"/>
        <w:rPr>
          <w:sz w:val="20"/>
          <w:szCs w:val="20"/>
          <w:color w:val="auto"/>
        </w:rPr>
      </w:pPr>
    </w:p>
    <w:p>
      <w:pPr>
        <w:jc w:val="both"/>
        <w:ind w:left="980" w:hanging="486"/>
        <w:spacing w:after="0" w:line="298"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99" w:lineRule="exact"/>
        <w:rPr>
          <w:rFonts w:ascii="Arial" w:cs="Arial" w:eastAsia="Arial" w:hAnsi="Arial"/>
          <w:sz w:val="16"/>
          <w:szCs w:val="16"/>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57"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any competitive advantage.</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may seek or may have already obtained patents that will limit, interfere with, or eliminate our ability to make, use and sell our potential product candidates.</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1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5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18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0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potential intellectual property claims or litigation commenced against us could:</w:t>
      </w:r>
    </w:p>
    <w:p>
      <w:pPr>
        <w:spacing w:after="0" w:line="158" w:lineRule="exact"/>
        <w:rPr>
          <w:sz w:val="20"/>
          <w:szCs w:val="20"/>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time consuming and expensive to defend, whether or not meritorious;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force us to stop selling products or using technology that allegedly infringes the third party’s intellectual property rights;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shipments of our products;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damages or settlement fees to the party claiming infringement;</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us to attempt to obtain a license to the relevant intellectual property, which may not be available on reasonable terms or at all;</w:t>
      </w:r>
    </w:p>
    <w:p>
      <w:pPr>
        <w:spacing w:after="0" w:line="180"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force us to attempt to redesign products that contain the allegedly infringing technology, which could be expensive or which we may be unable to do;</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indemnify our customers, suppliers or other third parties for any loss caused by their use of our technology that allegedly infringes the third party’s intellectual property rights; or</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divert the attention of our technical and managerial resources.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Class A Common Stock</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 price of Class A common stock has been and may continue to be volatile, which could result in substantial losses for investors purchasing our shares</w:t>
      </w:r>
    </w:p>
    <w:p>
      <w:pPr>
        <w:spacing w:after="0" w:line="118"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Class A common stock only commenced trading on the Nasdaq Global Market, or Nasdaq, on November 3, 2017, and the market price of Class A common stock has been, and could continue to be, subject to significant fluctuations. The market price of Class A common stock may fluctuate significantly in response to numerous factors, many of which are beyond our control, including:</w:t>
      </w:r>
    </w:p>
    <w:p>
      <w:pPr>
        <w:spacing w:after="0" w:line="127" w:lineRule="exact"/>
        <w:rPr>
          <w:sz w:val="20"/>
          <w:szCs w:val="20"/>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18"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operating results;</w:t>
      </w:r>
    </w:p>
    <w:p>
      <w:pPr>
        <w:spacing w:after="0" w:line="157" w:lineRule="exact"/>
        <w:rPr>
          <w:rFonts w:ascii="Arial" w:cs="Arial" w:eastAsia="Arial" w:hAnsi="Arial"/>
          <w:sz w:val="18"/>
          <w:szCs w:val="18"/>
          <w:color w:val="auto"/>
        </w:rPr>
      </w:pPr>
    </w:p>
    <w:p>
      <w:pPr>
        <w:ind w:left="980" w:right="100" w:hanging="486"/>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changes in the financial projections we may provide to the public, our failure to meet these projections, or changes in recommendations by any securities analysts that elect to follow Class A common stock;</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additional shares of Class A common stock being sold into the market by us or our existing stockholders or the anticipation of such sales;</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80" w:lineRule="exact"/>
        <w:rPr>
          <w:rFonts w:ascii="Arial" w:cs="Arial" w:eastAsia="Arial" w:hAnsi="Arial"/>
          <w:sz w:val="16"/>
          <w:szCs w:val="16"/>
          <w:color w:val="auto"/>
        </w:rPr>
      </w:pPr>
    </w:p>
    <w:p>
      <w:pPr>
        <w:ind w:left="980" w:right="20" w:hanging="486"/>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trends, including changes in the demand for electronics or information technology or geopolitical events such as war or acts of terrorism, or any responses to such events.</w:t>
      </w:r>
    </w:p>
    <w:p>
      <w:pPr>
        <w:spacing w:after="0" w:line="118"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Class A common stock may not be sustained.</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the concurrent private placement, and we may not succeed in using those net proceeds effectively.</w:t>
      </w:r>
    </w:p>
    <w:p>
      <w:pPr>
        <w:spacing w:after="0" w:line="11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November 2017 we issued and sold 2,233,000 shares of Class A common stock in our initial public offering, or IPO, and an additional 1,333,334 shares of Class A common stock in a private placement, which we refer to as the concurrent private placement. We cannot specify with any certainty the particular uses of the net proceeds that we received from the IPO and the concurrent private placement. Our management has broad discretion in the application of these net proceeds, including working capital and other general corporate purposes, and we may spend or invest these proceeds in a way with which our stockholders disagree. The failure by management to apply these funds effectively could harm our business and financial condition. Pending their use, we may invest the net proceeds in a manner that does not produce income or that loses value.</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7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Requirements associated with being a public reporting company will increase our costs significantly, as well as divert significant company resources and management attention.</w:t>
      </w:r>
    </w:p>
    <w:p>
      <w:pPr>
        <w:spacing w:after="0" w:line="11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0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118"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2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11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Class B common stock has twenty votes per share and Class A common stock has one vote per share. As of March 19, 2018, stockholders who hold shares of Class B common stock, who consist principally of our executive officers, employees, directors and their respective affiliates, collectively held 78.8%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18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 decline below the initial public offering price. As of March 19, 2018, only the shares of Class A common stock sold in the IPO and an additional 113,984 shares not subject to lock-up agreements were freely tradable in the public market. Holders of substantially all of the outstanding shares of Class A common stock, including all of our officers and directors, have entered into contractual lock-up agreements with the underwriters of the IPO pursuant to which they have agreed, subject to certain exceptions, not to sell or otherwise transfer any of their common stock or securities convertible into or exchangeable for shares of common stock until May 2, 2018. We and the lead underwriter in the IPO may, however, permit these holders to sell shares prior to the expiration of the lock-up agreements with the underwriters. On May 2, 2018, up to 13,169,506 shares of Class A common stock will be eligible for sale in the public market, including 9,600,558 shares held by directors, executive officers and other affiliates that will be subject to volume and other limitations under Rule 144 under the Securities Act.</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1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130" w:lineRule="exact"/>
        <w:rPr>
          <w:sz w:val="20"/>
          <w:szCs w:val="20"/>
          <w:color w:val="auto"/>
        </w:rPr>
      </w:pPr>
    </w:p>
    <w:p>
      <w:pPr>
        <w:jc w:val="both"/>
        <w:ind w:left="980" w:hanging="486"/>
        <w:spacing w:after="0" w:line="25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126"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when the outstanding shares of Class B common stock represent less than a majority of the combined voting power of common stock:</w:t>
      </w:r>
    </w:p>
    <w:p>
      <w:pPr>
        <w:spacing w:after="0" w:line="180" w:lineRule="exact"/>
        <w:rPr>
          <w:rFonts w:ascii="Arial" w:cs="Arial" w:eastAsia="Arial" w:hAnsi="Arial"/>
          <w:sz w:val="16"/>
          <w:szCs w:val="16"/>
          <w:color w:val="auto"/>
        </w:rPr>
      </w:pPr>
    </w:p>
    <w:p>
      <w:pPr>
        <w:ind w:left="1460" w:hanging="480"/>
        <w:spacing w:after="0" w:line="268"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amendments to our restated charter or bylaws will require the approval of two-thirds of the combined vote of our then-outstanding shares of Class A and Class B common stock;</w:t>
      </w:r>
    </w:p>
    <w:p>
      <w:pPr>
        <w:spacing w:after="0" w:line="118" w:lineRule="exact"/>
        <w:rPr>
          <w:rFonts w:ascii="Arial" w:cs="Arial" w:eastAsia="Arial" w:hAnsi="Arial"/>
          <w:sz w:val="18"/>
          <w:szCs w:val="18"/>
          <w:color w:val="auto"/>
        </w:rPr>
      </w:pPr>
    </w:p>
    <w:p>
      <w:pPr>
        <w:ind w:left="1460" w:hanging="480"/>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vacancies on the board of directors will be able to be filled only by the board and not by stockholders;</w:t>
      </w:r>
    </w:p>
    <w:p>
      <w:pPr>
        <w:spacing w:after="0" w:line="157" w:lineRule="exact"/>
        <w:rPr>
          <w:rFonts w:ascii="Arial" w:cs="Arial" w:eastAsia="Arial" w:hAnsi="Arial"/>
          <w:sz w:val="18"/>
          <w:szCs w:val="18"/>
          <w:color w:val="auto"/>
        </w:rPr>
      </w:pPr>
    </w:p>
    <w:p>
      <w:pPr>
        <w:ind w:left="1460" w:hanging="480"/>
        <w:spacing w:after="0"/>
        <w:tabs>
          <w:tab w:leader="none" w:pos="14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board, which currently is not staggered, will be automatically separated into three classes with staggered three-year terms;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1460" w:hanging="480"/>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directors will only be able to be removed from office for cause; and</w:t>
      </w:r>
    </w:p>
    <w:p>
      <w:pPr>
        <w:spacing w:after="0" w:line="157" w:lineRule="exact"/>
        <w:rPr>
          <w:rFonts w:ascii="Arial" w:cs="Arial" w:eastAsia="Arial" w:hAnsi="Arial"/>
          <w:sz w:val="18"/>
          <w:szCs w:val="18"/>
          <w:color w:val="auto"/>
        </w:rPr>
      </w:pPr>
    </w:p>
    <w:p>
      <w:pPr>
        <w:ind w:left="1460" w:hanging="480"/>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and not by written consent;</w:t>
      </w:r>
    </w:p>
    <w:p>
      <w:pPr>
        <w:spacing w:after="0" w:line="157" w:lineRule="exact"/>
        <w:rPr>
          <w:rFonts w:ascii="Arial" w:cs="Arial" w:eastAsia="Arial" w:hAnsi="Arial"/>
          <w:sz w:val="18"/>
          <w:szCs w:val="18"/>
          <w:color w:val="auto"/>
        </w:rPr>
      </w:pPr>
    </w:p>
    <w:p>
      <w:pPr>
        <w:ind w:left="980" w:hanging="4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our chair, our chief executive officer or a majority of our directors is authorized to call a special meeting of stockholders;</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restated charter authorizes undesignated preferred stock, the terms of which may be established, and shares of which may be issued, without stockholder approval; and</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cumulative voting in the election of directors is prohibited.</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12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Our restated charter provides that the Court of Chancery of the State of Delaware will, to the fullest extent permitted by law, be the sole and exclusive forum for:</w:t>
      </w:r>
    </w:p>
    <w:p>
      <w:pPr>
        <w:spacing w:after="0" w:line="118" w:lineRule="exact"/>
        <w:rPr>
          <w:sz w:val="20"/>
          <w:szCs w:val="20"/>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to us, our stockholders, creditors or other constituents by any of our directors, officers, other employees, agents or stockholders;</w:t>
      </w:r>
    </w:p>
    <w:p>
      <w:pPr>
        <w:spacing w:after="0" w:line="118"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118" w:lineRule="exact"/>
        <w:rPr>
          <w:rFonts w:ascii="Arial" w:cs="Arial" w:eastAsia="Arial" w:hAnsi="Arial"/>
          <w:sz w:val="18"/>
          <w:szCs w:val="18"/>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Prior to the IPO, none of the current members of our management team had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day-to-day management of our business, which could materially adversely affect our business, financial condition and operating results.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11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ectPr>
          <w:pgSz w:w="11900" w:h="16838" w:orient="portrait"/>
          <w:cols w:equalWidth="0" w:num="1">
            <w:col w:w="11420"/>
          </w:cols>
          <w:pgMar w:left="240" w:top="129"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4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3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30"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9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8600"/>
        <w:spacing w:after="0"/>
        <w:rPr>
          <w:sz w:val="20"/>
          <w:szCs w:val="20"/>
          <w:color w:val="auto"/>
        </w:rPr>
      </w:pPr>
      <w:r>
        <w:rPr>
          <w:rFonts w:ascii="Arial" w:cs="Arial" w:eastAsia="Arial" w:hAnsi="Arial"/>
          <w:sz w:val="16"/>
          <w:szCs w:val="16"/>
          <w:b w:val="1"/>
          <w:bCs w:val="1"/>
          <w:color w:val="auto"/>
        </w:rPr>
        <w:t>Item 1B: Unresolved Staff Comments</w:t>
      </w:r>
    </w:p>
    <w:p>
      <w:pPr>
        <w:spacing w:after="0" w:line="187" w:lineRule="exact"/>
        <w:rPr>
          <w:sz w:val="20"/>
          <w:szCs w:val="20"/>
          <w:color w:val="auto"/>
        </w:rPr>
      </w:pPr>
    </w:p>
    <w:p>
      <w:pPr>
        <w:jc w:val="center"/>
        <w:ind w:right="100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Item 2: Properties</w:t>
      </w:r>
    </w:p>
    <w:p>
      <w:pPr>
        <w:spacing w:after="0" w:line="254"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 have occupied our current corporate headquarters in Fremont, California, since February 2008, under a lease that, as amended in March 2017, extends through March 2019. We conduct our research and development and manufacturing and service support operations in a facility of approximately 60,000 square feet, of which 36,000 square feet is dedicated to manufacturing, located in the Zhangjiang HiTech Park in Shanghai, PRC. We have leased this facility since 2007. The lease terms and its payment terms are subject to modification and extension with Zhangjiang Group from time to time. The lease with Zhangjiang Group expired on December 31, 2017 and we are now leasing the property on a month-to-month basis as we negotiate the terms of the lease. In addition, we provide sales support and customer service operations from leased office space in Jiangying, PRC, Wuxi, PRC, and Icheon, Korea.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2360"/>
        <w:spacing w:after="0" w:line="447"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Information Regarding the Trading of Common Stock</w:t>
      </w:r>
    </w:p>
    <w:p>
      <w:pPr>
        <w:spacing w:after="0" w:line="5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Class A common stock has traded on NASDAQ Global Market under the symbol “ACMR” since November 3, 2017. Prior to that time, there was no public market for the Class A common stock. The table below lists the high and low sales prices of the Class A common stock, as reported by the Nasdaq Global Market.</w:t>
      </w:r>
    </w:p>
    <w:p>
      <w:pPr>
        <w:spacing w:after="0" w:line="243" w:lineRule="exact"/>
        <w:rPr>
          <w:sz w:val="20"/>
          <w:szCs w:val="20"/>
          <w:color w:val="auto"/>
        </w:rPr>
      </w:pPr>
    </w:p>
    <w:p>
      <w:pPr>
        <w:ind w:left="9220"/>
        <w:spacing w:after="0"/>
        <w:tabs>
          <w:tab w:leader="none" w:pos="10580" w:val="left"/>
        </w:tabs>
        <w:rPr>
          <w:sz w:val="20"/>
          <w:szCs w:val="20"/>
          <w:color w:val="auto"/>
        </w:rPr>
      </w:pPr>
      <w:r>
        <w:rPr>
          <w:rFonts w:ascii="Arial" w:cs="Arial" w:eastAsia="Arial" w:hAnsi="Arial"/>
          <w:sz w:val="15"/>
          <w:szCs w:val="15"/>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 w:lineRule="exact"/>
        <w:rPr>
          <w:sz w:val="20"/>
          <w:szCs w:val="20"/>
          <w:color w:val="auto"/>
        </w:rPr>
      </w:pPr>
    </w:p>
    <w:p>
      <w:pPr>
        <w:ind w:left="340"/>
        <w:spacing w:after="0"/>
        <w:tabs>
          <w:tab w:leader="none" w:pos="8800" w:val="left"/>
          <w:tab w:leader="none" w:pos="9600" w:val="left"/>
          <w:tab w:leader="none" w:pos="10180" w:val="left"/>
          <w:tab w:leader="none" w:pos="10960" w:val="left"/>
        </w:tabs>
        <w:rPr>
          <w:sz w:val="20"/>
          <w:szCs w:val="20"/>
          <w:color w:val="auto"/>
        </w:rPr>
      </w:pPr>
      <w:r>
        <w:rPr>
          <w:rFonts w:ascii="Arial" w:cs="Arial" w:eastAsia="Arial" w:hAnsi="Arial"/>
          <w:sz w:val="18"/>
          <w:szCs w:val="18"/>
          <w:color w:val="auto"/>
        </w:rPr>
        <w:t>Fourth Quarter 2017 (from November 3, 2017)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8.48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Class B common stock is not listed or traded on any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19, 2018, there were 136 holders of record of shares of Class A common stock and 58 holders of record of shares of Class B common stock. The actual number of holders of Class A common stock is substantially greater and includes stockholders who are beneficial owners and whose shares are held of record by banks, brokers, and other financial institutions.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 Any future determination to declare cash dividends on Class A and Class common stock will be made at the discretion of the board of directors and will depend 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December 31, 2017,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information required by this item will be set forth in the definitive proxy statement we will file in connection with our 2018 Annual Meeting of Stockholders and is incorporated by reference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Set forth below is information regarding the shares of capital stock and options granted by us in 2017 that were not registered under the Securities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1933.</w:t>
      </w:r>
    </w:p>
    <w:p>
      <w:pPr>
        <w:spacing w:after="0" w:line="151" w:lineRule="exact"/>
        <w:rPr>
          <w:sz w:val="20"/>
          <w:szCs w:val="20"/>
          <w:color w:val="auto"/>
        </w:rPr>
      </w:pPr>
    </w:p>
    <w:p>
      <w:pPr>
        <w:ind w:left="940" w:right="20" w:hanging="486"/>
        <w:spacing w:after="0" w:line="268"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granted stock options to purchase an aggregate of 336,671 shares of Class A common stock, with exercise prices ranging from $5.60 to $7.50 per share.</w:t>
      </w:r>
    </w:p>
    <w:p>
      <w:pPr>
        <w:spacing w:after="0" w:line="118" w:lineRule="exact"/>
        <w:rPr>
          <w:rFonts w:ascii="Arial" w:cs="Arial" w:eastAsia="Arial" w:hAnsi="Arial"/>
          <w:sz w:val="18"/>
          <w:szCs w:val="18"/>
          <w:color w:val="auto"/>
        </w:rPr>
      </w:pPr>
    </w:p>
    <w:p>
      <w:pPr>
        <w:ind w:left="940" w:right="300" w:hanging="486"/>
        <w:spacing w:after="0" w:line="268"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issued an aggregate of 472,889 shares of Class A common stock pursuant to the exercise of stock options at per share exercise prices ranging from $0.75 to $3.00.</w:t>
      </w:r>
    </w:p>
    <w:p>
      <w:pPr>
        <w:spacing w:after="0" w:line="118" w:lineRule="exact"/>
        <w:rPr>
          <w:rFonts w:ascii="Arial" w:cs="Arial" w:eastAsia="Arial" w:hAnsi="Arial"/>
          <w:sz w:val="18"/>
          <w:szCs w:val="18"/>
          <w:color w:val="auto"/>
        </w:rPr>
      </w:pPr>
    </w:p>
    <w:p>
      <w:pPr>
        <w:ind w:left="940" w:hanging="486"/>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March 2017 we issued a warrant to acquire 397,502 shares of Class A common stock for an aggregate purchase price of $2,981,265.</w:t>
      </w:r>
    </w:p>
    <w:p>
      <w:pPr>
        <w:spacing w:after="0" w:line="180" w:lineRule="exact"/>
        <w:rPr>
          <w:rFonts w:ascii="Arial" w:cs="Arial" w:eastAsia="Arial" w:hAnsi="Arial"/>
          <w:sz w:val="16"/>
          <w:szCs w:val="16"/>
          <w:color w:val="auto"/>
        </w:rPr>
      </w:pPr>
    </w:p>
    <w:p>
      <w:pPr>
        <w:ind w:left="940" w:hanging="486"/>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March 2017 we issued 4,998,508 shares of Series E convertible preferred stock for an aggregate purchase price of $5,800,000.</w:t>
      </w:r>
    </w:p>
    <w:p>
      <w:pPr>
        <w:spacing w:after="0" w:line="157" w:lineRule="exact"/>
        <w:rPr>
          <w:rFonts w:ascii="Arial" w:cs="Arial" w:eastAsia="Arial" w:hAnsi="Arial"/>
          <w:sz w:val="18"/>
          <w:szCs w:val="18"/>
          <w:color w:val="auto"/>
        </w:rPr>
      </w:pPr>
    </w:p>
    <w:p>
      <w:pPr>
        <w:ind w:left="940" w:hanging="486"/>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August 2017 we issued 1,119,576 shares of Class A common stock for an aggregate purchase price of $8,396,820.</w:t>
      </w:r>
    </w:p>
    <w:p>
      <w:pPr>
        <w:spacing w:after="0" w:line="157" w:lineRule="exact"/>
        <w:rPr>
          <w:rFonts w:ascii="Arial" w:cs="Arial" w:eastAsia="Arial" w:hAnsi="Arial"/>
          <w:sz w:val="18"/>
          <w:szCs w:val="18"/>
          <w:color w:val="auto"/>
        </w:rPr>
      </w:pPr>
    </w:p>
    <w:p>
      <w:pPr>
        <w:ind w:left="940" w:hanging="486"/>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August 2017 we issued 787,098 shares of Class A common stock for an aggregate purchase price of $5,903,235.</w:t>
      </w:r>
    </w:p>
    <w:p>
      <w:pPr>
        <w:spacing w:after="0" w:line="157" w:lineRule="exact"/>
        <w:rPr>
          <w:rFonts w:ascii="Arial" w:cs="Arial" w:eastAsia="Arial" w:hAnsi="Arial"/>
          <w:sz w:val="18"/>
          <w:szCs w:val="18"/>
          <w:color w:val="auto"/>
        </w:rPr>
      </w:pPr>
    </w:p>
    <w:p>
      <w:pPr>
        <w:ind w:left="940" w:hanging="486"/>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September 2017 we issued 133,334 shares of Class A common stock for an aggregate purchase price of $1,000,000.</w:t>
      </w:r>
    </w:p>
    <w:p>
      <w:pPr>
        <w:spacing w:after="0" w:line="157" w:lineRule="exact"/>
        <w:rPr>
          <w:rFonts w:ascii="Arial" w:cs="Arial" w:eastAsia="Arial" w:hAnsi="Arial"/>
          <w:sz w:val="18"/>
          <w:szCs w:val="18"/>
          <w:color w:val="auto"/>
        </w:rPr>
      </w:pPr>
    </w:p>
    <w:p>
      <w:pPr>
        <w:ind w:left="940" w:hanging="486"/>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November 2017 we issued 1,333,334 shares of Class A common stock in a concurrent private placement at a price of $5.60 per share.</w:t>
      </w:r>
    </w:p>
    <w:p>
      <w:pPr>
        <w:spacing w:after="0" w:line="180" w:lineRule="exact"/>
        <w:rPr>
          <w:rFonts w:ascii="Arial" w:cs="Arial" w:eastAsia="Arial" w:hAnsi="Arial"/>
          <w:sz w:val="16"/>
          <w:szCs w:val="16"/>
          <w:color w:val="auto"/>
        </w:rPr>
      </w:pPr>
    </w:p>
    <w:p>
      <w:pPr>
        <w:ind w:left="940" w:right="620" w:hanging="486"/>
        <w:spacing w:after="0" w:line="268"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November 2017 we issued warrants to acquire an aggregate of 80,000 shares of Class A common stock for an aggregate purchase price of $492,800.</w:t>
      </w:r>
    </w:p>
    <w:p>
      <w:pPr>
        <w:spacing w:after="0" w:line="11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offers, sales, grants and issuances of the securities described in paragraphs (1) and (2) were deemed to be exempt from registration under the Securities Act of 1933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40" w:firstLine="486"/>
        <w:spacing w:after="0" w:line="255" w:lineRule="auto"/>
        <w:rPr>
          <w:sz w:val="20"/>
          <w:szCs w:val="20"/>
          <w:color w:val="auto"/>
        </w:rPr>
      </w:pPr>
      <w:r>
        <w:rPr>
          <w:rFonts w:ascii="Arial" w:cs="Arial" w:eastAsia="Arial" w:hAnsi="Arial"/>
          <w:sz w:val="18"/>
          <w:szCs w:val="18"/>
          <w:color w:val="auto"/>
        </w:rPr>
        <w:t>The offer, sale and issuance of the securities described in paragraphs (3) through (9) were deemed to be exempt from registration under the Securities Act in reliance on Section 4(a)(2) of the Securities Act in that the 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Registration Statement on Form S-1 (File No. 333- 220451) for the IPO was declared effective by the SEC on November 2, 2017. Shares of Class A common stock began trading on the Nasdaq Global Market on November 3, 2017.</w:t>
      </w:r>
    </w:p>
    <w:p>
      <w:pPr>
        <w:spacing w:after="0" w:line="11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underwriters of the IPO were Roth Capital Partners, LLC, Craig-Hallum Capital Group LLC and The Benchmark Company, LLC. The offering commenced on November 2, 2017 and did not terminate until the sale of all of the shares offered.</w:t>
      </w:r>
    </w:p>
    <w:p>
      <w:pPr>
        <w:spacing w:after="0" w:line="11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paid to the underwriters of the IPO underwriting discounts and commissions totaling $841,036 in connection with the sale of 2,233,000 shares of Class A common stock. In addition, we incurred expenses of $1.9 million which, when added to the underwriting discounts and commissions, amounted to total expenses of $2.7 million. As a result, the IPO net proceeds, after deducting underwriting discounts and commissions and offering expenses, were $17.3 million. No offering expenses were paid directly or indirectly to any of our directors or officers (or their associates) or persons owning 10.0% or more of any class of our equity securities or to any other affiliates.</w:t>
      </w:r>
    </w:p>
    <w:p>
      <w:pPr>
        <w:spacing w:after="0" w:line="19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There has been no material change in the planned use of IPO proceeds from that described in the final prospectus filed with the Securities and Exchange Commission pursuant to Rule 424(b)(4) under the Securities Act of 1933 on November 3, 2017.</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 date we have applied $7.8 million of the proceeds to purchase inventories and $1.0 million in our normal course of business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transfer agent and registrar for the Class A common stock and the Class B common stock is Computershare Trust Company, 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4 of this report. Please read “Item1A. Risk Factors” for a discussion of factors that could cause our actual results to differ materially from our expectations.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3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December 31, 2017, we had sold and deployed more than 30 single-wafer wet cleaning tools. We recognized revenue from the selected customers’ purchases of single-wafer wet cleaning equipment totaling $27.1 million, or 74.2% of our revenue, in 2017 and $21.5 million, or 78.4% of our revenue, in 2016.</w:t>
      </w:r>
    </w:p>
    <w:p>
      <w:pPr>
        <w:spacing w:after="0" w:line="1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ACM Research incorporated in California in 1998 and redomesticated to Delaware in November 2016. Key events in our corporate development have included:</w:t>
      </w:r>
    </w:p>
    <w:p>
      <w:pPr>
        <w:spacing w:after="0" w:line="118" w:lineRule="exact"/>
        <w:rPr>
          <w:sz w:val="20"/>
          <w:szCs w:val="20"/>
          <w:color w:val="auto"/>
        </w:rPr>
      </w:pPr>
    </w:p>
    <w:p>
      <w:pPr>
        <w:ind w:left="920" w:right="20" w:hanging="480"/>
        <w:spacing w:after="0" w:line="268"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118" w:lineRule="exact"/>
        <w:rPr>
          <w:rFonts w:ascii="Arial" w:cs="Arial" w:eastAsia="Arial" w:hAnsi="Arial"/>
          <w:sz w:val="18"/>
          <w:szCs w:val="18"/>
          <w:color w:val="auto"/>
        </w:rPr>
      </w:pPr>
    </w:p>
    <w:p>
      <w:pPr>
        <w:jc w:val="both"/>
        <w:ind w:left="920" w:right="20" w:hanging="480"/>
        <w:spacing w:after="0" w:line="259"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2006 we moved our operational center to Shanghai, where we began to conduct our business through our subsidiary ACM Shanghai. This move was made to help us establish and build relationships with chip manufacturers in the PRC. We have financed our operations in part through the sale of minority equity interests in ACM Shanghai.</w:t>
      </w:r>
    </w:p>
    <w:p>
      <w:pPr>
        <w:spacing w:after="0" w:line="126" w:lineRule="exact"/>
        <w:rPr>
          <w:rFonts w:ascii="Arial" w:cs="Arial" w:eastAsia="Arial" w:hAnsi="Arial"/>
          <w:sz w:val="18"/>
          <w:szCs w:val="18"/>
          <w:color w:val="auto"/>
        </w:rPr>
      </w:pPr>
    </w:p>
    <w:p>
      <w:pPr>
        <w:ind w:left="920" w:hanging="480"/>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2007 we began to focus our development efforts on single-wafer wet-cleaning solutions for the front-end chip fabrication process.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920" w:hanging="480"/>
        <w:spacing w:after="0" w:line="268"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2008 ACM Shanghai received an initial grant from local and central governmental authorities in the PRC. The grant relates to the development and commercialization of 65nm to 45nm stress-free polishing technology.</w:t>
      </w:r>
    </w:p>
    <w:p>
      <w:pPr>
        <w:spacing w:after="0" w:line="118"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2009 we introduced SAPS megasonic technology, which can be applied in wet wafer cleaning at numerous steps during the chip fabrication process.</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80" w:lineRule="exact"/>
        <w:rPr>
          <w:rFonts w:ascii="Arial" w:cs="Arial" w:eastAsia="Arial" w:hAnsi="Arial"/>
          <w:sz w:val="16"/>
          <w:szCs w:val="16"/>
          <w:color w:val="auto"/>
        </w:rPr>
      </w:pPr>
    </w:p>
    <w:p>
      <w:pPr>
        <w:ind w:left="920" w:hanging="480"/>
        <w:spacing w:after="0" w:line="268"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2014 ACM Shanghai received an additional grant from local and central governmental authorities in the PRC. The grant relates to the development of electro copper-plating technology.</w:t>
      </w:r>
    </w:p>
    <w:p>
      <w:pPr>
        <w:spacing w:after="0" w:line="118" w:lineRule="exact"/>
        <w:rPr>
          <w:rFonts w:ascii="Arial" w:cs="Arial" w:eastAsia="Arial" w:hAnsi="Arial"/>
          <w:sz w:val="18"/>
          <w:szCs w:val="18"/>
          <w:color w:val="auto"/>
        </w:rPr>
      </w:pPr>
    </w:p>
    <w:p>
      <w:pPr>
        <w:ind w:left="920" w:right="20" w:hanging="480"/>
        <w:spacing w:after="0" w:line="268"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March 2016 we introduced TEBO technology, which can be applied at numerous steps during the fabrication of small node conventional two-dimensional and three-dimensional patterned wafers.</w:t>
      </w:r>
    </w:p>
    <w:p>
      <w:pPr>
        <w:spacing w:after="0" w:line="118"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March and August 2017, we entered into agreements pursuant to which we will acquire all of the outstanding minority equity interests in ACM Shanghai by no later than December 31, 2017, as described below under “—Recent Equity Transactions—Acquisition of Outstanding Minority Interests in Our Operating Company.”</w:t>
      </w:r>
    </w:p>
    <w:p>
      <w:pPr>
        <w:spacing w:after="0" w:line="126"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26" w:lineRule="exact"/>
        <w:rPr>
          <w:rFonts w:ascii="Arial" w:cs="Arial" w:eastAsia="Arial" w:hAnsi="Arial"/>
          <w:sz w:val="18"/>
          <w:szCs w:val="18"/>
          <w:color w:val="auto"/>
        </w:rPr>
      </w:pPr>
    </w:p>
    <w:p>
      <w:pPr>
        <w:jc w:val="both"/>
        <w:ind w:left="920" w:hanging="480"/>
        <w:spacing w:after="0" w:line="306" w:lineRule="auto"/>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September 2017, ACM effectuated a 1-for-3 reverse stock split, or the Reverse Split, of Class A and Class B common stock. Unless otherwise indicated, all share numbers, per share amount, share prices, exercise prices and conversion rates set forth in those notes and the accompanying condensed consolidated financial statements have been adjusted retrospectively to reflect the Reverse Split.</w:t>
      </w:r>
    </w:p>
    <w:p>
      <w:pPr>
        <w:spacing w:after="0" w:line="93" w:lineRule="exact"/>
        <w:rPr>
          <w:rFonts w:ascii="Arial" w:cs="Arial" w:eastAsia="Arial" w:hAnsi="Arial"/>
          <w:sz w:val="16"/>
          <w:szCs w:val="16"/>
          <w:color w:val="auto"/>
        </w:rPr>
      </w:pPr>
    </w:p>
    <w:p>
      <w:pPr>
        <w:jc w:val="both"/>
        <w:ind w:left="920" w:hanging="480"/>
        <w:spacing w:after="0" w:line="25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November 2017 ACM issued 2,233,000 shares of Class A common stock and received net proceeds of $11,664,000 from our initial public offering, or the IPO, and concurrently ACM issued additional 1,333,334 shares of Class A common stock through a private placement for net proceeds of $7,053,000.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Equity Transactions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1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SMC is a PRC limited partnership owned by Jian Wang, our Vice President, Research and Development and the brother of our Chair of the Board, Chief Executive Officer and President, David H. Wang, and other employees of ACM Shanghai.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w:t>
      </w:r>
    </w:p>
    <w:p>
      <w:pPr>
        <w:spacing w:after="0" w:line="105" w:lineRule="exact"/>
        <w:rPr>
          <w:sz w:val="20"/>
          <w:szCs w:val="20"/>
          <w:color w:val="auto"/>
        </w:rPr>
      </w:pPr>
    </w:p>
    <w:p>
      <w:pPr>
        <w:ind w:left="880" w:hanging="332"/>
        <w:spacing w:after="0" w:line="332"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SMC does not exercise the warrant by May 17, 2023, ACM Shanghai will be obligated, subject to approval of PRC governmental authorities and ACM Shanghai’s equity holders, to deliver an equity interest of 3.6394% (subject to dilution) in satisfaction of the SMC Investment.</w:t>
      </w:r>
    </w:p>
    <w:p>
      <w:pPr>
        <w:spacing w:after="0" w:line="71" w:lineRule="exact"/>
        <w:rPr>
          <w:rFonts w:ascii="Arial" w:cs="Arial" w:eastAsia="Arial" w:hAnsi="Arial"/>
          <w:sz w:val="16"/>
          <w:szCs w:val="16"/>
          <w:color w:val="auto"/>
        </w:rPr>
      </w:pPr>
    </w:p>
    <w:p>
      <w:pPr>
        <w:jc w:val="both"/>
        <w:ind w:left="880" w:hanging="332"/>
        <w:spacing w:after="0" w:line="306"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SMC exercises the warrant or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w:t>
      </w:r>
    </w:p>
    <w:p>
      <w:pPr>
        <w:spacing w:after="0" w:line="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completion of IPO on November 2, 2017, we issued a five-year warrant to Roth Capital Partners, LLC, the Company's IPO underwriter, up to 80,000 shares ("Underwriter's Warrant) of the Company's Class A common stock at the exercise price of $6.16. The Underwriter's Warrant is immediately exercisable and expires on November 1,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Acquisition of Outstanding Minority Interests in Our Operating Company</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were reflected as “non-controlling interests” in our consolidated balance sheets and related notes. We took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99" w:lineRule="exact"/>
        <w:rPr>
          <w:sz w:val="20"/>
          <w:szCs w:val="20"/>
          <w:color w:val="auto"/>
        </w:rPr>
      </w:pPr>
    </w:p>
    <w:p>
      <w:pPr>
        <w:jc w:val="both"/>
        <w:ind w:left="980" w:hanging="486"/>
        <w:spacing w:after="0" w:line="25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has converted, upon the closing of the IPO, into 1,666,170 shares of Class A common stock, at an effective purchase price of $3.48 per share.</w:t>
      </w:r>
    </w:p>
    <w:p>
      <w:pPr>
        <w:spacing w:after="0" w:line="129" w:lineRule="exact"/>
        <w:rPr>
          <w:rFonts w:ascii="Arial" w:cs="Arial" w:eastAsia="Arial" w:hAnsi="Arial"/>
          <w:sz w:val="18"/>
          <w:szCs w:val="18"/>
          <w:color w:val="auto"/>
        </w:rPr>
      </w:pPr>
    </w:p>
    <w:p>
      <w:pPr>
        <w:jc w:val="both"/>
        <w:ind w:left="980" w:hanging="486"/>
        <w:spacing w:after="0" w:line="25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which we completed on November 8, 2017, and (b) issued to PST, on September 8, 2017, 1,119,576 shares of Class A common stock for a purchase price of $7.50 per share, representing an aggregate purchase price of $8.4 million.</w:t>
      </w:r>
    </w:p>
    <w:p>
      <w:pPr>
        <w:spacing w:after="0" w:line="129" w:lineRule="exact"/>
        <w:rPr>
          <w:rFonts w:ascii="Arial" w:cs="Arial" w:eastAsia="Arial" w:hAnsi="Arial"/>
          <w:sz w:val="18"/>
          <w:szCs w:val="18"/>
          <w:color w:val="auto"/>
        </w:rPr>
      </w:pPr>
    </w:p>
    <w:p>
      <w:pPr>
        <w:jc w:val="both"/>
        <w:ind w:left="980" w:hanging="486"/>
        <w:spacing w:after="0" w:line="25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which we completed on November 8, 2017, and (b) issued to ZJAJ, on September 8, 2017, 787,098 shares of Class A common stock for a purchase price of $7.50 per share, or an aggregate purchase price of $5.9 million.</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November 8, 2017, ACM Research has owned all of the outstanding equity interests in ACM Shanghai.</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Strategic Investment in Key Supplier</w:t>
      </w:r>
    </w:p>
    <w:p>
      <w:pPr>
        <w:spacing w:after="0" w:line="15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Ninebell Co., Ltd., or Ninebell, which is located in Seoul, Korea, is the principal supplier of robotic delivery system subassemblies used in our single-wafer cleaning equipment. On September 6, 2017 we and Ninebell entered into:</w:t>
      </w:r>
    </w:p>
    <w:p>
      <w:pPr>
        <w:spacing w:after="0" w:line="118" w:lineRule="exact"/>
        <w:rPr>
          <w:sz w:val="20"/>
          <w:szCs w:val="20"/>
          <w:color w:val="auto"/>
        </w:rPr>
      </w:pPr>
    </w:p>
    <w:p>
      <w:pPr>
        <w:ind w:left="1040" w:hanging="492"/>
        <w:spacing w:after="0" w:line="268"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spacing w:after="0" w:line="118" w:lineRule="exact"/>
        <w:rPr>
          <w:rFonts w:ascii="Arial" w:cs="Arial" w:eastAsia="Arial" w:hAnsi="Arial"/>
          <w:sz w:val="18"/>
          <w:szCs w:val="18"/>
          <w:color w:val="auto"/>
        </w:rPr>
      </w:pPr>
    </w:p>
    <w:p>
      <w:pPr>
        <w:ind w:left="1040" w:hanging="492"/>
        <w:spacing w:after="0" w:line="33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develop, manufacture and sell single-wafer wet cleaning equipment and custom-made wafer assembly and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left="500" w:firstLine="486"/>
        <w:spacing w:after="0" w:line="253" w:lineRule="auto"/>
        <w:rPr>
          <w:sz w:val="20"/>
          <w:szCs w:val="20"/>
          <w:color w:val="auto"/>
        </w:rPr>
      </w:pPr>
      <w:r>
        <w:rPr>
          <w:rFonts w:ascii="Arial" w:cs="Arial" w:eastAsia="Arial" w:hAnsi="Arial"/>
          <w:sz w:val="18"/>
          <w:szCs w:val="18"/>
          <w:i w:val="1"/>
          <w:iCs w:val="1"/>
          <w:color w:val="auto"/>
        </w:rPr>
        <w:t>Sales and Development</w:t>
      </w:r>
      <w:r>
        <w:rPr>
          <w:rFonts w:ascii="Arial" w:cs="Arial" w:eastAsia="Arial" w:hAnsi="Arial"/>
          <w:sz w:val="18"/>
          <w:szCs w:val="18"/>
          <w:color w:val="auto"/>
        </w:rPr>
        <w:t>. During the sale process we may, depending on a prospective customer’s specifications and requirements, need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134" w:lineRule="exact"/>
        <w:rPr>
          <w:sz w:val="20"/>
          <w:szCs w:val="20"/>
          <w:color w:val="auto"/>
        </w:rPr>
      </w:pPr>
    </w:p>
    <w:p>
      <w:pPr>
        <w:jc w:val="both"/>
        <w:ind w:left="500" w:firstLine="486"/>
        <w:spacing w:after="0" w:line="291" w:lineRule="auto"/>
        <w:rPr>
          <w:sz w:val="20"/>
          <w:szCs w:val="20"/>
          <w:color w:val="auto"/>
        </w:rPr>
      </w:pPr>
      <w:r>
        <w:rPr>
          <w:rFonts w:ascii="Arial" w:cs="Arial" w:eastAsia="Arial" w:hAnsi="Arial"/>
          <w:sz w:val="16"/>
          <w:szCs w:val="16"/>
          <w:i w:val="1"/>
          <w:iCs w:val="1"/>
          <w:color w:val="auto"/>
        </w:rPr>
        <w:t>Evaluation Periods</w:t>
      </w:r>
      <w:r>
        <w:rPr>
          <w:rFonts w:ascii="Arial" w:cs="Arial" w:eastAsia="Arial" w:hAnsi="Arial"/>
          <w:sz w:val="16"/>
          <w:szCs w:val="16"/>
          <w:color w:val="auto"/>
        </w:rPr>
        <w:t>. When a chip manufacturer proposes to purchase a particular type of tool from us for the first time, we offer the manufacturer an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107" w:lineRule="exact"/>
        <w:rPr>
          <w:sz w:val="20"/>
          <w:szCs w:val="20"/>
          <w:color w:val="auto"/>
        </w:rPr>
      </w:pPr>
    </w:p>
    <w:p>
      <w:pPr>
        <w:jc w:val="both"/>
        <w:ind w:left="500" w:firstLine="486"/>
        <w:spacing w:after="0" w:line="254" w:lineRule="auto"/>
        <w:rPr>
          <w:sz w:val="20"/>
          <w:szCs w:val="20"/>
          <w:color w:val="auto"/>
        </w:rPr>
      </w:pPr>
      <w:r>
        <w:rPr>
          <w:rFonts w:ascii="Arial" w:cs="Arial" w:eastAsia="Arial" w:hAnsi="Arial"/>
          <w:sz w:val="18"/>
          <w:szCs w:val="18"/>
          <w:i w:val="1"/>
          <w:iCs w:val="1"/>
          <w:color w:val="auto"/>
        </w:rPr>
        <w:t>Purchase Orders</w:t>
      </w:r>
      <w:r>
        <w:rPr>
          <w:rFonts w:ascii="Arial" w:cs="Arial" w:eastAsia="Arial" w:hAnsi="Arial"/>
          <w:sz w:val="18"/>
          <w:szCs w:val="18"/>
          <w:color w:val="auto"/>
        </w:rPr>
        <w:t>. In accordance with industry practice, sales of our tools are made pursuant to purchase orders. Each purchase order from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131" w:lineRule="exact"/>
        <w:rPr>
          <w:sz w:val="20"/>
          <w:szCs w:val="20"/>
          <w:color w:val="auto"/>
        </w:rPr>
      </w:pPr>
    </w:p>
    <w:p>
      <w:pPr>
        <w:jc w:val="both"/>
        <w:ind w:left="500" w:firstLine="486"/>
        <w:spacing w:after="0" w:line="256" w:lineRule="auto"/>
        <w:rPr>
          <w:sz w:val="20"/>
          <w:szCs w:val="20"/>
          <w:color w:val="auto"/>
        </w:rPr>
      </w:pPr>
      <w:r>
        <w:rPr>
          <w:rFonts w:ascii="Arial" w:cs="Arial" w:eastAsia="Arial" w:hAnsi="Arial"/>
          <w:sz w:val="18"/>
          <w:szCs w:val="18"/>
          <w:i w:val="1"/>
          <w:iCs w:val="1"/>
          <w:color w:val="auto"/>
        </w:rPr>
        <w:t>Fulfillment</w:t>
      </w:r>
      <w:r>
        <w:rPr>
          <w:rFonts w:ascii="Arial" w:cs="Arial" w:eastAsia="Arial" w:hAnsi="Arial"/>
          <w:sz w:val="18"/>
          <w:szCs w:val="18"/>
          <w:color w:val="auto"/>
        </w:rPr>
        <w:t>. We seek to obtain a purchase order for a tool from three to four months in advance of the expected delivery date. Depending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expect our sales prices generally to range between $2.5 million and $5.0 million for SAPs tools and between $3.5 million and $6.5 million for TEBO tools. The sales price of a particular tool will vary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29"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99"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Since introducing SAPS technology in 2009, we have focused on selling SAPS-based tools and, beginning in 2016, TEBO-based tools. Our revenue from sales of single-wafer wet cleaning equipment totaled $27.1 million, or 74.2% of our revenue, in 2017 and $21.5 million, or 78.4% of our revenue, in 2016.</w:t>
      </w:r>
    </w:p>
    <w:p>
      <w:pPr>
        <w:spacing w:after="0" w:line="7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2017, 55.2% of our revenue was derived from four customers: SK Hynix Inc., a leading Korean memory chip company that accounted for 18.1% of our revenue; Shanghai Huali Integrated Circuit Research and Development Center Ltd., a public research consortia for the Chinese semiconductor industry that accounted for 14.1% of our revenue; JiangYin ChangDian Advanced Packaging Co. Ltd., a leading PRC foundry that accounted for 12.8% of our revenue; and Yangtze Memory Technologies Co., Ltd., a leading PRC memory chip company that, together with one of its subsidiaries, accounted for 10.2% of our revenue. In 2016 99.3% of our revenue was derived from four customers: Shanghai Huali Microelectronics Corporation, which accounted for 33.7% of our revenue; Semiconductor Manufacturing International Corporation, a leading PRC foundry that accounted for 25.0% of our revenue; SK Hynix Inc., which accounted for 24.0% of our revenue; and JiangYin ChangDian Advanced Packaging Co. Ltd., a leading PRC foundry that accounted for 16.6% of our revenue.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05"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All of our sales in 2016 and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72"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We utilize the guidance set forth in the FASB’s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 as described below under “—Critical Accounting Policies and Significant Judgments and Estimates—Revenue Recognition.”</w:t>
      </w:r>
    </w:p>
    <w:p>
      <w:pPr>
        <w:spacing w:after="0" w:line="9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2016 and 2017, we received payments for parts and labor for service activities provided from time to time, but as of December 31, 2017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0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Cost of revenue for capital equipment consists primarily of:</w:t>
      </w:r>
    </w:p>
    <w:p>
      <w:pPr>
        <w:spacing w:after="0" w:line="158" w:lineRule="exact"/>
        <w:rPr>
          <w:sz w:val="20"/>
          <w:szCs w:val="20"/>
          <w:color w:val="auto"/>
        </w:rPr>
      </w:pPr>
    </w:p>
    <w:p>
      <w:pPr>
        <w:ind w:left="920" w:hanging="48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 costs, which consist principally of costs of tool components and subassemblies purchased from third-party vendors;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compensation of personnel associated with our manufacturing operations, including stock-based compensation;</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depreciation of manufacturing equipment;</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amortization of costs of software used for manufacturing purposes;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expenses attributable to our manufacturing department;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We are not party to any long-term purchasing agreements with suppliers. Please see “Item 1A. Risk Factors—Risks Related to Our Business and Our Industry—Our customers do not enter into long-term purchase commitments, and they may decrease, cancel or delay their projected purchases at any time.”</w:t>
      </w:r>
    </w:p>
    <w:p>
      <w:pPr>
        <w:spacing w:after="0" w:line="72"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gross margin was 47.2% in 2017 and 48.7% in 2016.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 The higher margin in 2016 and 2017 were primarily due to two systems manufactured under governmental subsidies (see “—PRC Government Research and Development Funding” below), which were sold for $1.8 million and $3.7 million in 2016. Costs associated with these systems were recorded as research and development expenses as these systems were research and development in nature and had not reached the final product manufacture stage. The related research and development expense was recorded as reduction of our research and development expense as incurred.</w:t>
      </w:r>
    </w:p>
    <w:p>
      <w:pPr>
        <w:spacing w:after="0" w:line="172"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99"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A significant portion of our raw materials are denominated in Renminbi, or RMB, while the majority of our purchase orders are denominated in U.S. dollars. As a result, currency exchange rates may have a significant effect on our gross margin. For further information, please see “Exchange Rate Information.”</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Sales and Marketing</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Sales and marketing expense accounted for 15.1% of our revenue in 2017 and 14.3% of our revenue in 2016. Sales and marketing expense consists primarily of:</w:t>
      </w:r>
    </w:p>
    <w:p>
      <w:pPr>
        <w:spacing w:after="0" w:line="118" w:lineRule="exact"/>
        <w:rPr>
          <w:sz w:val="20"/>
          <w:szCs w:val="20"/>
          <w:color w:val="auto"/>
        </w:rPr>
      </w:pPr>
    </w:p>
    <w:p>
      <w:pPr>
        <w:ind w:left="920" w:hanging="480"/>
        <w:spacing w:after="0"/>
        <w:tabs>
          <w:tab w:leader="none" w:pos="9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192" w:lineRule="exact"/>
        <w:rPr>
          <w:rFonts w:ascii="Arial" w:cs="Arial" w:eastAsia="Arial" w:hAnsi="Arial"/>
          <w:sz w:val="15"/>
          <w:szCs w:val="15"/>
          <w:color w:val="auto"/>
        </w:rPr>
      </w:pPr>
    </w:p>
    <w:p>
      <w:pPr>
        <w:ind w:left="920" w:hanging="48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72"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93"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accounted for 14.1% of our revenue in 2017 and 11.9% of our revenue in 2016. Research and development expense relates to the development of new products and processes and encompasses our research, development and customer support activities. Research and development expense consists primarily of:</w:t>
      </w:r>
    </w:p>
    <w:p>
      <w:pPr>
        <w:spacing w:after="0" w:line="127" w:lineRule="exact"/>
        <w:rPr>
          <w:sz w:val="20"/>
          <w:szCs w:val="20"/>
          <w:color w:val="auto"/>
        </w:rPr>
      </w:pPr>
    </w:p>
    <w:p>
      <w:pPr>
        <w:ind w:left="920" w:hanging="480"/>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stock-based compensation;</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Some of our research and development has been funded by grants from the PRC government, as described in “—PRC Government Research and Development Funding” below.</w:t>
      </w:r>
    </w:p>
    <w:p>
      <w:pPr>
        <w:spacing w:after="0" w:line="1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General and administrative expense accounted for 16.1% of our revenue in 2017 and 9.8% of our revenue in 2016. General and administrative expense consists primarily of:</w:t>
      </w:r>
    </w:p>
    <w:p>
      <w:pPr>
        <w:spacing w:after="0" w:line="118" w:lineRule="exact"/>
        <w:rPr>
          <w:sz w:val="20"/>
          <w:szCs w:val="20"/>
          <w:color w:val="auto"/>
        </w:rPr>
      </w:pPr>
    </w:p>
    <w:p>
      <w:pPr>
        <w:ind w:left="920" w:hanging="480"/>
        <w:spacing w:after="0" w:line="268"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157" w:lineRule="exact"/>
        <w:rPr>
          <w:rFonts w:ascii="Arial" w:cs="Arial" w:eastAsia="Arial" w:hAnsi="Arial"/>
          <w:sz w:val="18"/>
          <w:szCs w:val="18"/>
          <w:color w:val="auto"/>
        </w:rPr>
      </w:pPr>
    </w:p>
    <w:p>
      <w:pPr>
        <w:ind w:left="920" w:hanging="480"/>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We expect that, for the foreseeable future, general and administrative expense will increase in absolute dollars, as we incur additional costs associated with growing our business and operating as a public company.</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ASC Subtopic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each as adopted by the Financial Accounting Standards Board, or FASB.</w:t>
      </w:r>
    </w:p>
    <w:p>
      <w:pPr>
        <w:spacing w:after="0" w:line="127" w:lineRule="exact"/>
        <w:rPr>
          <w:sz w:val="20"/>
          <w:szCs w:val="20"/>
          <w:color w:val="auto"/>
        </w:rPr>
      </w:pPr>
    </w:p>
    <w:p>
      <w:pPr>
        <w:ind w:left="920" w:hanging="480"/>
        <w:spacing w:after="0"/>
        <w:tabs>
          <w:tab w:leader="none" w:pos="9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8" w:lineRule="exact"/>
        <w:rPr>
          <w:rFonts w:ascii="Arial" w:cs="Arial" w:eastAsia="Arial" w:hAnsi="Arial"/>
          <w:sz w:val="16"/>
          <w:szCs w:val="16"/>
          <w:color w:val="auto"/>
        </w:rPr>
      </w:pPr>
    </w:p>
    <w:p>
      <w:pPr>
        <w:jc w:val="both"/>
        <w:ind w:left="920" w:right="20"/>
        <w:spacing w:after="0" w:line="302" w:lineRule="auto"/>
        <w:rPr>
          <w:rFonts w:ascii="Arial" w:cs="Arial" w:eastAsia="Arial" w:hAnsi="Arial"/>
          <w:sz w:val="16"/>
          <w:szCs w:val="16"/>
          <w:color w:val="auto"/>
        </w:rPr>
      </w:pPr>
      <w:r>
        <w:rPr>
          <w:rFonts w:ascii="Arial" w:cs="Arial" w:eastAsia="Arial" w:hAnsi="Arial"/>
          <w:sz w:val="16"/>
          <w:szCs w:val="16"/>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95" w:lineRule="exact"/>
        <w:rPr>
          <w:rFonts w:ascii="Arial" w:cs="Arial" w:eastAsia="Arial" w:hAnsi="Arial"/>
          <w:sz w:val="16"/>
          <w:szCs w:val="16"/>
          <w:color w:val="auto"/>
        </w:rPr>
      </w:pPr>
    </w:p>
    <w:p>
      <w:pPr>
        <w:jc w:val="both"/>
        <w:ind w:left="920" w:hanging="480"/>
        <w:spacing w:after="0" w:line="298" w:lineRule="auto"/>
        <w:tabs>
          <w:tab w:leader="none" w:pos="9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Cost of revenue and operating expenses during the periods presented below have included stock-based compensation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42"/>
        </w:trPr>
        <w:tc>
          <w:tcPr>
            <w:tcW w:w="8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40" w:type="dxa"/>
            <w:vAlign w:val="bottom"/>
            <w:gridSpan w:val="3"/>
          </w:tcPr>
          <w:p>
            <w:pPr>
              <w:jc w:val="right"/>
              <w:ind w:right="306"/>
              <w:spacing w:after="0"/>
              <w:rPr>
                <w:sz w:val="20"/>
                <w:szCs w:val="20"/>
                <w:color w:val="auto"/>
              </w:rPr>
            </w:pPr>
            <w:r>
              <w:rPr>
                <w:rFonts w:ascii="Arial" w:cs="Arial" w:eastAsia="Arial" w:hAnsi="Arial"/>
                <w:sz w:val="18"/>
                <w:szCs w:val="18"/>
                <w:i w:val="1"/>
                <w:iCs w:val="1"/>
                <w:color w:val="auto"/>
                <w:w w:val="91"/>
              </w:rPr>
              <w:t>(in thousands)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w:t>
            </w: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680" w:type="dxa"/>
            <w:vAlign w:val="bottom"/>
          </w:tcPr>
          <w:p>
            <w:pPr>
              <w:jc w:val="right"/>
              <w:ind w:right="49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58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Research and development expense</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6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1,499</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680" w:type="dxa"/>
            <w:vAlign w:val="bottom"/>
          </w:tcPr>
          <w:p>
            <w:pPr>
              <w:jc w:val="right"/>
              <w:ind w:right="49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1,623</w:t>
            </w:r>
          </w:p>
        </w:tc>
        <w:tc>
          <w:tcPr>
            <w:tcW w:w="1020" w:type="dxa"/>
            <w:vAlign w:val="bottom"/>
            <w:gridSpan w:val="2"/>
          </w:tcPr>
          <w:p>
            <w:pPr>
              <w:jc w:val="right"/>
              <w:ind w:right="58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recognized stock-based compensation expense to employees of $271,000 in 2017 and $92,000 in 2016. As of December 31, 2017 and 2016, there was $729,000 and $726,000 of total unrecognized employee share-based compensation expense, net of estimated forfeitures, related to unvested share-based awards, which are expected to be recognized over a weighted-average period of 1.72 years and 2.25 years, respectively.</w:t>
      </w:r>
    </w:p>
    <w:p>
      <w:pPr>
        <w:spacing w:after="0" w:line="9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recognized stock-based compensation expense to non-employees of $1.4 million in 2017 and $291,000 in 2016. The fair value of each option granted to a non-employee is re-measured at each period end until the vesting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PRC Government Research and Development Funding</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9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27" w:lineRule="exact"/>
        <w:rPr>
          <w:sz w:val="20"/>
          <w:szCs w:val="20"/>
          <w:color w:val="auto"/>
        </w:rPr>
      </w:pPr>
    </w:p>
    <w:p>
      <w:pPr>
        <w:ind w:left="920" w:hanging="480"/>
        <w:spacing w:after="0" w:line="268"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$3.4 million in 2017 and $6.2 million in 2016.</w:t>
      </w:r>
    </w:p>
    <w:p>
      <w:pPr>
        <w:spacing w:after="0" w:line="118"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subsidies for interest on short-term borrowings are reported as reductions of interest expense in the periods the interest is accrued. Those reductions totaled $0 in 2017 and $99,000 in 2016.</w:t>
      </w:r>
    </w:p>
    <w:p>
      <w:pPr>
        <w:spacing w:after="0" w:line="185" w:lineRule="exact"/>
        <w:rPr>
          <w:rFonts w:ascii="Arial" w:cs="Arial" w:eastAsia="Arial" w:hAnsi="Arial"/>
          <w:sz w:val="18"/>
          <w:szCs w:val="18"/>
          <w:color w:val="auto"/>
        </w:rPr>
      </w:pPr>
    </w:p>
    <w:p>
      <w:pPr>
        <w:jc w:val="both"/>
        <w:ind w:left="920" w:hanging="480"/>
        <w:spacing w:after="0" w:line="25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$135,000 in 2017 and $127,000 in 2016.</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Since 2006 we have conducted our business through our subsidiary ACM Shanghai, and we have financed our operations in part through sale of minority equity interests in ACM Shanghai. From January 1, 2015 to August 31, 2017, ACM Research owned 62.87% of the equity interests of ACM Shanghai and three non-controlling, unrelated investors held the remaining 37.13%. As described above under “—Recent Equity Transactions—Acquisition of Outstanding Minority Interests in Our Operating Company,” ACM Research (a) acquired an additional 18.77% equity interest from one of the minority investors as of August 31, 2017 and (b) acquired the remaining non-controlling interests with the other two minority investors on November 8, 2017.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present information below with respect to three measures of financial performance:</w:t>
      </w:r>
    </w:p>
    <w:p>
      <w:pPr>
        <w:spacing w:after="0" w:line="158" w:lineRule="exact"/>
        <w:rPr>
          <w:sz w:val="20"/>
          <w:szCs w:val="20"/>
          <w:color w:val="auto"/>
        </w:rPr>
      </w:pPr>
    </w:p>
    <w:p>
      <w:pPr>
        <w:ind w:left="920" w:hanging="480"/>
        <w:spacing w:after="0" w:line="332" w:lineRule="auto"/>
        <w:tabs>
          <w:tab w:leader="none" w:pos="9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71" w:lineRule="exact"/>
        <w:rPr>
          <w:rFonts w:ascii="Arial" w:cs="Arial" w:eastAsia="Arial" w:hAnsi="Arial"/>
          <w:sz w:val="16"/>
          <w:szCs w:val="16"/>
          <w:color w:val="auto"/>
        </w:rPr>
      </w:pPr>
    </w:p>
    <w:p>
      <w:pPr>
        <w:ind w:left="920" w:hanging="480"/>
        <w:spacing w:after="0" w:line="268"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1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127" w:lineRule="exact"/>
        <w:rPr>
          <w:sz w:val="20"/>
          <w:szCs w:val="20"/>
          <w:color w:val="auto"/>
        </w:rPr>
      </w:pPr>
    </w:p>
    <w:p>
      <w:pPr>
        <w:ind w:left="920" w:right="20" w:hanging="480"/>
        <w:spacing w:after="0" w:line="268"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18" w:lineRule="exact"/>
        <w:rPr>
          <w:rFonts w:ascii="Arial" w:cs="Arial" w:eastAsia="Arial" w:hAnsi="Arial"/>
          <w:sz w:val="18"/>
          <w:szCs w:val="18"/>
          <w:color w:val="auto"/>
        </w:rPr>
      </w:pPr>
    </w:p>
    <w:p>
      <w:pPr>
        <w:jc w:val="both"/>
        <w:ind w:left="920" w:hanging="480"/>
        <w:spacing w:after="0" w:line="286" w:lineRule="auto"/>
        <w:tabs>
          <w:tab w:leader="none" w:pos="9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w:t>
      </w:r>
    </w:p>
    <w:p>
      <w:pPr>
        <w:ind w:left="920" w:firstLine="6"/>
        <w:spacing w:after="0" w:line="261" w:lineRule="auto"/>
        <w:tabs>
          <w:tab w:leader="none" w:pos="1187"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we did not pay out a portion of our compensation in the form of stock-based compensation, the cash salary expense included in operating expenses would be higher, which would affect our cash position;</w:t>
      </w:r>
    </w:p>
    <w:p>
      <w:pPr>
        <w:spacing w:after="0" w:line="124" w:lineRule="exact"/>
        <w:rPr>
          <w:rFonts w:ascii="Arial" w:cs="Arial" w:eastAsia="Arial" w:hAnsi="Arial"/>
          <w:sz w:val="18"/>
          <w:szCs w:val="18"/>
          <w:color w:val="auto"/>
        </w:rPr>
      </w:pPr>
    </w:p>
    <w:p>
      <w:pPr>
        <w:ind w:left="940" w:right="20" w:hanging="486"/>
        <w:spacing w:after="0" w:line="268" w:lineRule="auto"/>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18" w:lineRule="exact"/>
        <w:rPr>
          <w:rFonts w:ascii="Arial" w:cs="Arial" w:eastAsia="Arial" w:hAnsi="Arial"/>
          <w:sz w:val="18"/>
          <w:szCs w:val="18"/>
          <w:color w:val="auto"/>
        </w:rPr>
      </w:pPr>
    </w:p>
    <w:p>
      <w:pPr>
        <w:ind w:left="940" w:hanging="486"/>
        <w:spacing w:after="0"/>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157" w:lineRule="exact"/>
        <w:rPr>
          <w:rFonts w:ascii="Arial" w:cs="Arial" w:eastAsia="Arial" w:hAnsi="Arial"/>
          <w:sz w:val="18"/>
          <w:szCs w:val="18"/>
          <w:color w:val="auto"/>
        </w:rPr>
      </w:pPr>
    </w:p>
    <w:p>
      <w:pPr>
        <w:ind w:left="940" w:hanging="486"/>
        <w:spacing w:after="0"/>
        <w:tabs>
          <w:tab w:leader="none" w:pos="9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requirements necessary to service interest or principal payments on debt;</w:t>
      </w:r>
    </w:p>
    <w:p>
      <w:pPr>
        <w:spacing w:after="0" w:line="180" w:lineRule="exact"/>
        <w:rPr>
          <w:rFonts w:ascii="Arial" w:cs="Arial" w:eastAsia="Arial" w:hAnsi="Arial"/>
          <w:sz w:val="16"/>
          <w:szCs w:val="16"/>
          <w:color w:val="auto"/>
        </w:rPr>
      </w:pPr>
    </w:p>
    <w:p>
      <w:pPr>
        <w:ind w:left="940" w:hanging="486"/>
        <w:spacing w:after="0"/>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157" w:lineRule="exact"/>
        <w:rPr>
          <w:rFonts w:ascii="Arial" w:cs="Arial" w:eastAsia="Arial" w:hAnsi="Arial"/>
          <w:sz w:val="18"/>
          <w:szCs w:val="18"/>
          <w:color w:val="auto"/>
        </w:rPr>
      </w:pPr>
    </w:p>
    <w:p>
      <w:pPr>
        <w:ind w:left="940" w:hanging="486"/>
        <w:spacing w:after="0"/>
        <w:tabs>
          <w:tab w:leader="none" w:pos="9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80" w:lineRule="exact"/>
        <w:rPr>
          <w:rFonts w:ascii="Arial" w:cs="Arial" w:eastAsia="Arial" w:hAnsi="Arial"/>
          <w:sz w:val="16"/>
          <w:szCs w:val="16"/>
          <w:color w:val="auto"/>
        </w:rPr>
      </w:pPr>
    </w:p>
    <w:p>
      <w:pPr>
        <w:ind w:left="940" w:hanging="486"/>
        <w:spacing w:after="0" w:line="268" w:lineRule="auto"/>
        <w:tabs>
          <w:tab w:leader="none" w:pos="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118" w:lineRule="exact"/>
        <w:rPr>
          <w:rFonts w:ascii="Arial" w:cs="Arial" w:eastAsia="Arial" w:hAnsi="Arial"/>
          <w:sz w:val="18"/>
          <w:szCs w:val="18"/>
          <w:color w:val="auto"/>
        </w:rPr>
      </w:pPr>
    </w:p>
    <w:p>
      <w:pPr>
        <w:jc w:val="both"/>
        <w:ind w:left="940" w:hanging="486"/>
        <w:spacing w:after="0" w:line="306" w:lineRule="auto"/>
        <w:tabs>
          <w:tab w:leader="none" w:pos="9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gridSpan w:val="3"/>
          </w:tcPr>
          <w:p>
            <w:pPr>
              <w:jc w:val="right"/>
              <w:ind w:right="244"/>
              <w:spacing w:after="0"/>
              <w:rPr>
                <w:sz w:val="20"/>
                <w:szCs w:val="20"/>
                <w:color w:val="auto"/>
              </w:rPr>
            </w:pPr>
            <w:r>
              <w:rPr>
                <w:rFonts w:ascii="Arial" w:cs="Arial" w:eastAsia="Arial" w:hAnsi="Arial"/>
                <w:sz w:val="18"/>
                <w:szCs w:val="18"/>
                <w:i w:val="1"/>
                <w:iCs w:val="1"/>
                <w:color w:val="auto"/>
                <w:w w:val="89"/>
              </w:rPr>
              <w:t>(in thousands)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2,387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1,622</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1,836</w:t>
            </w: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3,717</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Adjusted EBITDA in 2017, as compared with 2016, reflected a decrease of $3.3 million in net income offset by an increase of $1.2 million in stock-based compensation.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83"/>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(8,101)</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net of proceeds from disposals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(8,867)</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Free cash flow in 2017, as compared with 2016, reflected, in addition to the factors driving net cash used by operating activities, (a) increases in accounts receivable offset by increases in accounts payable and (b) increases in stock-based compensation. Consistent with our methodology for calculating adjusted EBITDA, we do not adjust free cash flow for the effects of PRC government subsidies, because we take those subsidies into account in incurring expenses and capital expenditures.</w:t>
      </w:r>
    </w:p>
    <w:p>
      <w:pPr>
        <w:spacing w:after="0" w:line="130" w:lineRule="exact"/>
        <w:rPr>
          <w:sz w:val="20"/>
          <w:szCs w:val="20"/>
          <w:color w:val="auto"/>
        </w:rPr>
      </w:pPr>
    </w:p>
    <w:p>
      <w:pPr>
        <w:jc w:val="both"/>
        <w:ind w:firstLine="486"/>
        <w:spacing w:after="0" w:line="309"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which would affect our cash position. The following tables reflect the exclusion of stock-based compensation from line items comprising income (loss) from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5"/>
                <w:szCs w:val="15"/>
                <w:b w:val="1"/>
                <w:bCs w:val="1"/>
                <w:color w:val="auto"/>
                <w:w w:val="95"/>
              </w:rPr>
              <w:t>Year Ended 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2016</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Actual</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3"/>
              </w:rPr>
              <w:t>Adjusted</w:t>
            </w:r>
          </w:p>
        </w:tc>
        <w:tc>
          <w:tcPr>
            <w:tcW w:w="160" w:type="dxa"/>
            <w:vAlign w:val="bottom"/>
          </w:tcPr>
          <w:p>
            <w:pPr>
              <w:spacing w:after="0"/>
              <w:rPr>
                <w:sz w:val="22"/>
                <w:szCs w:val="2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Actual</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3"/>
              </w:rPr>
              <w:t>Adjusted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(19,281)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(19,260)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(14,042)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(5,088)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(3,259)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3,490</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20" w:firstLine="486"/>
        <w:spacing w:after="0" w:line="422" w:lineRule="auto"/>
        <w:rPr>
          <w:sz w:val="20"/>
          <w:szCs w:val="20"/>
          <w:color w:val="auto"/>
        </w:rPr>
      </w:pPr>
      <w:r>
        <w:rPr>
          <w:rFonts w:ascii="Arial" w:cs="Arial" w:eastAsia="Arial" w:hAnsi="Arial"/>
          <w:sz w:val="18"/>
          <w:szCs w:val="18"/>
          <w:color w:val="auto"/>
        </w:rPr>
        <w:t xml:space="preserve">Adjusted operating loss in 2017, as compared with 2016, reflected an increase of $1.2 million in stock-based compensation expense. </w:t>
      </w:r>
      <w:r>
        <w:rPr>
          <w:rFonts w:ascii="Arial" w:cs="Arial" w:eastAsia="Arial" w:hAnsi="Arial"/>
          <w:sz w:val="18"/>
          <w:szCs w:val="18"/>
          <w:b w:val="1"/>
          <w:bCs w:val="1"/>
          <w:color w:val="auto"/>
        </w:rPr>
        <w:t>Critical Accounting Policies and Significant Judgments and Estimates</w:t>
      </w:r>
    </w:p>
    <w:p>
      <w:pPr>
        <w:spacing w:after="0" w:line="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 xml:space="preserve">We utilize the guidance set forth in the FASB’s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9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130" w:lineRule="exact"/>
        <w:rPr>
          <w:sz w:val="20"/>
          <w:szCs w:val="20"/>
          <w:color w:val="auto"/>
        </w:rPr>
      </w:pPr>
    </w:p>
    <w:p>
      <w:pPr>
        <w:ind w:left="920" w:hanging="480"/>
        <w:spacing w:after="0" w:line="268"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type of tool with the same specifications and when we can objectively demonstrate that the tool meets all of the required acceptance criteria;</w:t>
      </w:r>
    </w:p>
    <w:p>
      <w:pPr>
        <w:spacing w:after="0" w:line="118" w:lineRule="exact"/>
        <w:rPr>
          <w:rFonts w:ascii="Arial" w:cs="Arial" w:eastAsia="Arial" w:hAnsi="Arial"/>
          <w:sz w:val="18"/>
          <w:szCs w:val="18"/>
          <w:color w:val="auto"/>
        </w:rPr>
      </w:pPr>
    </w:p>
    <w:p>
      <w:pPr>
        <w:ind w:left="920" w:hanging="480"/>
        <w:spacing w:after="0" w:line="268"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 the sales contract or purchase order does not contain an acceptance agreement or a lapsing acceptance provision and when we can objectively demonstrate that the tool meets all of the required acceptance criteria;</w:t>
      </w:r>
    </w:p>
    <w:p>
      <w:pPr>
        <w:spacing w:after="0" w:line="118" w:lineRule="exact"/>
        <w:rPr>
          <w:rFonts w:ascii="Arial" w:cs="Arial" w:eastAsia="Arial" w:hAnsi="Arial"/>
          <w:sz w:val="18"/>
          <w:szCs w:val="18"/>
          <w:color w:val="auto"/>
        </w:rPr>
      </w:pPr>
    </w:p>
    <w:p>
      <w:pPr>
        <w:ind w:left="920" w:right="20" w:hanging="480"/>
        <w:spacing w:after="0" w:line="268"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18" w:lineRule="exact"/>
        <w:rPr>
          <w:rFonts w:ascii="Arial" w:cs="Arial" w:eastAsia="Arial" w:hAnsi="Arial"/>
          <w:sz w:val="18"/>
          <w:szCs w:val="18"/>
          <w:color w:val="auto"/>
        </w:rPr>
      </w:pPr>
    </w:p>
    <w:p>
      <w:pPr>
        <w:ind w:left="920" w:hanging="480"/>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 our sales arrangements do not include a general right of return.</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In 2017 and 2016 all of our tools were sold in stand-alone arrangements.</w:t>
      </w:r>
    </w:p>
    <w:p>
      <w:pPr>
        <w:spacing w:after="0" w:line="99"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197" w:lineRule="exact"/>
        <w:rPr>
          <w:sz w:val="20"/>
          <w:szCs w:val="20"/>
          <w:color w:val="auto"/>
        </w:rPr>
      </w:pPr>
    </w:p>
    <w:p>
      <w:pPr>
        <w:jc w:val="both"/>
        <w:ind w:left="980" w:hanging="486"/>
        <w:spacing w:after="0" w:line="290"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Prior to the IPO in November 2017, the board of directors considered a number of objective and subjective factors to determine the best estimate of the fair value of our common stock. The factors included: contemporaneous third-party valuations of our common stock; the prices, rights, preferences and privileges of our preferred stock relative to the common stock; the prices of convertible preferred stock sold by us to third-party investors; our operating and financial results; the lack of marketability of our common stock; the U.S. and global economic and capital market conditions and outlook; and the likelihood of achieving a liquidity event for the shares of common stock underlying these stock options, such as an initial public offering or sale of our company, given prevailing market conditions. Since the IPO, we have used the market closing price for the Class A common stock as reported on the Nasdaq Global Market to determine the fair value of the Class A common stock.</w:t>
      </w:r>
    </w:p>
    <w:p>
      <w:pPr>
        <w:spacing w:after="0" w:line="104" w:lineRule="exact"/>
        <w:rPr>
          <w:rFonts w:ascii="Arial" w:cs="Arial" w:eastAsia="Arial" w:hAnsi="Arial"/>
          <w:sz w:val="16"/>
          <w:szCs w:val="16"/>
          <w:color w:val="auto"/>
        </w:rPr>
      </w:pPr>
    </w:p>
    <w:p>
      <w:pPr>
        <w:ind w:left="980" w:hanging="486"/>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risk-free interest rates for periods within the expected life of the option are based on the yields of zero-coupon U.S. Treasury securities.</w:t>
      </w:r>
    </w:p>
    <w:p>
      <w:pPr>
        <w:spacing w:after="0" w:line="180" w:lineRule="exact"/>
        <w:rPr>
          <w:rFonts w:ascii="Arial" w:cs="Arial" w:eastAsia="Arial" w:hAnsi="Arial"/>
          <w:sz w:val="16"/>
          <w:szCs w:val="16"/>
          <w:color w:val="auto"/>
        </w:rPr>
      </w:pPr>
    </w:p>
    <w:p>
      <w:pPr>
        <w:jc w:val="both"/>
        <w:ind w:left="980" w:hanging="486"/>
        <w:spacing w:after="0" w:line="291"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106" w:lineRule="exact"/>
        <w:rPr>
          <w:rFonts w:ascii="Arial" w:cs="Arial" w:eastAsia="Arial" w:hAnsi="Arial"/>
          <w:sz w:val="16"/>
          <w:szCs w:val="16"/>
          <w:color w:val="auto"/>
        </w:rPr>
      </w:pPr>
    </w:p>
    <w:p>
      <w:pPr>
        <w:ind w:left="980" w:hanging="486"/>
        <w:spacing w:after="0" w:line="332"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71"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expected dividend yield is assumed to be 0%, based on the fact that we have never paid cash dividends and have no present intention to pay cash dividends.</w:t>
      </w:r>
    </w:p>
    <w:p>
      <w:pPr>
        <w:spacing w:after="0" w:line="11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For employee stock option grants made during the years ended December 31, 2017 and 2016, the weighted-average assumptions used in the Black-Scholes option pricing model to determine the fair value of those grants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726"/>
              <w:spacing w:after="0"/>
              <w:rPr>
                <w:sz w:val="20"/>
                <w:szCs w:val="20"/>
                <w:color w:val="auto"/>
              </w:rPr>
            </w:pPr>
            <w:r>
              <w:rPr>
                <w:rFonts w:ascii="Arial" w:cs="Arial" w:eastAsia="Arial" w:hAnsi="Arial"/>
                <w:sz w:val="15"/>
                <w:szCs w:val="15"/>
                <w:b w:val="1"/>
                <w:bCs w:val="1"/>
                <w:color w:val="auto"/>
              </w:rPr>
              <w:t>Year Ended December 31,</w:t>
            </w:r>
          </w:p>
        </w:tc>
      </w:tr>
      <w:tr>
        <w:trPr>
          <w:trHeight w:val="169"/>
        </w:trPr>
        <w:tc>
          <w:tcPr>
            <w:tcW w:w="8120" w:type="dxa"/>
            <w:vAlign w:val="bottom"/>
          </w:tcPr>
          <w:p>
            <w:pPr>
              <w:spacing w:after="0"/>
              <w:rPr>
                <w:sz w:val="14"/>
                <w:szCs w:val="14"/>
                <w:color w:val="auto"/>
              </w:rPr>
            </w:pPr>
          </w:p>
        </w:tc>
        <w:tc>
          <w:tcPr>
            <w:tcW w:w="1600" w:type="dxa"/>
            <w:vAlign w:val="bottom"/>
            <w:tcBorders>
              <w:bottom w:val="single" w:sz="8" w:color="auto"/>
            </w:tcBorders>
          </w:tcPr>
          <w:p>
            <w:pPr>
              <w:jc w:val="right"/>
              <w:ind w:right="577"/>
              <w:spacing w:after="0" w:line="162" w:lineRule="exact"/>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566"/>
              <w:spacing w:after="0" w:line="162" w:lineRule="exact"/>
              <w:rPr>
                <w:sz w:val="20"/>
                <w:szCs w:val="20"/>
                <w:color w:val="auto"/>
              </w:rPr>
            </w:pPr>
            <w:r>
              <w:rPr>
                <w:rFonts w:ascii="Arial" w:cs="Arial" w:eastAsia="Arial" w:hAnsi="Arial"/>
                <w:sz w:val="15"/>
                <w:szCs w:val="15"/>
                <w:b w:val="1"/>
                <w:bCs w:val="1"/>
                <w:color w:val="auto"/>
              </w:rPr>
              <w:t>2016</w:t>
            </w:r>
          </w:p>
        </w:tc>
      </w:tr>
      <w:tr>
        <w:trPr>
          <w:trHeight w:val="243"/>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2.21%-2.22%</w:t>
            </w:r>
          </w:p>
        </w:tc>
        <w:tc>
          <w:tcPr>
            <w:tcW w:w="17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2.02% -2.32%</w:t>
            </w:r>
          </w:p>
        </w:tc>
      </w:tr>
      <w:tr>
        <w:trPr>
          <w:trHeight w:val="242"/>
        </w:trPr>
        <w:tc>
          <w:tcPr>
            <w:tcW w:w="812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ind w:right="137"/>
              <w:spacing w:after="0"/>
              <w:rPr>
                <w:sz w:val="20"/>
                <w:szCs w:val="20"/>
                <w:color w:val="auto"/>
              </w:rPr>
            </w:pPr>
            <w:r>
              <w:rPr>
                <w:rFonts w:ascii="Arial" w:cs="Arial" w:eastAsia="Arial" w:hAnsi="Arial"/>
                <w:sz w:val="18"/>
                <w:szCs w:val="18"/>
                <w:color w:val="auto"/>
              </w:rPr>
              <w:t>28.62%-29.18%</w:t>
            </w:r>
          </w:p>
        </w:tc>
        <w:tc>
          <w:tcPr>
            <w:tcW w:w="17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29.93%</w:t>
            </w:r>
          </w:p>
        </w:tc>
      </w:tr>
      <w:tr>
        <w:trPr>
          <w:trHeight w:val="24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6.25</w:t>
            </w:r>
          </w:p>
        </w:tc>
        <w:tc>
          <w:tcPr>
            <w:tcW w:w="17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5.75-6.25</w:t>
            </w:r>
          </w:p>
        </w:tc>
      </w:tr>
      <w:tr>
        <w:trPr>
          <w:trHeight w:val="241"/>
        </w:trPr>
        <w:tc>
          <w:tcPr>
            <w:tcW w:w="8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jc w:val="right"/>
              <w:ind w:right="557"/>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566"/>
              <w:spacing w:after="0"/>
              <w:rPr>
                <w:sz w:val="20"/>
                <w:szCs w:val="20"/>
                <w:color w:val="auto"/>
              </w:rPr>
            </w:pPr>
            <w:r>
              <w:rPr>
                <w:rFonts w:ascii="Arial" w:cs="Arial" w:eastAsia="Arial" w:hAnsi="Arial"/>
                <w:sz w:val="18"/>
                <w:szCs w:val="18"/>
                <w:color w:val="auto"/>
              </w:rPr>
              <w:t>0%</w:t>
            </w:r>
          </w:p>
        </w:tc>
      </w:tr>
    </w:tbl>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non-employee stock option grants made for the years ended December 31, 2017 and 2016, the weighted-average assumptions used in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to determine the fair value of those grants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766"/>
              <w:spacing w:after="0"/>
              <w:rPr>
                <w:sz w:val="20"/>
                <w:szCs w:val="20"/>
                <w:color w:val="auto"/>
              </w:rPr>
            </w:pPr>
            <w:r>
              <w:rPr>
                <w:rFonts w:ascii="Arial" w:cs="Arial" w:eastAsia="Arial" w:hAnsi="Arial"/>
                <w:sz w:val="15"/>
                <w:szCs w:val="15"/>
                <w:b w:val="1"/>
                <w:bCs w:val="1"/>
                <w:color w:val="auto"/>
              </w:rPr>
              <w:t>Year Ended December 31,</w:t>
            </w:r>
          </w:p>
        </w:tc>
      </w:tr>
      <w:tr>
        <w:trPr>
          <w:trHeight w:val="223"/>
        </w:trPr>
        <w:tc>
          <w:tcPr>
            <w:tcW w:w="3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b w:val="1"/>
                <w:bCs w:val="1"/>
                <w:color w:val="auto"/>
              </w:rPr>
              <w:t>2016</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4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1.62%-2.43%</w:t>
            </w:r>
          </w:p>
        </w:tc>
        <w:tc>
          <w:tcPr>
            <w:tcW w:w="170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1.00% -2.25%</w:t>
            </w:r>
          </w:p>
        </w:tc>
      </w:tr>
      <w:tr>
        <w:trPr>
          <w:trHeight w:val="242"/>
        </w:trPr>
        <w:tc>
          <w:tcPr>
            <w:tcW w:w="3680" w:type="dxa"/>
            <w:vAlign w:val="bottom"/>
          </w:tcPr>
          <w:p>
            <w:pPr>
              <w:spacing w:after="0"/>
              <w:rPr>
                <w:sz w:val="20"/>
                <w:szCs w:val="20"/>
                <w:color w:val="auto"/>
              </w:rPr>
            </w:pPr>
            <w:r>
              <w:rPr>
                <w:rFonts w:ascii="Arial" w:cs="Arial" w:eastAsia="Arial" w:hAnsi="Arial"/>
                <w:sz w:val="18"/>
                <w:szCs w:val="18"/>
                <w:color w:val="auto"/>
              </w:rPr>
              <w:t>Expected volatility</w:t>
            </w:r>
          </w:p>
        </w:tc>
        <w:tc>
          <w:tcPr>
            <w:tcW w:w="6040" w:type="dxa"/>
            <w:vAlign w:val="bottom"/>
            <w:gridSpan w:val="2"/>
          </w:tcPr>
          <w:p>
            <w:pPr>
              <w:jc w:val="right"/>
              <w:ind w:right="166"/>
              <w:spacing w:after="0"/>
              <w:rPr>
                <w:sz w:val="20"/>
                <w:szCs w:val="20"/>
                <w:color w:val="auto"/>
              </w:rPr>
            </w:pPr>
            <w:r>
              <w:rPr>
                <w:rFonts w:ascii="Arial" w:cs="Arial" w:eastAsia="Arial" w:hAnsi="Arial"/>
                <w:sz w:val="18"/>
                <w:szCs w:val="18"/>
                <w:color w:val="auto"/>
              </w:rPr>
              <w:t>28.71%-29.41%</w:t>
            </w:r>
          </w:p>
        </w:tc>
        <w:tc>
          <w:tcPr>
            <w:tcW w:w="1700" w:type="dxa"/>
            <w:vAlign w:val="bottom"/>
            <w:gridSpan w:val="2"/>
          </w:tcPr>
          <w:p>
            <w:pPr>
              <w:jc w:val="right"/>
              <w:ind w:right="466"/>
              <w:spacing w:after="0"/>
              <w:rPr>
                <w:sz w:val="20"/>
                <w:szCs w:val="20"/>
                <w:color w:val="auto"/>
              </w:rPr>
            </w:pPr>
            <w:r>
              <w:rPr>
                <w:rFonts w:ascii="Arial" w:cs="Arial" w:eastAsia="Arial" w:hAnsi="Arial"/>
                <w:sz w:val="18"/>
                <w:szCs w:val="18"/>
                <w:color w:val="auto"/>
              </w:rPr>
              <w:t>29.93%</w:t>
            </w:r>
          </w:p>
        </w:tc>
      </w:tr>
      <w:tr>
        <w:trPr>
          <w:trHeight w:val="24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04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3.58-6.25</w:t>
            </w:r>
          </w:p>
        </w:tc>
        <w:tc>
          <w:tcPr>
            <w:tcW w:w="1700" w:type="dxa"/>
            <w:vAlign w:val="bottom"/>
            <w:gridSpan w:val="2"/>
            <w:shd w:val="clear" w:color="auto" w:fill="CCEEFF"/>
          </w:tcPr>
          <w:p>
            <w:pPr>
              <w:jc w:val="right"/>
              <w:ind w:right="366"/>
              <w:spacing w:after="0"/>
              <w:rPr>
                <w:sz w:val="20"/>
                <w:szCs w:val="20"/>
                <w:color w:val="auto"/>
              </w:rPr>
            </w:pPr>
            <w:r>
              <w:rPr>
                <w:rFonts w:ascii="Arial" w:cs="Arial" w:eastAsia="Arial" w:hAnsi="Arial"/>
                <w:sz w:val="18"/>
                <w:szCs w:val="18"/>
                <w:color w:val="auto"/>
              </w:rPr>
              <w:t>2.11-6.24</w:t>
            </w:r>
          </w:p>
        </w:tc>
      </w:tr>
      <w:tr>
        <w:trPr>
          <w:trHeight w:val="241"/>
        </w:trPr>
        <w:tc>
          <w:tcPr>
            <w:tcW w:w="3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040" w:type="dxa"/>
            <w:vAlign w:val="bottom"/>
            <w:gridSpan w:val="2"/>
          </w:tcPr>
          <w:p>
            <w:pPr>
              <w:jc w:val="right"/>
              <w:ind w:right="566"/>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526"/>
              <w:spacing w:after="0"/>
              <w:rPr>
                <w:sz w:val="20"/>
                <w:szCs w:val="20"/>
                <w:color w:val="auto"/>
              </w:rPr>
            </w:pPr>
            <w:r>
              <w:rPr>
                <w:rFonts w:ascii="Arial" w:cs="Arial" w:eastAsia="Arial" w:hAnsi="Arial"/>
                <w:sz w:val="18"/>
                <w:szCs w:val="18"/>
                <w:color w:val="auto"/>
              </w:rPr>
              <w:t>0%</w:t>
            </w:r>
          </w:p>
        </w:tc>
      </w:tr>
      <w:tr>
        <w:trPr>
          <w:trHeight w:val="649"/>
        </w:trPr>
        <w:tc>
          <w:tcPr>
            <w:tcW w:w="3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232"/>
              <w:spacing w:after="0"/>
              <w:rPr>
                <w:sz w:val="20"/>
                <w:szCs w:val="20"/>
                <w:color w:val="auto"/>
              </w:rPr>
            </w:pPr>
            <w:r>
              <w:rPr>
                <w:rFonts w:ascii="Arial" w:cs="Arial" w:eastAsia="Arial" w:hAnsi="Arial"/>
                <w:sz w:val="18"/>
                <w:szCs w:val="18"/>
                <w:color w:val="auto"/>
              </w:rPr>
              <w:t>59</w:t>
            </w: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Common 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7"/>
              <w:spacing w:after="0" w:line="162" w:lineRule="exact"/>
              <w:rPr>
                <w:sz w:val="20"/>
                <w:szCs w:val="20"/>
                <w:color w:val="auto"/>
              </w:rPr>
            </w:pPr>
            <w:r>
              <w:rPr>
                <w:rFonts w:ascii="Arial" w:cs="Arial" w:eastAsia="Arial" w:hAnsi="Arial"/>
                <w:sz w:val="15"/>
                <w:szCs w:val="15"/>
                <w:b w:val="1"/>
                <w:bCs w:val="1"/>
                <w:color w:val="auto"/>
                <w:w w:val="87"/>
              </w:rPr>
              <w:t>Exercise Price</w:t>
            </w:r>
          </w:p>
        </w:tc>
        <w:tc>
          <w:tcPr>
            <w:tcW w:w="280" w:type="dxa"/>
            <w:vAlign w:val="bottom"/>
          </w:tcPr>
          <w:p>
            <w:pPr>
              <w:spacing w:after="0"/>
              <w:rPr>
                <w:sz w:val="14"/>
                <w:szCs w:val="14"/>
                <w:color w:val="auto"/>
              </w:rPr>
            </w:pPr>
          </w:p>
        </w:tc>
        <w:tc>
          <w:tcPr>
            <w:tcW w:w="12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2"/>
              </w:rPr>
              <w:t>Estimated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Underlying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per Common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8"/>
              </w:rPr>
              <w:t>Value per</w:t>
            </w:r>
          </w:p>
        </w:tc>
        <w:tc>
          <w:tcPr>
            <w:tcW w:w="0" w:type="dxa"/>
            <w:vAlign w:val="bottom"/>
          </w:tcPr>
          <w:p>
            <w:pPr>
              <w:spacing w:after="0"/>
              <w:rPr>
                <w:sz w:val="1"/>
                <w:szCs w:val="1"/>
                <w:color w:val="auto"/>
              </w:rPr>
            </w:pPr>
          </w:p>
        </w:tc>
      </w:tr>
      <w:tr>
        <w:trPr>
          <w:trHeight w:val="175"/>
        </w:trPr>
        <w:tc>
          <w:tcPr>
            <w:tcW w:w="7320" w:type="dxa"/>
            <w:vAlign w:val="bottom"/>
            <w:gridSpan w:val="2"/>
          </w:tcPr>
          <w:p>
            <w:pPr>
              <w:spacing w:after="0"/>
              <w:rPr>
                <w:sz w:val="20"/>
                <w:szCs w:val="20"/>
                <w:color w:val="auto"/>
              </w:rPr>
            </w:pPr>
            <w:r>
              <w:rPr>
                <w:rFonts w:ascii="Arial" w:cs="Arial" w:eastAsia="Arial" w:hAnsi="Arial"/>
                <w:sz w:val="15"/>
                <w:szCs w:val="15"/>
                <w:b w:val="1"/>
                <w:bCs w:val="1"/>
                <w:color w:val="auto"/>
              </w:rPr>
              <w:t>Grant Dates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1"/>
              </w:rPr>
              <w:t>Options Granted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Arial" w:cs="Arial" w:eastAsia="Arial" w:hAnsi="Arial"/>
                <w:sz w:val="15"/>
                <w:szCs w:val="15"/>
                <w:b w:val="1"/>
                <w:bCs w:val="1"/>
                <w:color w:val="auto"/>
                <w:w w:val="91"/>
              </w:rPr>
              <w:t>Share</w:t>
            </w:r>
          </w:p>
        </w:tc>
        <w:tc>
          <w:tcPr>
            <w:tcW w:w="280" w:type="dxa"/>
            <w:vAlign w:val="bottom"/>
          </w:tcPr>
          <w:p>
            <w:pPr>
              <w:spacing w:after="0"/>
              <w:rPr>
                <w:sz w:val="15"/>
                <w:szCs w:val="15"/>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0"/>
              </w:rPr>
              <w:t>Common Share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May 1, 2015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September 8,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263,335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1,424,596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March 9, 2017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33,334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May 9, 2017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November 2, 2017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120,002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2017, the unrecognized compensation cost related to outstanding options was $729,000 and is expected to be recognized as expense over a weighted-average of 1.77 years. As of December 31, 2016, the unrecognized compensation cost related to outstanding options was $726,000 and is expected to be recognized as expense over a weighted-average of 2.25 years.</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As of December 31, 2017, we had outstanding stock options to acquire an aggregate of 3,372,292 shares of Class A common stock with an intrinsic value of $9.3 million. Of those outstanding options, (a) 1,765,112 shares had vested as of December 31, 2017, representing an intrinsic value of $6.4 million and</w:t>
      </w:r>
    </w:p>
    <w:p>
      <w:pPr>
        <w:jc w:val="right"/>
        <w:ind w:left="5620" w:right="5580" w:hanging="5612"/>
        <w:spacing w:after="0" w:line="601" w:lineRule="auto"/>
        <w:tabs>
          <w:tab w:leader="none" w:pos="250" w:val="left"/>
        </w:tabs>
        <w:numPr>
          <w:ilvl w:val="0"/>
          <w:numId w:val="59"/>
        </w:numPr>
        <w:rPr>
          <w:rFonts w:ascii="Arial" w:cs="Arial" w:eastAsia="Arial" w:hAnsi="Arial"/>
          <w:sz w:val="15"/>
          <w:szCs w:val="15"/>
          <w:color w:val="auto"/>
        </w:rPr>
      </w:pPr>
      <w:r>
        <w:rPr>
          <w:rFonts w:ascii="Arial" w:cs="Arial" w:eastAsia="Arial" w:hAnsi="Arial"/>
          <w:sz w:val="15"/>
          <w:szCs w:val="15"/>
          <w:color w:val="auto"/>
        </w:rPr>
        <w:t>1,607,180 shares were unvested, representing an intrinsic value of $2.9 million.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2015, 2016 and 2017.</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99"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maintained a partial valuation allowance as of December 31, 2017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9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05" w:lineRule="exact"/>
        <w:rPr>
          <w:sz w:val="20"/>
          <w:szCs w:val="20"/>
          <w:color w:val="auto"/>
        </w:rPr>
      </w:pPr>
    </w:p>
    <w:p>
      <w:pPr>
        <w:ind w:left="500" w:right="160"/>
        <w:spacing w:after="0" w:line="422" w:lineRule="auto"/>
        <w:rPr>
          <w:sz w:val="20"/>
          <w:szCs w:val="20"/>
          <w:color w:val="auto"/>
        </w:rPr>
      </w:pPr>
      <w:r>
        <w:rPr>
          <w:rFonts w:ascii="Arial" w:cs="Arial" w:eastAsia="Arial" w:hAnsi="Arial"/>
          <w:sz w:val="18"/>
          <w:szCs w:val="18"/>
          <w:color w:val="auto"/>
        </w:rPr>
        <w:t xml:space="preserve">Interest and penalties related to uncertain tax positions are recorded in the provision for income tax expense on the consolidated statements of operations. </w:t>
      </w:r>
      <w:r>
        <w:rPr>
          <w:rFonts w:ascii="Arial" w:cs="Arial" w:eastAsia="Arial" w:hAnsi="Arial"/>
          <w:sz w:val="18"/>
          <w:szCs w:val="18"/>
          <w:b w:val="1"/>
          <w:bCs w:val="1"/>
          <w:i w:val="1"/>
          <w:iCs w:val="1"/>
          <w:color w:val="auto"/>
        </w:rPr>
        <w:t>Foreign Currency Translation</w:t>
      </w:r>
    </w:p>
    <w:p>
      <w:pPr>
        <w:spacing w:after="0" w:line="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description summarizes recent accounting pronouncements that we have adopted or will be required to adopt in the future.</w:t>
      </w:r>
    </w:p>
    <w:p>
      <w:pPr>
        <w:spacing w:after="0" w:line="1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In February 2018, the FASB issued Accounting Standards Update, or ASU, No. 2018-02, </w:t>
      </w:r>
      <w:r>
        <w:rPr>
          <w:rFonts w:ascii="Arial" w:cs="Arial" w:eastAsia="Arial" w:hAnsi="Arial"/>
          <w:sz w:val="16"/>
          <w:szCs w:val="16"/>
          <w:i w:val="1"/>
          <w:iCs w:val="1"/>
          <w:color w:val="auto"/>
        </w:rPr>
        <w:t>Income Statement—Reporting Comprehensive Income (Topic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 Reclassification of Certain Tax Effects from Accumulated Other Comprehensive Income</w:t>
      </w:r>
      <w:r>
        <w:rPr>
          <w:rFonts w:ascii="Arial" w:cs="Arial" w:eastAsia="Arial" w:hAnsi="Arial"/>
          <w:sz w:val="16"/>
          <w:szCs w:val="16"/>
          <w:color w:val="auto"/>
        </w:rPr>
        <w:t>, which provides financial statement preparers with an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reclassify stranded tax effects within accumulated other comprehensive income to retained earnings in each period in which the effect of the change in the U.S. federal corporate income tax rate in the Tax Cuts and Jobs Act (or portion thereof) is recorded. The amendments in this ASU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this ASU should be applied either in the period of adoption or retrospectively to each period (or periods) in which the effect of the change in the U.S. federal corporate income tax rate in the Tax Cuts and Jobs Act is recognized. We are is currently evaluating the impact of the adoption of ASU No. 2018-02 on our consolidated financial statements.</w:t>
      </w:r>
    </w:p>
    <w:p>
      <w:pPr>
        <w:spacing w:after="0" w:line="10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 are features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We are currently evaluating the impact of adoption of ASU 2017-11.</w:t>
      </w:r>
    </w:p>
    <w:p>
      <w:pPr>
        <w:spacing w:after="0" w:line="10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which provides guidance on determining which changes to the terms or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(a) public business entities for reporting periods for which financial statements have not yet been issued and (b) all other entities for reporting periods for which financial statements have not yet been made available for issuance. The amendments in this ASU should be applied prospectively to an award modified on or after the adoption date. We do not expect the adoption of ASU No. 2017-09 to have a material impact on our consolidated financial statements.</w:t>
      </w:r>
    </w:p>
    <w:p>
      <w:pPr>
        <w:spacing w:after="0" w:line="105"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 xml:space="preserve">Other Income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which clarifies the scope of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w:t>
      </w:r>
    </w:p>
    <w:p>
      <w:pPr>
        <w:spacing w:after="0" w:line="3" w:lineRule="exact"/>
        <w:rPr>
          <w:sz w:val="20"/>
          <w:szCs w:val="20"/>
          <w:color w:val="auto"/>
        </w:rPr>
      </w:pPr>
    </w:p>
    <w:p>
      <w:pPr>
        <w:jc w:val="both"/>
        <w:ind w:firstLine="8"/>
        <w:spacing w:after="0" w:line="254" w:lineRule="auto"/>
        <w:tabs>
          <w:tab w:leader="none" w:pos="2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We do not expect the adoption of ASU No. 2017-05 to have a material impact on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We do not expect the adoption of ASU No. 2016-18 to have a material impact on our consolidated financial statements.</w:t>
      </w:r>
    </w:p>
    <w:p>
      <w:pPr>
        <w:spacing w:after="0" w:line="10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We are currently evaluating the impact of the adoption of ASU No. 2016-18 on our consolidated financial statements.</w:t>
      </w:r>
    </w:p>
    <w:p>
      <w:pPr>
        <w:spacing w:after="0" w:line="105"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 xml:space="preserve">In August 2016 the FASB issued Accounting Standards Update, or ASU, No. 2016-15, </w:t>
      </w:r>
      <w:r>
        <w:rPr>
          <w:rFonts w:ascii="Arial" w:cs="Arial" w:eastAsia="Arial" w:hAnsi="Arial"/>
          <w:sz w:val="16"/>
          <w:szCs w:val="16"/>
          <w:i w:val="1"/>
          <w:iCs w:val="1"/>
          <w:color w:val="auto"/>
        </w:rPr>
        <w:t>Statement of Cash Flows (Topic 230):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Cash Receipts and Cash Payments</w:t>
      </w:r>
      <w:r>
        <w:rPr>
          <w:rFonts w:ascii="Arial" w:cs="Arial" w:eastAsia="Arial" w:hAnsi="Arial"/>
          <w:sz w:val="16"/>
          <w:szCs w:val="16"/>
          <w:color w:val="auto"/>
        </w:rPr>
        <w:t>, which addresses the following cash flow issues: (a) debt prepayment or debt extinguishment costs; (b) settlement of zero-coupon debt instruments or other debt instruments with coupon interest rates that are insignificant in relation to the effective interest rate of the borrowing;</w:t>
      </w:r>
    </w:p>
    <w:p>
      <w:pPr>
        <w:spacing w:after="0" w:line="1" w:lineRule="exact"/>
        <w:rPr>
          <w:sz w:val="20"/>
          <w:szCs w:val="20"/>
          <w:color w:val="auto"/>
        </w:rPr>
      </w:pPr>
    </w:p>
    <w:p>
      <w:pPr>
        <w:jc w:val="both"/>
        <w:ind w:firstLine="8"/>
        <w:spacing w:after="0" w:line="252" w:lineRule="auto"/>
        <w:tabs>
          <w:tab w:leader="none" w:pos="2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 (d) proceeds from the settlement of insurance claims; (e) proceeds from the settlement of corporate-owned life insurance policies, including bank-owned life insurance policies; (f) distributions received from equity method investees; (g) beneficial interests in securitization transactions; and (h)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33"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 xml:space="preserve">In April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employee stock-based payment transactions. The areas for simplification in ASU No. 2016-09</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The adoption of ASU No. 2016-09 did not have a material impact on our consolidated financial statements.</w:t>
      </w:r>
    </w:p>
    <w:p>
      <w:pPr>
        <w:spacing w:after="0" w:line="10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w:t>
      </w:r>
    </w:p>
    <w:p>
      <w:pPr>
        <w:spacing w:after="0" w:line="3" w:lineRule="exact"/>
        <w:rPr>
          <w:sz w:val="20"/>
          <w:szCs w:val="20"/>
          <w:color w:val="auto"/>
        </w:rPr>
      </w:pPr>
    </w:p>
    <w:p>
      <w:pPr>
        <w:jc w:val="both"/>
        <w:ind w:firstLine="8"/>
        <w:spacing w:after="0" w:line="288" w:lineRule="auto"/>
        <w:tabs>
          <w:tab w:leader="none" w:pos="35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are currently evaluating the impact of the adoption of ASU No. 2016-02 on our consolidated financial statements.</w:t>
      </w:r>
    </w:p>
    <w:p>
      <w:pPr>
        <w:spacing w:after="0" w:line="10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our consolidated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our consolidated financial statements. The relevant descriptions have been included in the inventory accounting policy.</w:t>
      </w:r>
    </w:p>
    <w:p>
      <w:pPr>
        <w:spacing w:after="0" w:line="109"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us for the annual period ended after December 15, 2016 and interim periods thereafter. Management performed an evaluation of the our ability to fund operations and to continue as a going concern according to ASC Topic 205-40, </w:t>
      </w:r>
      <w:r>
        <w:rPr>
          <w:rFonts w:ascii="Arial" w:cs="Arial" w:eastAsia="Arial" w:hAnsi="Arial"/>
          <w:sz w:val="16"/>
          <w:szCs w:val="16"/>
          <w:i w:val="1"/>
          <w:iCs w:val="1"/>
          <w:color w:val="auto"/>
        </w:rPr>
        <w:t>Presentation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Statements—Going Concern</w:t>
      </w:r>
      <w:r>
        <w:rPr>
          <w:rFonts w:ascii="Arial" w:cs="Arial" w:eastAsia="Arial" w:hAnsi="Arial"/>
          <w:sz w:val="16"/>
          <w:szCs w:val="16"/>
          <w:color w:val="auto"/>
        </w:rPr>
        <w:t>. The adoption of ASU No. 2014-15 did not have a material impact on our consolidated financial statements.</w:t>
      </w:r>
    </w:p>
    <w:p>
      <w:pPr>
        <w:spacing w:after="0" w:line="102"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No.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period.Further to ASU No. 2014-09 and ASU No. 2015-14, the FASB issued ASU No. 2016-08, </w:t>
      </w:r>
      <w:r>
        <w:rPr>
          <w:rFonts w:ascii="Arial" w:cs="Arial" w:eastAsia="Arial" w:hAnsi="Arial"/>
          <w:sz w:val="16"/>
          <w:szCs w:val="16"/>
          <w:i w:val="1"/>
          <w:iCs w:val="1"/>
          <w:color w:val="auto"/>
        </w:rPr>
        <w:t>Revenue from Contracts with Customers (Topic 606): 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Agent 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respectively. The 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The Company has substantially completed the implementation of these ASUs and has identified the necessary changes to its policies, business processes, systems and controls. Whilst the Company has finalized the analysis of its revenue contracts applying the above guidance, and will adopt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effective January 1, 2018, using the modified retrospective transition approach. Under this approach, FASB ASC Topic 606 would apply to all new contracts initiated on or after January 1, 2018. For existing contracts that have remaining obligations as of January 1, 2018, any difference between the recognition criteria in these ASUs and the Company's current revenue recognition practices would be recognized using a cumulative effect adjustment to the opening balance of accumulated deficit. The Company has concluded that its revenue recognition will remain the same as previously reported and will not have material impacts to its consolidated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60" w:type="dxa"/>
            <w:vAlign w:val="bottom"/>
            <w:tcBorders>
              <w:bottom w:val="single" w:sz="8" w:color="auto"/>
            </w:tcBorders>
            <w:gridSpan w:val="4"/>
          </w:tcPr>
          <w:p>
            <w:pPr>
              <w:ind w:left="420"/>
              <w:spacing w:after="0"/>
              <w:rPr>
                <w:sz w:val="20"/>
                <w:szCs w:val="20"/>
                <w:color w:val="auto"/>
              </w:rPr>
            </w:pPr>
            <w:r>
              <w:rPr>
                <w:rFonts w:ascii="Arial" w:cs="Arial" w:eastAsia="Arial" w:hAnsi="Arial"/>
                <w:sz w:val="15"/>
                <w:szCs w:val="15"/>
                <w:b w:val="1"/>
                <w:bCs w:val="1"/>
                <w:color w:val="auto"/>
                <w:w w:val="87"/>
              </w:rPr>
              <w:t>Year Ended December 31,</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8820" w:type="dxa"/>
            <w:vAlign w:val="bottom"/>
            <w:gridSpan w:val="2"/>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83"/>
              </w:rPr>
              <w:t>2017</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2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operating expenses, net</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Income (loss) before income taxes</w:t>
            </w:r>
          </w:p>
        </w:tc>
        <w:tc>
          <w:tcPr>
            <w:tcW w:w="7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Net income (loss) attributable to ACM Research, Inc.</w:t>
            </w:r>
          </w:p>
        </w:tc>
        <w:tc>
          <w:tcPr>
            <w:tcW w:w="7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2017 and 2016</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5"/>
                <w:szCs w:val="15"/>
                <w:b w:val="1"/>
                <w:bCs w:val="1"/>
                <w:color w:val="auto"/>
                <w:w w:val="88"/>
              </w:rPr>
              <w:t>Year ended</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 Change</w:t>
            </w: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w w:val="83"/>
              </w:rPr>
              <w:t>2016</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1"/>
              </w:rPr>
              <w:t>2016 v 2017</w:t>
            </w:r>
          </w:p>
        </w:tc>
        <w:tc>
          <w:tcPr>
            <w:tcW w:w="140" w:type="dxa"/>
            <w:vAlign w:val="bottom"/>
          </w:tcPr>
          <w:p>
            <w:pPr>
              <w:spacing w:after="0"/>
              <w:rPr>
                <w:sz w:val="19"/>
                <w:szCs w:val="19"/>
                <w:color w:val="auto"/>
              </w:rPr>
            </w:pPr>
          </w:p>
        </w:tc>
      </w:tr>
      <w:tr>
        <w:trPr>
          <w:trHeight w:val="243"/>
        </w:trPr>
        <w:tc>
          <w:tcPr>
            <w:tcW w:w="7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center"/>
              <w:ind w:left="420"/>
              <w:spacing w:after="0"/>
              <w:rPr>
                <w:sz w:val="20"/>
                <w:szCs w:val="20"/>
                <w:color w:val="auto"/>
              </w:rPr>
            </w:pPr>
            <w:r>
              <w:rPr>
                <w:rFonts w:ascii="Arial" w:cs="Arial" w:eastAsia="Arial" w:hAnsi="Arial"/>
                <w:sz w:val="18"/>
                <w:szCs w:val="18"/>
                <w:i w:val="1"/>
                <w:iCs w:val="1"/>
                <w:color w:val="auto"/>
                <w:w w:val="87"/>
              </w:rPr>
              <w:t>(in thousands)</w:t>
            </w: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36,506</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27,371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33%</w:t>
            </w:r>
          </w:p>
        </w:tc>
      </w:tr>
    </w:tbl>
    <w:p>
      <w:pPr>
        <w:spacing w:after="0" w:line="20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increase in revenue of $9.1 million for 2017 reflected increases in revenue of $5.6 million from single-wafer cleaning equipment, $3.0 million from advanced packaging equipment and $500,000 from service and parts. Our revenue for 2017 compared to 2016 reflected sales of $8.8 million to two new customers and an increase of $300,000 in sales to existing customers.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Cost of Revenue and Gross Margin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98"/>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ind w:left="200"/>
              <w:spacing w:after="0"/>
              <w:rPr>
                <w:sz w:val="20"/>
                <w:szCs w:val="20"/>
                <w:color w:val="auto"/>
              </w:rPr>
            </w:pPr>
            <w:r>
              <w:rPr>
                <w:rFonts w:ascii="Arial" w:cs="Arial" w:eastAsia="Arial" w:hAnsi="Arial"/>
                <w:sz w:val="15"/>
                <w:szCs w:val="15"/>
                <w:b w:val="1"/>
                <w:bCs w:val="1"/>
                <w:color w:val="auto"/>
              </w:rPr>
              <w:t>% Change</w:t>
            </w:r>
          </w:p>
        </w:tc>
      </w:tr>
      <w:tr>
        <w:trPr>
          <w:trHeight w:val="223"/>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89"/>
              </w:rPr>
              <w:t>2016</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rPr>
              <w:t>2016 v 2017</w:t>
            </w:r>
          </w:p>
        </w:tc>
        <w:tc>
          <w:tcPr>
            <w:tcW w:w="200" w:type="dxa"/>
            <w:vAlign w:val="bottom"/>
            <w:gridSpan w:val="2"/>
          </w:tcPr>
          <w:p>
            <w:pPr>
              <w:spacing w:after="0"/>
              <w:rPr>
                <w:sz w:val="19"/>
                <w:szCs w:val="19"/>
                <w:color w:val="auto"/>
              </w:rPr>
            </w:pPr>
          </w:p>
        </w:tc>
      </w:tr>
      <w:tr>
        <w:trPr>
          <w:trHeight w:val="243"/>
        </w:trPr>
        <w:tc>
          <w:tcPr>
            <w:tcW w:w="7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center"/>
              <w:ind w:left="378"/>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19,281</w:t>
            </w:r>
          </w:p>
        </w:tc>
        <w:tc>
          <w:tcPr>
            <w:tcW w:w="26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14,042</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bl>
    <w:p>
      <w:pPr>
        <w:spacing w:after="0" w:line="134" w:lineRule="exact"/>
        <w:rPr>
          <w:sz w:val="20"/>
          <w:szCs w:val="20"/>
          <w:color w:val="auto"/>
        </w:rPr>
      </w:pPr>
    </w:p>
    <w:p>
      <w:pPr>
        <w:jc w:val="both"/>
        <w:ind w:right="60" w:firstLine="486"/>
        <w:spacing w:after="0" w:line="291" w:lineRule="auto"/>
        <w:rPr>
          <w:sz w:val="20"/>
          <w:szCs w:val="20"/>
          <w:color w:val="auto"/>
        </w:rPr>
      </w:pPr>
      <w:r>
        <w:rPr>
          <w:rFonts w:ascii="Arial" w:cs="Arial" w:eastAsia="Arial" w:hAnsi="Arial"/>
          <w:sz w:val="16"/>
          <w:szCs w:val="16"/>
          <w:color w:val="auto"/>
        </w:rPr>
        <w:t>Cost of revenue increased $5.2 million, and gross profit increased $3.9 million, for 2017 compared to 2016, reflecting the growth in sales. Gross margin decreased 1.5%, primarily due to sales of relatively lower-margin tools to new customers for 2017. The higher margins in 2016 and 2017 were primarily due to two systems manufactured under governmental subsidies (see “—PRC Government Research and Development Funding” below), which were sold for $1.8 million in 2017 and $3.7 million in 2016. Costs associated with these systems were recorded as research and development expenses as these systems were research and development in nature and had not reached the final product manufacture stage. The related research and development expense was recorded as reduction of our research and development expense as incurred.</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97"/>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ind w:left="200"/>
              <w:spacing w:after="0"/>
              <w:rPr>
                <w:sz w:val="20"/>
                <w:szCs w:val="20"/>
                <w:color w:val="auto"/>
              </w:rPr>
            </w:pPr>
            <w:r>
              <w:rPr>
                <w:rFonts w:ascii="Arial" w:cs="Arial" w:eastAsia="Arial" w:hAnsi="Arial"/>
                <w:sz w:val="15"/>
                <w:szCs w:val="15"/>
                <w:b w:val="1"/>
                <w:bCs w:val="1"/>
                <w:color w:val="auto"/>
              </w:rPr>
              <w:t>% Change</w:t>
            </w:r>
          </w:p>
        </w:tc>
      </w:tr>
      <w:tr>
        <w:trPr>
          <w:trHeight w:val="223"/>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89"/>
              </w:rPr>
              <w:t>2016</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rPr>
              <w:t>2016 v 2017</w:t>
            </w:r>
          </w:p>
        </w:tc>
        <w:tc>
          <w:tcPr>
            <w:tcW w:w="160" w:type="dxa"/>
            <w:vAlign w:val="bottom"/>
            <w:gridSpan w:val="2"/>
          </w:tcPr>
          <w:p>
            <w:pPr>
              <w:spacing w:after="0"/>
              <w:rPr>
                <w:sz w:val="19"/>
                <w:szCs w:val="19"/>
                <w:color w:val="auto"/>
              </w:rPr>
            </w:pPr>
          </w:p>
        </w:tc>
      </w:tr>
      <w:tr>
        <w:trPr>
          <w:trHeight w:val="243"/>
        </w:trPr>
        <w:tc>
          <w:tcPr>
            <w:tcW w:w="7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center"/>
              <w:ind w:left="377"/>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5,500</w:t>
            </w:r>
          </w:p>
        </w:tc>
        <w:tc>
          <w:tcPr>
            <w:tcW w:w="6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40.77%</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0" w:type="dxa"/>
            <w:vAlign w:val="bottom"/>
          </w:tcPr>
          <w:p>
            <w:pPr>
              <w:spacing w:after="0"/>
              <w:rPr>
                <w:sz w:val="20"/>
                <w:szCs w:val="20"/>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increased $1.6 million in 2017 as compared to 2016, primarily due to an increase in employee salaries and sales services.</w:t>
      </w:r>
    </w:p>
    <w:p>
      <w:pPr>
        <w:spacing w:after="0" w:line="181" w:lineRule="exact"/>
        <w:rPr>
          <w:sz w:val="20"/>
          <w:szCs w:val="20"/>
          <w:color w:val="auto"/>
        </w:rPr>
      </w:pPr>
    </w:p>
    <w:p>
      <w:pPr>
        <w:jc w:val="both"/>
        <w:ind w:right="6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$1.9 million for 2017 as compared to 2016, principally as a result of increases in employee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parts. Research and development expense represented 14.1% of our revenue in 2017 and 11.9% of our revenue in 2016. Without reduction by grant amounts received from PRC governmental authorities (see “—Key Components of Results of Operations—PRC Government Research and Development Funding”), gross research and development expense totaled $8.6 million, or 23.4% of revenue, in 2017 and $9.5million, or 34.7% of revenue, in 2016.</w:t>
      </w:r>
    </w:p>
    <w:p>
      <w:pPr>
        <w:spacing w:after="0" w:line="129"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$3.2 million in 2017 as compared to 2016, principally resulting from preparations to become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These costs reflected increases of $1.2 million in stock-based compensation expense, $1.3 million in professional fees, and $523,000 in personnel costs due to the increase of headcount.</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Other Income and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w w:val="94"/>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w w:val="89"/>
              </w:rPr>
              <w:t>2016</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2016 v 2017</w:t>
            </w:r>
          </w:p>
        </w:tc>
        <w:tc>
          <w:tcPr>
            <w:tcW w:w="140" w:type="dxa"/>
            <w:vAlign w:val="bottom"/>
          </w:tcPr>
          <w:p>
            <w:pPr>
              <w:spacing w:after="0"/>
              <w:rPr>
                <w:sz w:val="19"/>
                <w:szCs w:val="19"/>
                <w:color w:val="auto"/>
              </w:rPr>
            </w:pPr>
          </w:p>
        </w:tc>
      </w:tr>
      <w:tr>
        <w:trPr>
          <w:trHeight w:val="243"/>
        </w:trPr>
        <w:tc>
          <w:tcPr>
            <w:tcW w:w="7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(268)</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(792)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r>
    </w:tbl>
    <w:p>
      <w:pPr>
        <w:spacing w:after="0" w:line="140"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Interest expense consists of interest incurred from outstanding short-term borrowings. Interest expense increased to $277,000 in 2017 from $181,000 in 2016, principally as a result of increased borrowings under short-term bank loans. We earn interest income from depositary accounts. Interest income was nominal in 2017 and 2016.</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29" w:right="17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Income Tax (Expense) Benefit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components of income tax (expense) benefit for the indicated periods: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i w:val="1"/>
                <w:iCs w:val="1"/>
                <w:color w:val="auto"/>
                <w:w w:val="87"/>
              </w:rPr>
              <w:t>(in thousands)</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Foreign</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expense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federal</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U.S. state</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(547)</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expense</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(547)</w:t>
            </w:r>
          </w:p>
        </w:tc>
        <w:tc>
          <w:tcPr>
            <w:tcW w:w="7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(547)</w:t>
            </w: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Chinese income tax purpose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07"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93"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We intend to reinvest indefinitely our PRC earnings as of December 31, 2017 outside of the United States, and we therefore have not provided for taxes with respect to the remissions of such earnings from the PRC to the United States.</w:t>
      </w:r>
    </w:p>
    <w:p>
      <w:pPr>
        <w:spacing w:after="0" w:line="11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On December 22, 2017, the 2017 Tax Cuts and Jobs Act was enacted into law. The new legislation contains several key tax provisions that affect us, including a one-time mandatory transition tax on accumulated foreign earnings and a reduction of the corporate income tax rate to 21% effective January 1, 2018. We are required to recognize the effect of the tax law changes in the period of enactment, such as determining the transition tax, remeasuring our U.S. deferred tax assets and liabilities as well as reassessing the net realizability of our deferred tax assets and liabilities.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raised funds through sales of its non-controlling equity interests in 2007, 2008 and 2009. Prior to 2016, we also funded our operations with (a) subsidies received from PRC governmental authorities pursuant to grants made in 2008, 2009 and 2014, (b) short-term borrowings by ACM Shanghai from local financial institutions in 2009 and each year since 2011 through 2015, (c) additional issuances of term promissory notes in 2013, 2014 and 2015, and (d) operating cash flow in 2015. Since January 1, 2016, we have funded our technology development and operations through:</w:t>
      </w:r>
    </w:p>
    <w:p>
      <w:pPr>
        <w:spacing w:after="0" w:line="105" w:lineRule="exact"/>
        <w:rPr>
          <w:sz w:val="20"/>
          <w:szCs w:val="20"/>
          <w:color w:val="auto"/>
        </w:rPr>
      </w:pPr>
    </w:p>
    <w:p>
      <w:pPr>
        <w:ind w:left="820" w:hanging="326"/>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issuances of two additional series of convertible preferred stock in 2016 and the third quarter of 2017;</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investment deposit in 2016 made in connection with issuance of a Class A common stock warrant in March 2017;</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short-term borrowings by ACM Shanghai from local financial institutions in 2016 and the first nine months of 2017;</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cash flow in 2017;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IPO and the concurrent private placement in November 2017.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believe our existing cash and cash equivalents (including our net proceeds of the IPO and the concurrent private placement),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we may need to raise additional funds through additional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affect an equity or debt financing on terms acceptable to us or at all.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and Equity-Related Securities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From January 1, 2016 to March 19, 2018, we have received gross proceeds of $54.2 million from sales of common stock, convertible preferred stock and a warrant, as described below.</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We have sold shares of common stock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ind w:left="1120"/>
              <w:spacing w:after="0"/>
              <w:rPr>
                <w:sz w:val="20"/>
                <w:szCs w:val="20"/>
                <w:color w:val="auto"/>
              </w:rPr>
            </w:pPr>
            <w:r>
              <w:rPr>
                <w:rFonts w:ascii="Arial" w:cs="Arial" w:eastAsia="Arial" w:hAnsi="Arial"/>
                <w:sz w:val="15"/>
                <w:szCs w:val="15"/>
                <w:b w:val="1"/>
                <w:bCs w:val="1"/>
                <w:color w:val="auto"/>
              </w:rPr>
              <w:t>Issue Date</w:t>
            </w:r>
          </w:p>
        </w:tc>
        <w:tc>
          <w:tcPr>
            <w:tcW w:w="120" w:type="dxa"/>
            <w:vAlign w:val="bottom"/>
          </w:tcPr>
          <w:p>
            <w:pPr>
              <w:spacing w:after="0"/>
              <w:rPr>
                <w:sz w:val="15"/>
                <w:szCs w:val="15"/>
                <w:color w:val="auto"/>
              </w:rPr>
            </w:pPr>
          </w:p>
        </w:tc>
        <w:tc>
          <w:tcPr>
            <w:tcW w:w="7060" w:type="dxa"/>
            <w:vAlign w:val="bottom"/>
          </w:tcPr>
          <w:p>
            <w:pPr>
              <w:ind w:left="3140"/>
              <w:spacing w:after="0"/>
              <w:rPr>
                <w:sz w:val="20"/>
                <w:szCs w:val="20"/>
                <w:color w:val="auto"/>
              </w:rPr>
            </w:pPr>
            <w:r>
              <w:rPr>
                <w:rFonts w:ascii="Arial" w:cs="Arial" w:eastAsia="Arial" w:hAnsi="Arial"/>
                <w:sz w:val="15"/>
                <w:szCs w:val="15"/>
                <w:b w:val="1"/>
                <w:bCs w:val="1"/>
                <w:color w:val="auto"/>
              </w:rPr>
              <w:t>Transaction</w:t>
            </w:r>
          </w:p>
        </w:tc>
        <w:tc>
          <w:tcPr>
            <w:tcW w:w="140" w:type="dxa"/>
            <w:vAlign w:val="bottom"/>
          </w:tcPr>
          <w:p>
            <w:pPr>
              <w:spacing w:after="0"/>
              <w:rPr>
                <w:sz w:val="15"/>
                <w:szCs w:val="15"/>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3"/>
              </w:rPr>
              <w:t>Gross Proceeds</w:t>
            </w:r>
          </w:p>
        </w:tc>
      </w:tr>
      <w:tr>
        <w:trPr>
          <w:trHeight w:val="208"/>
        </w:trPr>
        <w:tc>
          <w:tcPr>
            <w:tcW w:w="2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i w:val="1"/>
                <w:iCs w:val="1"/>
                <w:color w:val="auto"/>
              </w:rPr>
              <w:t>(in</w:t>
            </w:r>
          </w:p>
        </w:tc>
        <w:tc>
          <w:tcPr>
            <w:tcW w:w="140" w:type="dxa"/>
            <w:vAlign w:val="bottom"/>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85"/>
              </w:rPr>
              <w:t>thousands)</w:t>
            </w:r>
          </w:p>
        </w:tc>
      </w:tr>
      <w:tr>
        <w:trPr>
          <w:trHeight w:val="24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 exercises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21"/>
                <w:szCs w:val="21"/>
                <w:color w:val="auto"/>
              </w:rPr>
            </w:pPr>
          </w:p>
        </w:tc>
      </w:tr>
      <w:tr>
        <w:trPr>
          <w:trHeight w:val="242"/>
        </w:trPr>
        <w:tc>
          <w:tcPr>
            <w:tcW w:w="2880" w:type="dxa"/>
            <w:vAlign w:val="bottom"/>
          </w:tcPr>
          <w:p>
            <w:pPr>
              <w:spacing w:after="0"/>
              <w:rPr>
                <w:sz w:val="20"/>
                <w:szCs w:val="20"/>
                <w:color w:val="auto"/>
              </w:rPr>
            </w:pPr>
            <w:r>
              <w:rPr>
                <w:rFonts w:ascii="Arial" w:cs="Arial" w:eastAsia="Arial" w:hAnsi="Arial"/>
                <w:sz w:val="18"/>
                <w:szCs w:val="18"/>
                <w:color w:val="auto"/>
              </w:rPr>
              <w:t>2017</w:t>
            </w:r>
          </w:p>
        </w:tc>
        <w:tc>
          <w:tcPr>
            <w:tcW w:w="7180" w:type="dxa"/>
            <w:vAlign w:val="bottom"/>
            <w:gridSpan w:val="2"/>
          </w:tcPr>
          <w:p>
            <w:pPr>
              <w:ind w:left="120"/>
              <w:spacing w:after="0"/>
              <w:rPr>
                <w:sz w:val="20"/>
                <w:szCs w:val="20"/>
                <w:color w:val="auto"/>
              </w:rPr>
            </w:pPr>
            <w:r>
              <w:rPr>
                <w:rFonts w:ascii="Arial" w:cs="Arial" w:eastAsia="Arial" w:hAnsi="Arial"/>
                <w:sz w:val="18"/>
                <w:szCs w:val="18"/>
                <w:color w:val="auto"/>
              </w:rPr>
              <w:t>Option exercises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21"/>
                <w:szCs w:val="21"/>
                <w:color w:val="auto"/>
              </w:rPr>
            </w:pPr>
          </w:p>
        </w:tc>
      </w:tr>
      <w:tr>
        <w:trPr>
          <w:trHeight w:val="24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7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Private placements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40" w:type="dxa"/>
            <w:vAlign w:val="bottom"/>
            <w:shd w:val="clear" w:color="auto" w:fill="CCEEFF"/>
          </w:tcPr>
          <w:p>
            <w:pPr>
              <w:spacing w:after="0"/>
              <w:rPr>
                <w:sz w:val="21"/>
                <w:szCs w:val="21"/>
                <w:color w:val="auto"/>
              </w:rPr>
            </w:pPr>
          </w:p>
        </w:tc>
      </w:tr>
      <w:tr>
        <w:trPr>
          <w:trHeight w:val="241"/>
        </w:trPr>
        <w:tc>
          <w:tcPr>
            <w:tcW w:w="2880" w:type="dxa"/>
            <w:vAlign w:val="bottom"/>
          </w:tcPr>
          <w:p>
            <w:pPr>
              <w:spacing w:after="0"/>
              <w:rPr>
                <w:sz w:val="20"/>
                <w:szCs w:val="20"/>
                <w:color w:val="auto"/>
              </w:rPr>
            </w:pPr>
            <w:r>
              <w:rPr>
                <w:rFonts w:ascii="Arial" w:cs="Arial" w:eastAsia="Arial" w:hAnsi="Arial"/>
                <w:sz w:val="18"/>
                <w:szCs w:val="18"/>
                <w:color w:val="auto"/>
              </w:rPr>
              <w:t>November 2017</w:t>
            </w:r>
          </w:p>
        </w:tc>
        <w:tc>
          <w:tcPr>
            <w:tcW w:w="7180" w:type="dxa"/>
            <w:vAlign w:val="bottom"/>
            <w:gridSpan w:val="2"/>
          </w:tcPr>
          <w:p>
            <w:pPr>
              <w:ind w:left="120"/>
              <w:spacing w:after="0"/>
              <w:rPr>
                <w:sz w:val="20"/>
                <w:szCs w:val="20"/>
                <w:color w:val="auto"/>
              </w:rPr>
            </w:pPr>
            <w:r>
              <w:rPr>
                <w:rFonts w:ascii="Arial" w:cs="Arial" w:eastAsia="Arial" w:hAnsi="Arial"/>
                <w:sz w:val="18"/>
                <w:szCs w:val="18"/>
                <w:color w:val="auto"/>
              </w:rPr>
              <w:t>IPO</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12,504</w:t>
            </w:r>
          </w:p>
        </w:tc>
        <w:tc>
          <w:tcPr>
            <w:tcW w:w="140" w:type="dxa"/>
            <w:vAlign w:val="bottom"/>
          </w:tcPr>
          <w:p>
            <w:pPr>
              <w:spacing w:after="0"/>
              <w:rPr>
                <w:sz w:val="20"/>
                <w:szCs w:val="20"/>
                <w:color w:val="auto"/>
              </w:rPr>
            </w:pPr>
          </w:p>
        </w:tc>
      </w:tr>
      <w:tr>
        <w:trPr>
          <w:trHeight w:val="24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7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Concurrent private placement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140" w:type="dxa"/>
            <w:vAlign w:val="bottom"/>
            <w:shd w:val="clear" w:color="auto" w:fill="CCEEFF"/>
          </w:tcPr>
          <w:p>
            <w:pPr>
              <w:spacing w:after="0"/>
              <w:rPr>
                <w:sz w:val="21"/>
                <w:szCs w:val="2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2018</w:t>
            </w:r>
          </w:p>
        </w:tc>
        <w:tc>
          <w:tcPr>
            <w:tcW w:w="7180" w:type="dxa"/>
            <w:vAlign w:val="bottom"/>
            <w:gridSpan w:val="2"/>
          </w:tcPr>
          <w:p>
            <w:pPr>
              <w:ind w:left="120"/>
              <w:spacing w:after="0"/>
              <w:rPr>
                <w:sz w:val="20"/>
                <w:szCs w:val="20"/>
                <w:color w:val="auto"/>
              </w:rPr>
            </w:pPr>
            <w:r>
              <w:rPr>
                <w:rFonts w:ascii="Arial" w:cs="Arial" w:eastAsia="Arial" w:hAnsi="Arial"/>
                <w:sz w:val="18"/>
                <w:szCs w:val="18"/>
                <w:color w:val="auto"/>
              </w:rPr>
              <w:t>Option Exercises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r>
      <w:tr>
        <w:trPr>
          <w:trHeight w:val="237"/>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36,313</w:t>
            </w:r>
          </w:p>
        </w:tc>
        <w:tc>
          <w:tcPr>
            <w:tcW w:w="140" w:type="dxa"/>
            <w:vAlign w:val="bottom"/>
            <w:shd w:val="clear" w:color="auto" w:fill="CCEEFF"/>
          </w:tcPr>
          <w:p>
            <w:pPr>
              <w:spacing w:after="0"/>
              <w:rPr>
                <w:sz w:val="20"/>
                <w:szCs w:val="20"/>
                <w:color w:val="auto"/>
              </w:rPr>
            </w:pPr>
          </w:p>
        </w:tc>
      </w:tr>
      <w:tr>
        <w:trPr>
          <w:trHeight w:val="20"/>
        </w:trPr>
        <w:tc>
          <w:tcPr>
            <w:tcW w:w="2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u w:val="single" w:color="auto"/>
          <w:color w:val="auto"/>
        </w:rPr>
        <w:t>Convertible Preferred Stock</w:t>
      </w:r>
      <w:r>
        <w:rPr>
          <w:rFonts w:ascii="Arial" w:cs="Arial" w:eastAsia="Arial" w:hAnsi="Arial"/>
          <w:sz w:val="18"/>
          <w:szCs w:val="18"/>
          <w:color w:val="auto"/>
        </w:rPr>
        <w:t>. In 2016 we received gross proceeds of $9.0 million from sales of shares of Series F convertible preferred stock that converted, upon completion of the IPO, into 1,221,099 shares of Class A common stock, for an effective purchase price of $7.50 per share. In 2017 we received gross proceeds of $5.8 million from sales of shares of Series E convertible preferred stock that converted, upon completion of the IPO, into 1,666,170 shares of Class A common stock, for an effective purchase price of $3.48 per share.</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u w:val="single" w:color="auto"/>
          <w:color w:val="auto"/>
        </w:rPr>
        <w:t>Warrant</w:t>
      </w:r>
      <w:r>
        <w:rPr>
          <w:rFonts w:ascii="Arial" w:cs="Arial" w:eastAsia="Arial" w:hAnsi="Arial"/>
          <w:sz w:val="18"/>
          <w:szCs w:val="18"/>
          <w:color w:val="auto"/>
        </w:rPr>
        <w:t>. In December 2016 SMC delivered to ACM Shanghai RMB 20,123,000 ($3.0 million as of the date of funding) in cash for potential investment pursuant to terms to be subsequently negotiated. In March 2017 we issued to SMC a warrant exercisable to purchase 397,502 shares of Class A common stock at a price of $7.50 per share, for a total exercise price of $3.0 million.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Indebtedness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ACM Shanghai Short-Term Loan Facilities</w:t>
      </w:r>
      <w:r>
        <w:rPr>
          <w:rFonts w:ascii="Arial" w:cs="Arial" w:eastAsia="Arial" w:hAnsi="Arial"/>
          <w:sz w:val="18"/>
          <w:szCs w:val="18"/>
          <w:color w:val="auto"/>
        </w:rPr>
        <w:t>. ACM Shanghai is a party to short-term borrowing with three banks,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Maximum</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Amount Outstanding</w:t>
            </w:r>
          </w:p>
        </w:tc>
      </w:t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4"/>
              </w:rPr>
              <w:t>Annual</w:t>
            </w:r>
          </w:p>
        </w:tc>
        <w:tc>
          <w:tcPr>
            <w:tcW w:w="1460" w:type="dxa"/>
            <w:vAlign w:val="bottom"/>
            <w:gridSpan w:val="2"/>
          </w:tcPr>
          <w:p>
            <w:pPr>
              <w:jc w:val="right"/>
              <w:ind w:right="440"/>
              <w:spacing w:after="0" w:line="162" w:lineRule="exact"/>
              <w:rPr>
                <w:sz w:val="20"/>
                <w:szCs w:val="20"/>
                <w:color w:val="auto"/>
              </w:rPr>
            </w:pPr>
            <w:r>
              <w:rPr>
                <w:rFonts w:ascii="Arial" w:cs="Arial" w:eastAsia="Arial" w:hAnsi="Arial"/>
                <w:sz w:val="15"/>
                <w:szCs w:val="15"/>
                <w:b w:val="1"/>
                <w:bCs w:val="1"/>
                <w:color w:val="auto"/>
              </w:rPr>
              <w:t>Borrowing</w:t>
            </w: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at December 31,</w:t>
            </w:r>
          </w:p>
        </w:tc>
      </w:tr>
      <w:tr>
        <w:trPr>
          <w:trHeight w:val="182"/>
        </w:trPr>
        <w:tc>
          <w:tcPr>
            <w:tcW w:w="3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Lender</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Agreement Date</w:t>
            </w:r>
          </w:p>
        </w:tc>
        <w:tc>
          <w:tcPr>
            <w:tcW w:w="2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Maturity Date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Interest Rate</w:t>
            </w:r>
          </w:p>
        </w:tc>
        <w:tc>
          <w:tcPr>
            <w:tcW w:w="320" w:type="dxa"/>
            <w:vAlign w:val="bottom"/>
          </w:tcPr>
          <w:p>
            <w:pPr>
              <w:spacing w:after="0"/>
              <w:rPr>
                <w:sz w:val="15"/>
                <w:szCs w:val="15"/>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Amount(1)</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2017(1)</w:t>
            </w:r>
          </w:p>
        </w:tc>
        <w:tc>
          <w:tcPr>
            <w:tcW w:w="100" w:type="dxa"/>
            <w:vAlign w:val="bottom"/>
          </w:tcPr>
          <w:p>
            <w:pPr>
              <w:spacing w:after="0"/>
              <w:rPr>
                <w:sz w:val="15"/>
                <w:szCs w:val="15"/>
                <w:color w:val="auto"/>
              </w:rPr>
            </w:pP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ind w:left="900"/>
              <w:spacing w:after="0"/>
              <w:rPr>
                <w:sz w:val="20"/>
                <w:szCs w:val="20"/>
                <w:color w:val="auto"/>
              </w:rPr>
            </w:pPr>
            <w:r>
              <w:rPr>
                <w:rFonts w:ascii="Arial" w:cs="Arial" w:eastAsia="Arial" w:hAnsi="Arial"/>
                <w:sz w:val="18"/>
                <w:szCs w:val="18"/>
                <w:i w:val="1"/>
                <w:iCs w:val="1"/>
                <w:color w:val="auto"/>
              </w:rPr>
              <w:t>(in thousands)</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Bank of China Pudong Branch</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2017</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2018</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RMB30,000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RMB14,500</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Bank of Shanghai Pudong Branch</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2017</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2018</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RMB25,000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RMB13,800</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2017</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2018</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5.44-5.66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RMB5,000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RMB5,000</w:t>
            </w:r>
          </w:p>
        </w:tc>
      </w:tr>
      <w:tr>
        <w:trPr>
          <w:trHeight w:val="223"/>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r>
      <w:tr>
        <w:trPr>
          <w:trHeight w:val="216"/>
        </w:trPr>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RMB60,000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RMB33,300</w:t>
            </w:r>
          </w:p>
        </w:tc>
      </w:tr>
      <w:tr>
        <w:trPr>
          <w:trHeight w:val="222"/>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$5,095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 Converted to dollars as of December 31, 2017</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All of the amounts owing under the lines of credit with Bank of Shanghai Pudong Branch and Shanghai Rural Commercial Bank are guaranteed by David Wang, our Chair of the Board, Chief Executive Officer and President.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operations used cash flow of $3.7 million in 2016 and $8.1 million in 2017. Our cash flow from operating activities is 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Research and Development Grants</w:t>
      </w:r>
    </w:p>
    <w:p>
      <w:pPr>
        <w:spacing w:after="0" w:line="1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described under “—Key Components of Results of Operations—PRC Government Research and Development Funding,” ACM Shanghai has received research and development grants from local and central PRC governmental authorities. ACM Shanghai received grants totaling $6.6 million in 2016 and $2.5 million in 2017.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selected working capital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r>
      <w:tr>
        <w:trPr>
          <w:trHeight w:val="182"/>
        </w:trPr>
        <w:tc>
          <w:tcPr>
            <w:tcW w:w="10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5"/>
                <w:szCs w:val="15"/>
                <w:color w:val="auto"/>
              </w:rPr>
            </w:pPr>
          </w:p>
        </w:tc>
      </w:tr>
      <w:tr>
        <w:trPr>
          <w:trHeight w:val="241"/>
        </w:trPr>
        <w:tc>
          <w:tcPr>
            <w:tcW w:w="1020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87"/>
              </w:rPr>
              <w:t>(in thousands)</w:t>
            </w:r>
          </w:p>
        </w:tc>
      </w:tr>
      <w:tr>
        <w:trPr>
          <w:trHeight w:val="218"/>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shd w:val="clear" w:color="auto" w:fill="CCEEFF"/>
          </w:tcPr>
          <w:p>
            <w:pPr>
              <w:spacing w:after="0"/>
              <w:rPr>
                <w:sz w:val="18"/>
                <w:szCs w:val="18"/>
                <w:color w:val="auto"/>
              </w:rPr>
            </w:pPr>
          </w:p>
        </w:tc>
      </w:tr>
      <w:tr>
        <w:trPr>
          <w:trHeight w:val="222"/>
        </w:trPr>
        <w:tc>
          <w:tcPr>
            <w:tcW w:w="1020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41,097</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Our cash and cash equivalents at December 31, 2017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During 2017 we continued to invest in equipment and infrastructure improvements for our manufacturing and research and development facilities and, to a lesser extent, leasehold improvements for our administrative facilities. Our capital expenditures totaled $766,000 in 2017.</w:t>
      </w:r>
    </w:p>
    <w:p>
      <w:pPr>
        <w:spacing w:after="0" w:line="118"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Our capital expenditures totaled $795,000 in 2016. Substantially all of the capital expenditures were made to purchase equipment or improve infrastructure for our research and development and manufacturing facilities.</w:t>
      </w:r>
    </w:p>
    <w:p>
      <w:pPr>
        <w:spacing w:after="0" w:line="186"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We estimate that our capital expenditures in 2018 will total approximately $3.2 million. The extent of these investments may be affected by the pace with which we add new customers and obtain additional purchase orders. We are not currently party to any purchase contracts related to future capital expenditures.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As of December 31, 2017 and 2016, we did not have any significant off-balance sheet arrangements, as defined in Item 303(a)(4)(ii) of Regulation S-K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00" w:type="dxa"/>
            <w:vAlign w:val="bottom"/>
          </w:tcPr>
          <w:p>
            <w:pPr>
              <w:ind w:left="3400"/>
              <w:spacing w:after="0"/>
              <w:rPr>
                <w:sz w:val="20"/>
                <w:szCs w:val="20"/>
                <w:color w:val="auto"/>
              </w:rPr>
            </w:pPr>
            <w:r>
              <w:rPr>
                <w:rFonts w:ascii="Arial" w:cs="Arial" w:eastAsia="Arial" w:hAnsi="Arial"/>
                <w:sz w:val="18"/>
                <w:szCs w:val="18"/>
                <w:b w:val="1"/>
                <w:bCs w:val="1"/>
                <w:color w:val="auto"/>
              </w:rPr>
              <w:t>INDEX TO CONSOLIDATED FINANCIAL STATEMENTS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1300" w:type="dxa"/>
            <w:vAlign w:val="bottom"/>
          </w:tcPr>
          <w:p>
            <w:pPr>
              <w:jc w:val="center"/>
              <w:ind w:left="9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and Comprehensive Income (Loss) for the Years ended December 31, 2017 and 2016</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Statements of Changes in Redeemable Convertible Preferred Stock and Stockholders’ Equity (Deficit) for the Years ended</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and 2016</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2017 and 2016</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ACM Research, Inc. and its subsidiaries (the “Company”) as of December 31, 2017 and 2016, the related consolidated statements of operations and comprehensive income (loss), changes in redeemable convertible preferred stock and stockholders’ equity (deficit), and cash flows for each of the two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two years in the period ended December 31, 2017</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BDO China Shu Lun Pan Certified Public Accountants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6"/>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6"/>
              <w:spacing w:after="0" w:line="162" w:lineRule="exact"/>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4140"/>
              <w:spacing w:after="0" w:line="162" w:lineRule="exact"/>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4"/>
                <w:szCs w:val="14"/>
                <w:color w:val="auto"/>
              </w:rPr>
            </w:pPr>
          </w:p>
        </w:tc>
        <w:tc>
          <w:tcPr>
            <w:tcW w:w="2420" w:type="dxa"/>
            <w:vAlign w:val="bottom"/>
            <w:gridSpan w:val="5"/>
            <w:shd w:val="clear" w:color="auto" w:fill="CCEEFF"/>
          </w:tcPr>
          <w:p>
            <w:pPr>
              <w:jc w:val="right"/>
              <w:ind w:right="360"/>
              <w:spacing w:after="0" w:line="162" w:lineRule="exact"/>
              <w:rPr>
                <w:sz w:val="20"/>
                <w:szCs w:val="20"/>
                <w:color w:val="auto"/>
              </w:rPr>
            </w:pPr>
            <w:r>
              <w:rPr>
                <w:rFonts w:ascii="Arial" w:cs="Arial" w:eastAsia="Arial" w:hAnsi="Arial"/>
                <w:sz w:val="15"/>
                <w:szCs w:val="15"/>
                <w:i w:val="1"/>
                <w:iCs w:val="1"/>
                <w:color w:val="auto"/>
                <w:w w:val="91"/>
              </w:rPr>
              <w:t>(in thousands, except share data)</w:t>
            </w:r>
          </w:p>
        </w:tc>
        <w:tc>
          <w:tcPr>
            <w:tcW w:w="0" w:type="dxa"/>
            <w:vAlign w:val="bottom"/>
          </w:tcPr>
          <w:p>
            <w:pPr>
              <w:spacing w:after="0"/>
              <w:rPr>
                <w:sz w:val="1"/>
                <w:szCs w:val="1"/>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17,681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10,119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w w:val="99"/>
              </w:rPr>
              <w:t>Accounts receivable, less allowance for doubtful accounts of $0 and $0 as of December 31, 2017 and 2016, respectively (note 3)</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26,762</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16,026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Other receivables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2,491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Inventory (note 4)</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15,388</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11,666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Prepaid expenses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546</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Other current assets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46</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b w:val="1"/>
                <w:bCs w:val="1"/>
                <w:color w:val="auto"/>
              </w:rPr>
              <w:t>Total current assets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62,914</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40,347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Property, plant and equipment, net (note 5)</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2,340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2,262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Intangible assets, net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Deferred tax assets (note 17)</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1,294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1,841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Borders>
              <w:bottom w:val="single" w:sz="8" w:color="CCEEFF"/>
            </w:tcBorders>
            <w:shd w:val="clear" w:color="auto" w:fill="CCEEFF"/>
          </w:tcPr>
          <w:p>
            <w:pPr>
              <w:ind w:left="320"/>
              <w:spacing w:after="0" w:line="162" w:lineRule="exact"/>
              <w:rPr>
                <w:sz w:val="20"/>
                <w:szCs w:val="20"/>
                <w:color w:val="auto"/>
              </w:rPr>
            </w:pPr>
            <w:r>
              <w:rPr>
                <w:rFonts w:ascii="Arial" w:cs="Arial" w:eastAsia="Arial" w:hAnsi="Arial"/>
                <w:sz w:val="15"/>
                <w:szCs w:val="15"/>
                <w:color w:val="auto"/>
              </w:rPr>
              <w:t>Investment in affiliates, equity method (note 11)</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1,237</w:t>
            </w:r>
          </w:p>
        </w:tc>
        <w:tc>
          <w:tcPr>
            <w:tcW w:w="2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67,891</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44,467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1560"/>
              <w:spacing w:after="0" w:line="162" w:lineRule="exact"/>
              <w:rPr>
                <w:sz w:val="20"/>
                <w:szCs w:val="20"/>
                <w:color w:val="auto"/>
              </w:rPr>
            </w:pPr>
            <w:r>
              <w:rPr>
                <w:rFonts w:ascii="Arial" w:cs="Arial" w:eastAsia="Arial" w:hAnsi="Arial"/>
                <w:sz w:val="15"/>
                <w:szCs w:val="15"/>
                <w:b w:val="1"/>
                <w:bCs w:val="1"/>
                <w:color w:val="auto"/>
              </w:rPr>
              <w:t>Liabilities, Redeemable Convertible Preferred Stock and Stockholders’ Equity (Deficit)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liabilities: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Short-term borrowings (note 6)</w:t>
            </w:r>
          </w:p>
        </w:tc>
        <w:tc>
          <w:tcPr>
            <w:tcW w:w="180" w:type="dxa"/>
            <w:vAlign w:val="bottom"/>
          </w:tcPr>
          <w:p>
            <w:pPr>
              <w:jc w:val="right"/>
              <w:ind w:right="26"/>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5,095</w:t>
            </w:r>
          </w:p>
        </w:tc>
        <w:tc>
          <w:tcPr>
            <w:tcW w:w="28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4,761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Notes payable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Investors’ deposits (note 8)</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2,902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Warrant liability (note 9)</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3,079</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w w:val="94"/>
              </w:rPr>
              <w:t>Accounts payable (including amounts due to a related party of $2,118and $508 at December 31, 2017 and 2016, respectively (note 12))</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7,419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5,173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Advances from customers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143</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Income taxes payable</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shd w:val="clear" w:color="auto" w:fill="CCEEFF"/>
          </w:tcPr>
          <w:p>
            <w:pPr>
              <w:ind w:left="320"/>
              <w:spacing w:after="0" w:line="153" w:lineRule="exact"/>
              <w:rPr>
                <w:sz w:val="20"/>
                <w:szCs w:val="20"/>
                <w:color w:val="auto"/>
              </w:rPr>
            </w:pPr>
            <w:r>
              <w:rPr>
                <w:rFonts w:ascii="Arial" w:cs="Arial" w:eastAsia="Arial" w:hAnsi="Arial"/>
                <w:sz w:val="15"/>
                <w:szCs w:val="15"/>
                <w:color w:val="auto"/>
                <w:w w:val="91"/>
              </w:rPr>
              <w:t>Other payables and accrued expenses (including amounts due to a related-party of $2,024 and $1,883 as of December 31, 2017 and 2016,</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shd w:val="clear" w:color="auto" w:fill="CCEEFF"/>
          </w:tcPr>
          <w:p>
            <w:pPr>
              <w:ind w:left="480"/>
              <w:spacing w:after="0" w:line="172" w:lineRule="exact"/>
              <w:rPr>
                <w:sz w:val="20"/>
                <w:szCs w:val="20"/>
                <w:color w:val="auto"/>
              </w:rPr>
            </w:pPr>
            <w:r>
              <w:rPr>
                <w:rFonts w:ascii="Arial" w:cs="Arial" w:eastAsia="Arial" w:hAnsi="Arial"/>
                <w:sz w:val="15"/>
                <w:szCs w:val="15"/>
                <w:color w:val="auto"/>
              </w:rPr>
              <w:t>respectively (note 12) (note 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6,026</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3,963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b w:val="1"/>
                <w:bCs w:val="1"/>
                <w:color w:val="auto"/>
              </w:rPr>
              <w:t>Total current liabilities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21,817</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17,069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Other long-term liabilities (note 10)</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6,217</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6,879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b w:val="1"/>
                <w:bCs w:val="1"/>
                <w:color w:val="auto"/>
              </w:rPr>
              <w:t>Total liabilities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28,034</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23,948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Commitments and contingencies (Note 18)</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Redeemable convertible preferred stock, with par value $0.0001 as of December 31, 2017 and 2016:</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shd w:val="clear" w:color="auto" w:fill="CCEEFF"/>
          </w:tcPr>
          <w:p>
            <w:pPr>
              <w:ind w:left="320"/>
              <w:spacing w:after="0" w:line="153" w:lineRule="exact"/>
              <w:rPr>
                <w:sz w:val="20"/>
                <w:szCs w:val="20"/>
                <w:color w:val="auto"/>
              </w:rPr>
            </w:pPr>
            <w:r>
              <w:rPr>
                <w:rFonts w:ascii="Arial" w:cs="Arial" w:eastAsia="Arial" w:hAnsi="Arial"/>
                <w:sz w:val="15"/>
                <w:szCs w:val="15"/>
                <w:color w:val="auto"/>
                <w:w w:val="89"/>
              </w:rPr>
              <w:t>Series A: 385,000 shares authorized, no shares issued or outstanding as of December 31, 2017; 385,000 shares issued and outstanding as of</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shd w:val="clear" w:color="auto" w:fill="CCEEFF"/>
          </w:tcPr>
          <w:p>
            <w:pPr>
              <w:ind w:left="480"/>
              <w:spacing w:after="0" w:line="172" w:lineRule="exact"/>
              <w:rPr>
                <w:sz w:val="20"/>
                <w:szCs w:val="20"/>
                <w:color w:val="auto"/>
              </w:rPr>
            </w:pPr>
            <w:r>
              <w:rPr>
                <w:rFonts w:ascii="Arial" w:cs="Arial" w:eastAsia="Arial" w:hAnsi="Arial"/>
                <w:sz w:val="15"/>
                <w:szCs w:val="15"/>
                <w:color w:val="auto"/>
              </w:rPr>
              <w:t>December 31, 2016 (liquidation value of $0 and $308 at December 31, 2017 and 2016)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288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tcPr>
          <w:p>
            <w:pPr>
              <w:ind w:left="320"/>
              <w:spacing w:after="0" w:line="153" w:lineRule="exact"/>
              <w:rPr>
                <w:sz w:val="20"/>
                <w:szCs w:val="20"/>
                <w:color w:val="auto"/>
              </w:rPr>
            </w:pPr>
            <w:r>
              <w:rPr>
                <w:rFonts w:ascii="Arial" w:cs="Arial" w:eastAsia="Arial" w:hAnsi="Arial"/>
                <w:sz w:val="15"/>
                <w:szCs w:val="15"/>
                <w:color w:val="auto"/>
                <w:w w:val="92"/>
              </w:rPr>
              <w:t>Series B: 1,572,000 shares authorized, no shares issued or outstanding as of December 31, 2017; 1,572,000 issued and outstanding as of</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ind w:left="480"/>
              <w:spacing w:after="0" w:line="172" w:lineRule="exact"/>
              <w:rPr>
                <w:sz w:val="20"/>
                <w:szCs w:val="20"/>
                <w:color w:val="auto"/>
              </w:rPr>
            </w:pPr>
            <w:r>
              <w:rPr>
                <w:rFonts w:ascii="Arial" w:cs="Arial" w:eastAsia="Arial" w:hAnsi="Arial"/>
                <w:sz w:val="15"/>
                <w:szCs w:val="15"/>
                <w:color w:val="auto"/>
              </w:rPr>
              <w:t>December 31, 2016 (liquidation value of $0 and $1,572 at December 31, 2017 and 2016)</w:t>
            </w:r>
          </w:p>
        </w:tc>
        <w:tc>
          <w:tcPr>
            <w:tcW w:w="18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1,572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shd w:val="clear" w:color="auto" w:fill="CCEEFF"/>
          </w:tcPr>
          <w:p>
            <w:pPr>
              <w:ind w:left="320"/>
              <w:spacing w:after="0" w:line="153" w:lineRule="exact"/>
              <w:rPr>
                <w:sz w:val="20"/>
                <w:szCs w:val="20"/>
                <w:color w:val="auto"/>
              </w:rPr>
            </w:pPr>
            <w:r>
              <w:rPr>
                <w:rFonts w:ascii="Arial" w:cs="Arial" w:eastAsia="Arial" w:hAnsi="Arial"/>
                <w:sz w:val="15"/>
                <w:szCs w:val="15"/>
                <w:color w:val="auto"/>
                <w:w w:val="91"/>
              </w:rPr>
              <w:t>Series C: 1,360,962 shares authorized, no shares issued or outstanding as of December 31, 2017; 1,360,962 issued and outstanding as of</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shd w:val="clear" w:color="auto" w:fill="CCEEFF"/>
          </w:tcPr>
          <w:p>
            <w:pPr>
              <w:ind w:left="480"/>
              <w:spacing w:after="0" w:line="172" w:lineRule="exact"/>
              <w:rPr>
                <w:sz w:val="20"/>
                <w:szCs w:val="20"/>
                <w:color w:val="auto"/>
              </w:rPr>
            </w:pPr>
            <w:r>
              <w:rPr>
                <w:rFonts w:ascii="Arial" w:cs="Arial" w:eastAsia="Arial" w:hAnsi="Arial"/>
                <w:sz w:val="15"/>
                <w:szCs w:val="15"/>
                <w:color w:val="auto"/>
              </w:rPr>
              <w:t>December 31, 2016 (liquidation value of $0 and $2,041 at December 31,2017 and 2016).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2,041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tcPr>
          <w:p>
            <w:pPr>
              <w:ind w:left="320"/>
              <w:spacing w:after="0" w:line="153" w:lineRule="exact"/>
              <w:rPr>
                <w:sz w:val="20"/>
                <w:szCs w:val="20"/>
                <w:color w:val="auto"/>
              </w:rPr>
            </w:pPr>
            <w:r>
              <w:rPr>
                <w:rFonts w:ascii="Arial" w:cs="Arial" w:eastAsia="Arial" w:hAnsi="Arial"/>
                <w:sz w:val="15"/>
                <w:szCs w:val="15"/>
                <w:color w:val="auto"/>
                <w:w w:val="88"/>
              </w:rPr>
              <w:t>Series D: 2,659,975 shares authorized, no shares issued or outstanding as of December 31, 2017; 1,326,642 shares issued and outstanding as</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ind w:left="480"/>
              <w:spacing w:after="0" w:line="172" w:lineRule="exact"/>
              <w:rPr>
                <w:sz w:val="20"/>
                <w:szCs w:val="20"/>
                <w:color w:val="auto"/>
              </w:rPr>
            </w:pPr>
            <w:r>
              <w:rPr>
                <w:rFonts w:ascii="Arial" w:cs="Arial" w:eastAsia="Arial" w:hAnsi="Arial"/>
                <w:sz w:val="15"/>
                <w:szCs w:val="15"/>
                <w:color w:val="auto"/>
              </w:rPr>
              <w:t>of December 31, 2016 (liquidation value of $0 and $4,975 at December 31, 2017 and 2016)</w:t>
            </w:r>
          </w:p>
        </w:tc>
        <w:tc>
          <w:tcPr>
            <w:tcW w:w="18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4,975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Series E: 10,718,530 shares authorized, no shares issued or outstanding as of December 31, 2017 and 2016</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tcPr>
          <w:p>
            <w:pPr>
              <w:ind w:left="320"/>
              <w:spacing w:after="0" w:line="153" w:lineRule="exact"/>
              <w:rPr>
                <w:sz w:val="20"/>
                <w:szCs w:val="20"/>
                <w:color w:val="auto"/>
              </w:rPr>
            </w:pPr>
            <w:r>
              <w:rPr>
                <w:rFonts w:ascii="Arial" w:cs="Arial" w:eastAsia="Arial" w:hAnsi="Arial"/>
                <w:sz w:val="15"/>
                <w:szCs w:val="15"/>
                <w:color w:val="auto"/>
                <w:w w:val="92"/>
              </w:rPr>
              <w:t>Series F: 6,000,000 shares authorized, no shares issued or outstanding as of December 31, 2017; 3,663,254 issued and outstanding as of</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tcPr>
          <w:p>
            <w:pPr>
              <w:ind w:left="480"/>
              <w:spacing w:after="0" w:line="172" w:lineRule="exact"/>
              <w:rPr>
                <w:sz w:val="20"/>
                <w:szCs w:val="20"/>
                <w:color w:val="auto"/>
              </w:rPr>
            </w:pPr>
            <w:r>
              <w:rPr>
                <w:rFonts w:ascii="Arial" w:cs="Arial" w:eastAsia="Arial" w:hAnsi="Arial"/>
                <w:sz w:val="15"/>
                <w:szCs w:val="15"/>
                <w:color w:val="auto"/>
              </w:rPr>
              <w:t>December 31, 2016 (liquidation value of $0 and $9,158 at December 31, 2017 and 2016)</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9,158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960"/>
              <w:spacing w:after="0" w:line="162" w:lineRule="exact"/>
              <w:rPr>
                <w:sz w:val="20"/>
                <w:szCs w:val="20"/>
                <w:color w:val="auto"/>
              </w:rPr>
            </w:pPr>
            <w:r>
              <w:rPr>
                <w:rFonts w:ascii="Arial" w:cs="Arial" w:eastAsia="Arial" w:hAnsi="Arial"/>
                <w:sz w:val="15"/>
                <w:szCs w:val="15"/>
                <w:b w:val="1"/>
                <w:bCs w:val="1"/>
                <w:color w:val="auto"/>
              </w:rPr>
              <w:t>Total redeemable convertible preferred stock (note 15)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18,034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b w:val="1"/>
                <w:bCs w:val="1"/>
                <w:color w:val="auto"/>
              </w:rPr>
              <w:t>Stockholders’ equity (deficit):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shd w:val="clear" w:color="auto" w:fill="CCEEFF"/>
          </w:tcPr>
          <w:p>
            <w:pPr>
              <w:ind w:left="320"/>
              <w:spacing w:after="0" w:line="153" w:lineRule="exact"/>
              <w:rPr>
                <w:sz w:val="20"/>
                <w:szCs w:val="20"/>
                <w:color w:val="auto"/>
              </w:rPr>
            </w:pPr>
            <w:r>
              <w:rPr>
                <w:rFonts w:ascii="Arial" w:cs="Arial" w:eastAsia="Arial" w:hAnsi="Arial"/>
                <w:sz w:val="15"/>
                <w:szCs w:val="15"/>
                <w:color w:val="auto"/>
                <w:w w:val="97"/>
              </w:rPr>
              <w:t>Common stock – Class A, with par value $0.0001: 100,000,000 shares authorized, 12,935,546 shares issued and outstanding as of</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72" w:lineRule="exact"/>
              <w:rPr>
                <w:sz w:val="20"/>
                <w:szCs w:val="20"/>
                <w:color w:val="auto"/>
              </w:rPr>
            </w:pPr>
            <w:r>
              <w:rPr>
                <w:rFonts w:ascii="Arial" w:cs="Arial" w:eastAsia="Arial" w:hAnsi="Arial"/>
                <w:sz w:val="15"/>
                <w:szCs w:val="15"/>
                <w:color w:val="auto"/>
                <w:w w:val="94"/>
              </w:rPr>
              <w:t>December 31, 2017; 100,000,000 shares authorized and 2,228,740 shares issued and outstanding as of December 31, 2016 (note 14)</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tcPr>
          <w:p>
            <w:pPr>
              <w:ind w:left="320"/>
              <w:spacing w:after="0" w:line="153" w:lineRule="exact"/>
              <w:rPr>
                <w:sz w:val="20"/>
                <w:szCs w:val="20"/>
                <w:color w:val="auto"/>
              </w:rPr>
            </w:pPr>
            <w:r>
              <w:rPr>
                <w:rFonts w:ascii="Arial" w:cs="Arial" w:eastAsia="Arial" w:hAnsi="Arial"/>
                <w:sz w:val="15"/>
                <w:szCs w:val="15"/>
                <w:color w:val="auto"/>
                <w:w w:val="89"/>
              </w:rPr>
              <w:t>Common stock – Class B, with par value $0.0001: 7,303,533 shares authorized and 2,409,738 shares issued and outstanding as of December</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ind w:left="320"/>
              <w:spacing w:after="0" w:line="172" w:lineRule="exact"/>
              <w:rPr>
                <w:sz w:val="20"/>
                <w:szCs w:val="20"/>
                <w:color w:val="auto"/>
              </w:rPr>
            </w:pPr>
            <w:r>
              <w:rPr>
                <w:rFonts w:ascii="Arial" w:cs="Arial" w:eastAsia="Arial" w:hAnsi="Arial"/>
                <w:sz w:val="15"/>
                <w:szCs w:val="15"/>
                <w:color w:val="auto"/>
              </w:rPr>
              <w:t>31, 2017 and 2016 (note 14)</w:t>
            </w:r>
          </w:p>
        </w:tc>
        <w:tc>
          <w:tcPr>
            <w:tcW w:w="18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Additional paid in capital</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49,695</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Accumulated deficit</w:t>
            </w:r>
          </w:p>
        </w:tc>
        <w:tc>
          <w:tcPr>
            <w:tcW w:w="180" w:type="dxa"/>
            <w:vAlign w:val="bottom"/>
          </w:tcPr>
          <w:p>
            <w:pPr>
              <w:spacing w:after="0"/>
              <w:rPr>
                <w:sz w:val="14"/>
                <w:szCs w:val="14"/>
                <w:color w:val="auto"/>
              </w:rPr>
            </w:pPr>
          </w:p>
        </w:tc>
        <w:tc>
          <w:tcPr>
            <w:tcW w:w="12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(9,961)</w:t>
            </w:r>
          </w:p>
        </w:tc>
        <w:tc>
          <w:tcPr>
            <w:tcW w:w="34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(9,643)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Accumulated other comprehensive income (loss)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122</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b w:val="1"/>
                <w:bCs w:val="1"/>
                <w:color w:val="auto"/>
              </w:rPr>
              <w:t>Total ACM Research, Inc. stockholders’ (deficit) equity</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39,857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(2,434)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Borders>
              <w:bottom w:val="single" w:sz="8" w:color="CCEEFF"/>
            </w:tcBorders>
            <w:shd w:val="clear" w:color="auto" w:fill="CCEEFF"/>
          </w:tcPr>
          <w:p>
            <w:pPr>
              <w:ind w:left="320"/>
              <w:spacing w:after="0" w:line="162" w:lineRule="exact"/>
              <w:rPr>
                <w:sz w:val="20"/>
                <w:szCs w:val="20"/>
                <w:color w:val="auto"/>
              </w:rPr>
            </w:pPr>
            <w:r>
              <w:rPr>
                <w:rFonts w:ascii="Arial" w:cs="Arial" w:eastAsia="Arial" w:hAnsi="Arial"/>
                <w:sz w:val="15"/>
                <w:szCs w:val="15"/>
                <w:color w:val="auto"/>
              </w:rPr>
              <w:t>Non-controlling interests</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4,919</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b w:val="1"/>
                <w:bCs w:val="1"/>
                <w:color w:val="auto"/>
              </w:rPr>
              <w:t>Total stockholders’ equity</w:t>
            </w: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39,857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2,485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b w:val="1"/>
                <w:bCs w:val="1"/>
                <w:color w:val="auto"/>
              </w:rPr>
              <w:t>Total liabilities, redeemable convertible preferred stock and stockholders’ equity</w:t>
            </w:r>
          </w:p>
        </w:tc>
        <w:tc>
          <w:tcPr>
            <w:tcW w:w="18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67,891</w:t>
            </w:r>
          </w:p>
        </w:tc>
        <w:tc>
          <w:tcPr>
            <w:tcW w:w="280" w:type="dxa"/>
            <w:vAlign w:val="bottom"/>
          </w:tcPr>
          <w:p>
            <w:pPr>
              <w:spacing w:after="0"/>
              <w:rPr>
                <w:sz w:val="14"/>
                <w:szCs w:val="14"/>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44,467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ind w:left="300"/>
              <w:spacing w:after="0"/>
              <w:rPr>
                <w:sz w:val="20"/>
                <w:szCs w:val="20"/>
                <w:color w:val="auto"/>
              </w:rPr>
            </w:pPr>
            <w:r>
              <w:rPr>
                <w:rFonts w:ascii="Arial" w:cs="Arial" w:eastAsia="Arial" w:hAnsi="Arial"/>
                <w:sz w:val="15"/>
                <w:szCs w:val="15"/>
                <w:b w:val="1"/>
                <w:bCs w:val="1"/>
                <w:color w:val="auto"/>
              </w:rPr>
              <w:t>Year Ended December 31,</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r>
      <w:tr>
        <w:trPr>
          <w:trHeight w:val="208"/>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w w:val="84"/>
              </w:rPr>
              <w:t>(in thousands,</w:t>
            </w:r>
          </w:p>
        </w:tc>
        <w:tc>
          <w:tcPr>
            <w:tcW w:w="1360" w:type="dxa"/>
            <w:vAlign w:val="bottom"/>
            <w:gridSpan w:val="3"/>
          </w:tcPr>
          <w:p>
            <w:pPr>
              <w:jc w:val="right"/>
              <w:ind w:right="33"/>
              <w:spacing w:after="0"/>
              <w:rPr>
                <w:sz w:val="20"/>
                <w:szCs w:val="20"/>
                <w:color w:val="auto"/>
              </w:rPr>
            </w:pPr>
            <w:r>
              <w:rPr>
                <w:rFonts w:ascii="Arial" w:cs="Arial" w:eastAsia="Arial" w:hAnsi="Arial"/>
                <w:sz w:val="18"/>
                <w:szCs w:val="18"/>
                <w:i w:val="1"/>
                <w:iCs w:val="1"/>
                <w:color w:val="auto"/>
                <w:w w:val="88"/>
              </w:rPr>
              <w:t>except share and</w:t>
            </w:r>
          </w:p>
        </w:tc>
        <w:tc>
          <w:tcPr>
            <w:tcW w:w="140" w:type="dxa"/>
            <w:vAlign w:val="bottom"/>
          </w:tcPr>
          <w:p>
            <w:pPr>
              <w:spacing w:after="0"/>
              <w:rPr>
                <w:sz w:val="18"/>
                <w:szCs w:val="18"/>
                <w:color w:val="auto"/>
              </w:rPr>
            </w:pPr>
          </w:p>
        </w:tc>
      </w:tr>
      <w:tr>
        <w:trPr>
          <w:trHeight w:val="222"/>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r>
      <w:tr>
        <w:trPr>
          <w:trHeight w:val="218"/>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b w:val="1"/>
                <w:bCs w:val="1"/>
                <w:color w:val="auto"/>
              </w:rPr>
              <w:t>Total operating expenses,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 net income of affiliates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2,982</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(note 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8"/>
                <w:szCs w:val="18"/>
                <w:color w:val="auto"/>
              </w:rPr>
            </w:pPr>
          </w:p>
        </w:tc>
      </w:tr>
      <w:tr>
        <w:trPr>
          <w:trHeight w:val="27"/>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b w:val="1"/>
                <w:bCs w:val="1"/>
                <w:color w:val="auto"/>
              </w:rPr>
              <w:t>Total comprehensive income (loss) attributable to ACM Research, Inc. (note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(note 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(0.05)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Weighted-average common shares outstanding used in computing per share amounts (note 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6,865,390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2,176,315</w:t>
            </w:r>
          </w:p>
        </w:tc>
        <w:tc>
          <w:tcPr>
            <w:tcW w:w="140" w:type="dxa"/>
            <w:vAlign w:val="bottom"/>
            <w:shd w:val="clear" w:color="auto" w:fill="CCEEFF"/>
          </w:tcPr>
          <w:p>
            <w:pPr>
              <w:spacing w:after="0"/>
              <w:rPr>
                <w:sz w:val="18"/>
                <w:szCs w:val="18"/>
                <w:color w:val="auto"/>
              </w:rPr>
            </w:pPr>
          </w:p>
        </w:tc>
      </w:tr>
      <w:tr>
        <w:trPr>
          <w:trHeight w:val="222"/>
        </w:trPr>
        <w:tc>
          <w:tcPr>
            <w:tcW w:w="88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6,865,390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3,792,137</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ACM RESEARCH, INC.</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 w:type="dxa"/>
            <w:vAlign w:val="bottom"/>
            <w:gridSpan w:val="2"/>
          </w:tcPr>
          <w:p>
            <w:pPr>
              <w:spacing w:after="0"/>
              <w:rPr>
                <w:sz w:val="21"/>
                <w:szCs w:val="21"/>
                <w:color w:val="auto"/>
              </w:rPr>
            </w:pPr>
          </w:p>
        </w:tc>
        <w:tc>
          <w:tcPr>
            <w:tcW w:w="5440" w:type="dxa"/>
            <w:vAlign w:val="bottom"/>
            <w:tcBorders>
              <w:bottom w:val="single" w:sz="8" w:color="auto"/>
              <w:right w:val="single" w:sz="8" w:color="auto"/>
            </w:tcBorders>
            <w:gridSpan w:val="35"/>
          </w:tcPr>
          <w:p>
            <w:pPr>
              <w:spacing w:after="0"/>
              <w:rPr>
                <w:sz w:val="20"/>
                <w:szCs w:val="20"/>
                <w:color w:val="auto"/>
              </w:rPr>
            </w:pPr>
            <w:r>
              <w:rPr>
                <w:rFonts w:ascii="Arial" w:cs="Arial" w:eastAsia="Arial" w:hAnsi="Arial"/>
                <w:sz w:val="9"/>
                <w:szCs w:val="9"/>
                <w:b w:val="1"/>
                <w:bCs w:val="1"/>
                <w:color w:val="auto"/>
              </w:rPr>
              <w:t>Redeemable Convertible Preferred Stock</w:t>
            </w:r>
          </w:p>
        </w:tc>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120" w:type="dxa"/>
            <w:vAlign w:val="bottom"/>
            <w:gridSpan w:val="2"/>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r>
      <w:tr>
        <w:trPr>
          <w:trHeight w:val="122"/>
        </w:trPr>
        <w:tc>
          <w:tcPr>
            <w:tcW w:w="6220" w:type="dxa"/>
            <w:vAlign w:val="bottom"/>
            <w:tcBorders>
              <w:right w:val="single" w:sz="8" w:color="auto"/>
            </w:tcBorders>
            <w:gridSpan w:val="37"/>
          </w:tcPr>
          <w:p>
            <w:pPr>
              <w:spacing w:after="0"/>
              <w:rPr>
                <w:sz w:val="10"/>
                <w:szCs w:val="10"/>
                <w:color w:val="auto"/>
              </w:rPr>
            </w:pPr>
          </w:p>
        </w:tc>
        <w:tc>
          <w:tcPr>
            <w:tcW w:w="1760" w:type="dxa"/>
            <w:vAlign w:val="bottom"/>
            <w:gridSpan w:val="11"/>
          </w:tcPr>
          <w:p>
            <w:pPr>
              <w:spacing w:after="0"/>
              <w:rPr>
                <w:sz w:val="20"/>
                <w:szCs w:val="20"/>
                <w:color w:val="auto"/>
              </w:rPr>
            </w:pPr>
            <w:r>
              <w:rPr>
                <w:rFonts w:ascii="Arial" w:cs="Arial" w:eastAsia="Arial" w:hAnsi="Arial"/>
                <w:sz w:val="9"/>
                <w:szCs w:val="9"/>
                <w:b w:val="1"/>
                <w:bCs w:val="1"/>
                <w:color w:val="auto"/>
              </w:rPr>
              <w:t>Common</w:t>
            </w:r>
          </w:p>
        </w:tc>
        <w:tc>
          <w:tcPr>
            <w:tcW w:w="3480" w:type="dxa"/>
            <w:vAlign w:val="bottom"/>
            <w:gridSpan w:val="21"/>
          </w:tcPr>
          <w:p>
            <w:pPr>
              <w:jc w:val="center"/>
              <w:ind w:right="2720"/>
              <w:spacing w:after="0"/>
              <w:rPr>
                <w:sz w:val="20"/>
                <w:szCs w:val="20"/>
                <w:color w:val="auto"/>
              </w:rPr>
            </w:pPr>
            <w:r>
              <w:rPr>
                <w:rFonts w:ascii="Arial" w:cs="Arial" w:eastAsia="Arial" w:hAnsi="Arial"/>
                <w:sz w:val="9"/>
                <w:szCs w:val="9"/>
                <w:b w:val="1"/>
                <w:bCs w:val="1"/>
                <w:color w:val="auto"/>
                <w:w w:val="92"/>
              </w:rPr>
              <w:t>Common</w:t>
            </w: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4"/>
          </w:tcPr>
          <w:p>
            <w:pPr>
              <w:ind w:left="180"/>
              <w:spacing w:after="0"/>
              <w:rPr>
                <w:sz w:val="20"/>
                <w:szCs w:val="20"/>
                <w:color w:val="auto"/>
              </w:rPr>
            </w:pPr>
            <w:r>
              <w:rPr>
                <w:rFonts w:ascii="Arial" w:cs="Arial" w:eastAsia="Arial" w:hAnsi="Arial"/>
                <w:sz w:val="9"/>
                <w:szCs w:val="9"/>
                <w:b w:val="1"/>
                <w:bCs w:val="1"/>
                <w:color w:val="auto"/>
                <w:w w:val="88"/>
              </w:rPr>
              <w:t>Series 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5"/>
          </w:tcPr>
          <w:p>
            <w:pPr>
              <w:jc w:val="right"/>
              <w:ind w:right="280"/>
              <w:spacing w:after="0"/>
              <w:rPr>
                <w:sz w:val="20"/>
                <w:szCs w:val="20"/>
                <w:color w:val="auto"/>
              </w:rPr>
            </w:pPr>
            <w:r>
              <w:rPr>
                <w:rFonts w:ascii="Arial" w:cs="Arial" w:eastAsia="Arial" w:hAnsi="Arial"/>
                <w:sz w:val="9"/>
                <w:szCs w:val="9"/>
                <w:b w:val="1"/>
                <w:bCs w:val="1"/>
                <w:color w:val="auto"/>
              </w:rPr>
              <w:t>Series B</w:t>
            </w:r>
          </w:p>
        </w:tc>
        <w:tc>
          <w:tcPr>
            <w:tcW w:w="860" w:type="dxa"/>
            <w:vAlign w:val="bottom"/>
            <w:gridSpan w:val="5"/>
          </w:tcPr>
          <w:p>
            <w:pPr>
              <w:ind w:left="220"/>
              <w:spacing w:after="0"/>
              <w:rPr>
                <w:sz w:val="20"/>
                <w:szCs w:val="20"/>
                <w:color w:val="auto"/>
              </w:rPr>
            </w:pPr>
            <w:r>
              <w:rPr>
                <w:rFonts w:ascii="Arial" w:cs="Arial" w:eastAsia="Arial" w:hAnsi="Arial"/>
                <w:sz w:val="9"/>
                <w:szCs w:val="9"/>
                <w:b w:val="1"/>
                <w:bCs w:val="1"/>
                <w:color w:val="auto"/>
              </w:rPr>
              <w:t>Series C</w:t>
            </w:r>
          </w:p>
        </w:tc>
        <w:tc>
          <w:tcPr>
            <w:tcW w:w="840" w:type="dxa"/>
            <w:vAlign w:val="bottom"/>
            <w:gridSpan w:val="5"/>
          </w:tcPr>
          <w:p>
            <w:pPr>
              <w:jc w:val="right"/>
              <w:ind w:right="300"/>
              <w:spacing w:after="0"/>
              <w:rPr>
                <w:sz w:val="20"/>
                <w:szCs w:val="20"/>
                <w:color w:val="auto"/>
              </w:rPr>
            </w:pPr>
            <w:r>
              <w:rPr>
                <w:rFonts w:ascii="Arial" w:cs="Arial" w:eastAsia="Arial" w:hAnsi="Arial"/>
                <w:sz w:val="9"/>
                <w:szCs w:val="9"/>
                <w:b w:val="1"/>
                <w:bCs w:val="1"/>
                <w:color w:val="auto"/>
              </w:rPr>
              <w:t>Series D</w:t>
            </w:r>
          </w:p>
        </w:tc>
        <w:tc>
          <w:tcPr>
            <w:tcW w:w="860" w:type="dxa"/>
            <w:vAlign w:val="bottom"/>
            <w:gridSpan w:val="5"/>
          </w:tcPr>
          <w:p>
            <w:pPr>
              <w:ind w:left="220"/>
              <w:spacing w:after="0"/>
              <w:rPr>
                <w:sz w:val="20"/>
                <w:szCs w:val="20"/>
                <w:color w:val="auto"/>
              </w:rPr>
            </w:pPr>
            <w:r>
              <w:rPr>
                <w:rFonts w:ascii="Arial" w:cs="Arial" w:eastAsia="Arial" w:hAnsi="Arial"/>
                <w:sz w:val="9"/>
                <w:szCs w:val="9"/>
                <w:b w:val="1"/>
                <w:bCs w:val="1"/>
                <w:color w:val="auto"/>
              </w:rPr>
              <w:t>Series E</w:t>
            </w:r>
          </w:p>
        </w:tc>
        <w:tc>
          <w:tcPr>
            <w:tcW w:w="840" w:type="dxa"/>
            <w:vAlign w:val="bottom"/>
            <w:gridSpan w:val="5"/>
          </w:tcPr>
          <w:p>
            <w:pPr>
              <w:jc w:val="right"/>
              <w:ind w:right="300"/>
              <w:spacing w:after="0"/>
              <w:rPr>
                <w:sz w:val="20"/>
                <w:szCs w:val="20"/>
                <w:color w:val="auto"/>
              </w:rPr>
            </w:pPr>
            <w:r>
              <w:rPr>
                <w:rFonts w:ascii="Arial" w:cs="Arial" w:eastAsia="Arial" w:hAnsi="Arial"/>
                <w:sz w:val="9"/>
                <w:szCs w:val="9"/>
                <w:b w:val="1"/>
                <w:bCs w:val="1"/>
                <w:color w:val="auto"/>
              </w:rPr>
              <w:t>Series 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5"/>
          </w:tcPr>
          <w:p>
            <w:pPr>
              <w:ind w:left="80"/>
              <w:spacing w:after="0"/>
              <w:rPr>
                <w:sz w:val="20"/>
                <w:szCs w:val="20"/>
                <w:color w:val="auto"/>
              </w:rPr>
            </w:pPr>
            <w:r>
              <w:rPr>
                <w:rFonts w:ascii="Arial" w:cs="Arial" w:eastAsia="Arial" w:hAnsi="Arial"/>
                <w:sz w:val="9"/>
                <w:szCs w:val="9"/>
                <w:b w:val="1"/>
                <w:bCs w:val="1"/>
                <w:color w:val="auto"/>
              </w:rPr>
              <w:t>Common Stock</w:t>
            </w:r>
          </w:p>
        </w:tc>
        <w:tc>
          <w:tcPr>
            <w:tcW w:w="660" w:type="dxa"/>
            <w:vAlign w:val="bottom"/>
            <w:gridSpan w:val="3"/>
          </w:tcPr>
          <w:p>
            <w:pPr>
              <w:ind w:left="100"/>
              <w:spacing w:after="0"/>
              <w:rPr>
                <w:sz w:val="20"/>
                <w:szCs w:val="20"/>
                <w:color w:val="auto"/>
              </w:rPr>
            </w:pPr>
            <w:r>
              <w:rPr>
                <w:rFonts w:ascii="Arial" w:cs="Arial" w:eastAsia="Arial" w:hAnsi="Arial"/>
                <w:sz w:val="9"/>
                <w:szCs w:val="9"/>
                <w:b w:val="1"/>
                <w:bCs w:val="1"/>
                <w:color w:val="auto"/>
                <w:w w:val="89"/>
              </w:rPr>
              <w:t>Stock Class 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left="53"/>
              <w:spacing w:after="0"/>
              <w:rPr>
                <w:sz w:val="20"/>
                <w:szCs w:val="20"/>
                <w:color w:val="auto"/>
              </w:rPr>
            </w:pPr>
            <w:r>
              <w:rPr>
                <w:rFonts w:ascii="Arial" w:cs="Arial" w:eastAsia="Arial" w:hAnsi="Arial"/>
                <w:sz w:val="9"/>
                <w:szCs w:val="9"/>
                <w:b w:val="1"/>
                <w:bCs w:val="1"/>
                <w:color w:val="auto"/>
                <w:w w:val="93"/>
              </w:rPr>
              <w:t>Stock Class 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5"/>
        </w:trPr>
        <w:tc>
          <w:tcPr>
            <w:tcW w:w="820" w:type="dxa"/>
            <w:vAlign w:val="bottom"/>
            <w:gridSpan w:val="3"/>
          </w:tcPr>
          <w:p>
            <w:pPr>
              <w:spacing w:after="0"/>
              <w:rPr>
                <w:sz w:val="8"/>
                <w:szCs w:val="8"/>
                <w:color w:val="auto"/>
              </w:rPr>
            </w:pPr>
          </w:p>
        </w:tc>
        <w:tc>
          <w:tcPr>
            <w:tcW w:w="700" w:type="dxa"/>
            <w:vAlign w:val="bottom"/>
            <w:tcBorders>
              <w:top w:val="single" w:sz="8" w:color="auto"/>
            </w:tcBorders>
            <w:gridSpan w:val="5"/>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gridSpan w:val="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50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w w:val="84"/>
              </w:rPr>
              <w:t>Accumulated</w:t>
            </w:r>
          </w:p>
        </w:tc>
        <w:tc>
          <w:tcPr>
            <w:tcW w:w="100" w:type="dxa"/>
            <w:vAlign w:val="bottom"/>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8"/>
                <w:szCs w:val="8"/>
                <w:color w:val="auto"/>
              </w:rPr>
            </w:pPr>
          </w:p>
        </w:tc>
      </w:tr>
      <w:tr>
        <w:trPr>
          <w:trHeight w:val="108"/>
        </w:trPr>
        <w:tc>
          <w:tcPr>
            <w:tcW w:w="6220" w:type="dxa"/>
            <w:vAlign w:val="bottom"/>
            <w:tcBorders>
              <w:right w:val="single" w:sz="8" w:color="auto"/>
            </w:tcBorders>
            <w:gridSpan w:val="37"/>
          </w:tcPr>
          <w:p>
            <w:pPr>
              <w:spacing w:after="0"/>
              <w:rPr>
                <w:sz w:val="9"/>
                <w:szCs w:val="9"/>
                <w:color w:val="auto"/>
              </w:rPr>
            </w:pPr>
          </w:p>
        </w:tc>
        <w:tc>
          <w:tcPr>
            <w:tcW w:w="3700" w:type="dxa"/>
            <w:vAlign w:val="bottom"/>
            <w:gridSpan w:val="24"/>
          </w:tcPr>
          <w:p>
            <w:pPr>
              <w:spacing w:after="0"/>
              <w:rPr>
                <w:sz w:val="20"/>
                <w:szCs w:val="20"/>
                <w:color w:val="auto"/>
              </w:rPr>
            </w:pPr>
            <w:r>
              <w:rPr>
                <w:rFonts w:ascii="Arial" w:cs="Arial" w:eastAsia="Arial" w:hAnsi="Arial"/>
                <w:sz w:val="9"/>
                <w:szCs w:val="9"/>
                <w:b w:val="1"/>
                <w:bCs w:val="1"/>
                <w:color w:val="auto"/>
              </w:rPr>
              <w:t>Additional</w:t>
            </w:r>
          </w:p>
        </w:tc>
        <w:tc>
          <w:tcPr>
            <w:tcW w:w="600" w:type="dxa"/>
            <w:vAlign w:val="bottom"/>
            <w:gridSpan w:val="3"/>
          </w:tcPr>
          <w:p>
            <w:pPr>
              <w:jc w:val="right"/>
              <w:ind w:right="253"/>
              <w:spacing w:after="0"/>
              <w:rPr>
                <w:sz w:val="20"/>
                <w:szCs w:val="20"/>
                <w:color w:val="auto"/>
              </w:rPr>
            </w:pPr>
            <w:r>
              <w:rPr>
                <w:rFonts w:ascii="Arial" w:cs="Arial" w:eastAsia="Arial" w:hAnsi="Arial"/>
                <w:sz w:val="9"/>
                <w:szCs w:val="9"/>
                <w:b w:val="1"/>
                <w:bCs w:val="1"/>
                <w:color w:val="auto"/>
              </w:rPr>
              <w:t>Other</w:t>
            </w:r>
          </w:p>
        </w:tc>
        <w:tc>
          <w:tcPr>
            <w:tcW w:w="3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87"/>
              </w:rPr>
              <w:t>Non-</w:t>
            </w:r>
          </w:p>
        </w:tc>
        <w:tc>
          <w:tcPr>
            <w:tcW w:w="560" w:type="dxa"/>
            <w:vAlign w:val="bottom"/>
            <w:gridSpan w:val="3"/>
          </w:tcPr>
          <w:p>
            <w:pPr>
              <w:spacing w:after="0"/>
              <w:rPr>
                <w:sz w:val="20"/>
                <w:szCs w:val="20"/>
                <w:color w:val="auto"/>
              </w:rPr>
            </w:pPr>
            <w:r>
              <w:rPr>
                <w:rFonts w:ascii="Arial" w:cs="Arial" w:eastAsia="Arial" w:hAnsi="Arial"/>
                <w:sz w:val="9"/>
                <w:szCs w:val="9"/>
                <w:b w:val="1"/>
                <w:bCs w:val="1"/>
                <w:color w:val="auto"/>
                <w:w w:val="90"/>
              </w:rPr>
              <w:t>Stockholders’</w:t>
            </w: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b w:val="1"/>
                <w:bCs w:val="1"/>
                <w:color w:val="auto"/>
              </w:rPr>
              <w:t>Total</w:t>
            </w:r>
          </w:p>
        </w:tc>
        <w:tc>
          <w:tcPr>
            <w:tcW w:w="3060" w:type="dxa"/>
            <w:vAlign w:val="bottom"/>
            <w:gridSpan w:val="19"/>
          </w:tcPr>
          <w:p>
            <w:pPr>
              <w:spacing w:after="0"/>
              <w:rPr>
                <w:sz w:val="20"/>
                <w:szCs w:val="20"/>
                <w:color w:val="auto"/>
              </w:rPr>
            </w:pPr>
            <w:r>
              <w:rPr>
                <w:rFonts w:ascii="Arial" w:cs="Arial" w:eastAsia="Arial" w:hAnsi="Arial"/>
                <w:sz w:val="9"/>
                <w:szCs w:val="9"/>
                <w:b w:val="1"/>
                <w:bCs w:val="1"/>
                <w:color w:val="auto"/>
              </w:rPr>
              <w:t>Paid-in</w:t>
            </w:r>
          </w:p>
        </w:tc>
        <w:tc>
          <w:tcPr>
            <w:tcW w:w="1680" w:type="dxa"/>
            <w:vAlign w:val="bottom"/>
            <w:gridSpan w:val="11"/>
          </w:tcPr>
          <w:p>
            <w:pPr>
              <w:spacing w:after="0"/>
              <w:rPr>
                <w:sz w:val="20"/>
                <w:szCs w:val="20"/>
                <w:color w:val="auto"/>
              </w:rPr>
            </w:pPr>
            <w:r>
              <w:rPr>
                <w:rFonts w:ascii="Arial" w:cs="Arial" w:eastAsia="Arial" w:hAnsi="Arial"/>
                <w:sz w:val="9"/>
                <w:szCs w:val="9"/>
                <w:b w:val="1"/>
                <w:bCs w:val="1"/>
                <w:color w:val="auto"/>
                <w:w w:val="92"/>
              </w:rPr>
              <w:t>Accumulated Comprehensivecontrolling</w:t>
            </w: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Equity</w:t>
            </w:r>
          </w:p>
        </w:tc>
      </w:tr>
      <w:tr>
        <w:trPr>
          <w:trHeight w:val="121"/>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ind w:left="20"/>
              <w:spacing w:after="0"/>
              <w:rPr>
                <w:sz w:val="20"/>
                <w:szCs w:val="20"/>
                <w:color w:val="auto"/>
              </w:rPr>
            </w:pPr>
            <w:r>
              <w:rPr>
                <w:rFonts w:ascii="Arial" w:cs="Arial" w:eastAsia="Arial" w:hAnsi="Arial"/>
                <w:sz w:val="9"/>
                <w:szCs w:val="9"/>
                <w:b w:val="1"/>
                <w:bCs w:val="1"/>
                <w:color w:val="auto"/>
                <w:w w:val="89"/>
              </w:rPr>
              <w:t>shares</w:t>
            </w:r>
          </w:p>
        </w:tc>
        <w:tc>
          <w:tcPr>
            <w:tcW w:w="60" w:type="dxa"/>
            <w:vAlign w:val="bottom"/>
          </w:tcPr>
          <w:p>
            <w:pPr>
              <w:spacing w:after="0"/>
              <w:rPr>
                <w:sz w:val="10"/>
                <w:szCs w:val="10"/>
                <w:color w:val="auto"/>
              </w:rPr>
            </w:pPr>
          </w:p>
        </w:tc>
        <w:tc>
          <w:tcPr>
            <w:tcW w:w="420" w:type="dxa"/>
            <w:vAlign w:val="bottom"/>
            <w:gridSpan w:val="4"/>
          </w:tcPr>
          <w:p>
            <w:pPr>
              <w:ind w:left="20"/>
              <w:spacing w:after="0"/>
              <w:rPr>
                <w:sz w:val="20"/>
                <w:szCs w:val="20"/>
                <w:color w:val="auto"/>
              </w:rPr>
            </w:pPr>
            <w:r>
              <w:rPr>
                <w:rFonts w:ascii="Arial" w:cs="Arial" w:eastAsia="Arial" w:hAnsi="Arial"/>
                <w:sz w:val="9"/>
                <w:szCs w:val="9"/>
                <w:b w:val="1"/>
                <w:bCs w:val="1"/>
                <w:color w:val="auto"/>
              </w:rPr>
              <w:t>Amount</w:t>
            </w:r>
          </w:p>
        </w:tc>
        <w:tc>
          <w:tcPr>
            <w:tcW w:w="42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0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60" w:type="dxa"/>
            <w:vAlign w:val="bottom"/>
            <w:gridSpan w:val="2"/>
          </w:tcPr>
          <w:p>
            <w:pPr>
              <w:ind w:left="60"/>
              <w:spacing w:after="0"/>
              <w:rPr>
                <w:sz w:val="20"/>
                <w:szCs w:val="20"/>
                <w:color w:val="auto"/>
              </w:rPr>
            </w:pPr>
            <w:r>
              <w:rPr>
                <w:rFonts w:ascii="Arial" w:cs="Arial" w:eastAsia="Arial" w:hAnsi="Arial"/>
                <w:sz w:val="9"/>
                <w:szCs w:val="9"/>
                <w:b w:val="1"/>
                <w:bCs w:val="1"/>
                <w:color w:val="auto"/>
              </w:rPr>
              <w:t>Shares</w:t>
            </w:r>
          </w:p>
        </w:tc>
        <w:tc>
          <w:tcPr>
            <w:tcW w:w="400" w:type="dxa"/>
            <w:vAlign w:val="bottom"/>
            <w:gridSpan w:val="3"/>
          </w:tcPr>
          <w:p>
            <w:pPr>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00" w:type="dxa"/>
            <w:vAlign w:val="bottom"/>
            <w:gridSpan w:val="3"/>
          </w:tcPr>
          <w:p>
            <w:pPr>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2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00" w:type="dxa"/>
            <w:vAlign w:val="bottom"/>
            <w:tcBorders>
              <w:right w:val="single" w:sz="8" w:color="auto"/>
            </w:tcBorders>
            <w:gridSpan w:val="3"/>
          </w:tcPr>
          <w:p>
            <w:pPr>
              <w:ind w:left="20"/>
              <w:spacing w:after="0"/>
              <w:rPr>
                <w:sz w:val="20"/>
                <w:szCs w:val="20"/>
                <w:color w:val="auto"/>
              </w:rPr>
            </w:pPr>
            <w:r>
              <w:rPr>
                <w:rFonts w:ascii="Arial" w:cs="Arial" w:eastAsia="Arial" w:hAnsi="Arial"/>
                <w:sz w:val="9"/>
                <w:szCs w:val="9"/>
                <w:b w:val="1"/>
                <w:bCs w:val="1"/>
                <w:color w:val="auto"/>
                <w:w w:val="99"/>
              </w:rPr>
              <w:t>Amount</w:t>
            </w:r>
          </w:p>
        </w:tc>
        <w:tc>
          <w:tcPr>
            <w:tcW w:w="40" w:type="dxa"/>
            <w:vAlign w:val="bottom"/>
          </w:tcPr>
          <w:p>
            <w:pPr>
              <w:spacing w:after="0"/>
              <w:rPr>
                <w:sz w:val="10"/>
                <w:szCs w:val="10"/>
                <w:color w:val="auto"/>
              </w:rPr>
            </w:pP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340" w:type="dxa"/>
            <w:vAlign w:val="bottom"/>
            <w:gridSpan w:val="2"/>
          </w:tcPr>
          <w:p>
            <w:pPr>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3"/>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4"/>
              </w:rPr>
              <w:t>Deficit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Income</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Interest</w:t>
            </w:r>
          </w:p>
        </w:tc>
        <w:tc>
          <w:tcPr>
            <w:tcW w:w="60" w:type="dxa"/>
            <w:vAlign w:val="bottom"/>
          </w:tcPr>
          <w:p>
            <w:pPr>
              <w:spacing w:after="0"/>
              <w:rPr>
                <w:sz w:val="10"/>
                <w:szCs w:val="10"/>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5"/>
              </w:rPr>
              <w:t>(Deficit)</w:t>
            </w:r>
          </w:p>
        </w:tc>
      </w:tr>
      <w:tr>
        <w:trPr>
          <w:trHeight w:val="27"/>
        </w:trPr>
        <w:tc>
          <w:tcPr>
            <w:tcW w:w="2100" w:type="dxa"/>
            <w:vAlign w:val="bottom"/>
            <w:tcBorders>
              <w:right w:val="single" w:sz="8" w:color="auto"/>
            </w:tcBorders>
            <w:gridSpan w:val="12"/>
          </w:tcPr>
          <w:p>
            <w:pPr>
              <w:spacing w:after="0"/>
              <w:rPr>
                <w:sz w:val="2"/>
                <w:szCs w:val="2"/>
                <w:color w:val="auto"/>
              </w:rPr>
            </w:pPr>
          </w:p>
        </w:tc>
        <w:tc>
          <w:tcPr>
            <w:tcW w:w="2540" w:type="dxa"/>
            <w:vAlign w:val="bottom"/>
            <w:tcBorders>
              <w:right w:val="single" w:sz="8" w:color="auto"/>
            </w:tcBorders>
            <w:gridSpan w:val="15"/>
            <w:shd w:val="clear" w:color="auto" w:fill="000000"/>
          </w:tcPr>
          <w:p>
            <w:pPr>
              <w:spacing w:after="0"/>
              <w:rPr>
                <w:sz w:val="2"/>
                <w:szCs w:val="2"/>
                <w:color w:val="auto"/>
              </w:rPr>
            </w:pPr>
          </w:p>
        </w:tc>
        <w:tc>
          <w:tcPr>
            <w:tcW w:w="840" w:type="dxa"/>
            <w:vAlign w:val="bottom"/>
            <w:tcBorders>
              <w:right w:val="single" w:sz="8" w:color="auto"/>
            </w:tcBorders>
            <w:gridSpan w:val="5"/>
            <w:shd w:val="clear" w:color="auto" w:fill="000000"/>
          </w:tcPr>
          <w:p>
            <w:pPr>
              <w:spacing w:after="0"/>
              <w:rPr>
                <w:sz w:val="2"/>
                <w:szCs w:val="2"/>
                <w:color w:val="auto"/>
              </w:rPr>
            </w:pPr>
          </w:p>
        </w:tc>
        <w:tc>
          <w:tcPr>
            <w:tcW w:w="740" w:type="dxa"/>
            <w:vAlign w:val="bottom"/>
            <w:tcBorders>
              <w:right w:val="single" w:sz="8" w:color="auto"/>
            </w:tcBorders>
            <w:gridSpan w:val="5"/>
            <w:shd w:val="clear" w:color="auto" w:fill="000000"/>
          </w:tcPr>
          <w:p>
            <w:pPr>
              <w:spacing w:after="0"/>
              <w:rPr>
                <w:sz w:val="2"/>
                <w:szCs w:val="2"/>
                <w:color w:val="auto"/>
              </w:rPr>
            </w:pPr>
          </w:p>
        </w:tc>
        <w:tc>
          <w:tcPr>
            <w:tcW w:w="5240" w:type="dxa"/>
            <w:vAlign w:val="bottom"/>
            <w:gridSpan w:val="32"/>
          </w:tcPr>
          <w:p>
            <w:pPr>
              <w:spacing w:after="0"/>
              <w:rPr>
                <w:sz w:val="2"/>
                <w:szCs w:val="2"/>
                <w:color w:val="auto"/>
              </w:rPr>
            </w:pPr>
          </w:p>
        </w:tc>
      </w:tr>
      <w:tr>
        <w:trPr>
          <w:trHeight w:val="250"/>
        </w:trPr>
        <w:tc>
          <w:tcPr>
            <w:tcW w:w="780" w:type="dxa"/>
            <w:vAlign w:val="bottom"/>
            <w:gridSpan w:val="2"/>
          </w:tcPr>
          <w:p>
            <w:pPr>
              <w:spacing w:after="0"/>
              <w:rPr>
                <w:sz w:val="21"/>
                <w:szCs w:val="21"/>
                <w:color w:val="auto"/>
              </w:rPr>
            </w:pPr>
          </w:p>
        </w:tc>
        <w:tc>
          <w:tcPr>
            <w:tcW w:w="10580" w:type="dxa"/>
            <w:vAlign w:val="bottom"/>
            <w:tcBorders>
              <w:bottom w:val="single" w:sz="8" w:color="auto"/>
            </w:tcBorders>
            <w:gridSpan w:val="66"/>
          </w:tcPr>
          <w:p>
            <w:pPr>
              <w:spacing w:after="0"/>
              <w:rPr>
                <w:sz w:val="20"/>
                <w:szCs w:val="20"/>
                <w:color w:val="auto"/>
              </w:rPr>
            </w:pPr>
            <w:r>
              <w:rPr>
                <w:rFonts w:ascii="Arial" w:cs="Arial" w:eastAsia="Arial" w:hAnsi="Arial"/>
                <w:sz w:val="9"/>
                <w:szCs w:val="9"/>
                <w:b w:val="1"/>
                <w:bCs w:val="1"/>
                <w:color w:val="auto"/>
              </w:rPr>
              <w:t>(in thousands, except share data)</w:t>
            </w:r>
          </w:p>
        </w:tc>
        <w:tc>
          <w:tcPr>
            <w:tcW w:w="100" w:type="dxa"/>
            <w:vAlign w:val="bottom"/>
          </w:tcPr>
          <w:p>
            <w:pPr>
              <w:spacing w:after="0"/>
              <w:rPr>
                <w:sz w:val="21"/>
                <w:szCs w:val="21"/>
                <w:color w:val="auto"/>
              </w:rPr>
            </w:pPr>
          </w:p>
        </w:tc>
      </w:tr>
      <w:tr>
        <w:trPr>
          <w:trHeight w:val="95"/>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b w:val="1"/>
                <w:bCs w:val="1"/>
                <w:color w:val="auto"/>
              </w:rPr>
              <w:t>Balance at</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b w:val="1"/>
                <w:bCs w:val="1"/>
                <w:color w:val="auto"/>
              </w:rPr>
              <w:t>January 1,</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21"/>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b w:val="1"/>
                <w:bCs w:val="1"/>
                <w:color w:val="auto"/>
              </w:rPr>
              <w:t>2016</w:t>
            </w: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9"/>
                <w:szCs w:val="9"/>
                <w:color w:val="auto"/>
                <w:w w:val="98"/>
              </w:rPr>
              <w:t>385,000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288</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4"/>
              </w:rPr>
              <w:t>1,572,000</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7"/>
              </w:rPr>
              <w:t>1,572</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9"/>
              </w:rPr>
              <w:t>1,360,962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2,041</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1,326,642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4,975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8,876</w:t>
            </w:r>
          </w:p>
        </w:tc>
        <w:tc>
          <w:tcPr>
            <w:tcW w:w="60" w:type="dxa"/>
            <w:vAlign w:val="bottom"/>
            <w:tcBorders>
              <w:right w:val="single" w:sz="8" w:color="auto"/>
            </w:tcBorders>
            <w:shd w:val="clear" w:color="auto" w:fill="CCEEFF"/>
          </w:tcPr>
          <w:p>
            <w:pPr>
              <w:spacing w:after="0"/>
              <w:rPr>
                <w:sz w:val="10"/>
                <w:szCs w:val="10"/>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9"/>
                <w:szCs w:val="9"/>
                <w:color w:val="auto"/>
                <w:w w:val="99"/>
              </w:rPr>
              <w:t>2,047,403</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280</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(10,675)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(84)</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3,757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(4,479)</w:t>
            </w:r>
          </w:p>
        </w:tc>
        <w:tc>
          <w:tcPr>
            <w:tcW w:w="100" w:type="dxa"/>
            <w:vAlign w:val="bottom"/>
            <w:tcBorders>
              <w:left w:val="single" w:sz="8" w:color="CCEEFF"/>
            </w:tcBorders>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color w:val="auto"/>
              </w:rPr>
              <w:t>Net income</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1,031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1,356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2,387</w:t>
            </w:r>
          </w:p>
        </w:tc>
        <w:tc>
          <w:tcPr>
            <w:tcW w:w="100" w:type="dxa"/>
            <w:vAlign w:val="bottom"/>
          </w:tcPr>
          <w:p>
            <w:pPr>
              <w:spacing w:after="0"/>
              <w:rPr>
                <w:sz w:val="9"/>
                <w:szCs w:val="9"/>
                <w:color w:val="auto"/>
              </w:rPr>
            </w:pP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Foreign currency</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translation</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adjustment</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(329)</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(193)</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(522)</w:t>
            </w:r>
          </w:p>
        </w:tc>
        <w:tc>
          <w:tcPr>
            <w:tcW w:w="100" w:type="dxa"/>
            <w:vAlign w:val="bottom"/>
            <w:tcBorders>
              <w:left w:val="single" w:sz="8" w:color="CCEEFF"/>
            </w:tcBorders>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color w:val="auto"/>
              </w:rPr>
              <w:t>Redomestication</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3"/>
          </w:tcPr>
          <w:p>
            <w:pPr>
              <w:ind w:left="60"/>
              <w:spacing w:after="0"/>
              <w:rPr>
                <w:sz w:val="20"/>
                <w:szCs w:val="20"/>
                <w:color w:val="auto"/>
              </w:rPr>
            </w:pPr>
            <w:r>
              <w:rPr>
                <w:rFonts w:ascii="Arial" w:cs="Arial" w:eastAsia="Arial" w:hAnsi="Arial"/>
                <w:sz w:val="9"/>
                <w:szCs w:val="9"/>
                <w:color w:val="auto"/>
                <w:w w:val="86"/>
              </w:rPr>
              <w:t>(2,047,403)</w:t>
            </w:r>
          </w:p>
        </w:tc>
        <w:tc>
          <w:tcPr>
            <w:tcW w:w="100" w:type="dxa"/>
            <w:vAlign w:val="bottom"/>
          </w:tcPr>
          <w:p>
            <w:pPr>
              <w:spacing w:after="0"/>
              <w:rPr>
                <w:sz w:val="9"/>
                <w:szCs w:val="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9"/>
                <w:szCs w:val="9"/>
                <w:color w:val="auto"/>
              </w:rPr>
              <w:t>(280)</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9"/>
                <w:szCs w:val="9"/>
                <w:color w:val="auto"/>
              </w:rPr>
              <w:t>2,047,403</w:t>
            </w:r>
          </w:p>
        </w:tc>
        <w:tc>
          <w:tcPr>
            <w:tcW w:w="24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279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9"/>
                <w:szCs w:val="9"/>
                <w:color w:val="auto"/>
              </w:rPr>
              <w:t>Issuance of stock</w:t>
            </w:r>
          </w:p>
        </w:tc>
        <w:tc>
          <w:tcPr>
            <w:tcW w:w="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4"/>
              </w:rPr>
              <w:t>3,615,800</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9,039</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9,039</w:t>
            </w:r>
          </w:p>
        </w:tc>
        <w:tc>
          <w:tcPr>
            <w:tcW w:w="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left w:val="single" w:sz="8" w:color="CCEEFF"/>
            </w:tcBorders>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color w:val="auto"/>
              </w:rPr>
              <w:t>Debt conversion</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47,454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119</w:t>
            </w:r>
          </w:p>
        </w:tc>
        <w:tc>
          <w:tcPr>
            <w:tcW w:w="6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119</w:t>
            </w:r>
          </w:p>
        </w:tc>
        <w:tc>
          <w:tcPr>
            <w:tcW w:w="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99"/>
              </w:rPr>
              <w:t>1,812,069</w:t>
            </w:r>
          </w:p>
        </w:tc>
        <w:tc>
          <w:tcPr>
            <w:tcW w:w="2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4,131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4,132</w:t>
            </w:r>
          </w:p>
        </w:tc>
        <w:tc>
          <w:tcPr>
            <w:tcW w:w="100" w:type="dxa"/>
            <w:vAlign w:val="bottom"/>
          </w:tcPr>
          <w:p>
            <w:pPr>
              <w:spacing w:after="0"/>
              <w:rPr>
                <w:sz w:val="9"/>
                <w:szCs w:val="9"/>
                <w:color w:val="auto"/>
              </w:rPr>
            </w:pP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Exercise of stock</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option</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416,671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362,335</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584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584</w:t>
            </w:r>
          </w:p>
        </w:tc>
        <w:tc>
          <w:tcPr>
            <w:tcW w:w="100" w:type="dxa"/>
            <w:vAlign w:val="bottom"/>
            <w:tcBorders>
              <w:left w:val="single" w:sz="8" w:color="CCEEFF"/>
            </w:tcBorders>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color w:val="auto"/>
              </w:rPr>
              <w:t>compensation</w:t>
            </w:r>
          </w:p>
        </w:tc>
        <w:tc>
          <w:tcPr>
            <w:tcW w:w="40" w:type="dxa"/>
            <w:vAlign w:val="bottom"/>
          </w:tcPr>
          <w:p>
            <w:pPr>
              <w:spacing w:after="0"/>
              <w:rPr>
                <w:sz w:val="9"/>
                <w:szCs w:val="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383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383</w:t>
            </w:r>
          </w:p>
        </w:tc>
        <w:tc>
          <w:tcPr>
            <w:tcW w:w="100" w:type="dxa"/>
            <w:vAlign w:val="bottom"/>
          </w:tcPr>
          <w:p>
            <w:pPr>
              <w:spacing w:after="0"/>
              <w:rPr>
                <w:sz w:val="9"/>
                <w:szCs w:val="9"/>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6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95"/>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b w:val="1"/>
                <w:bCs w:val="1"/>
                <w:color w:val="auto"/>
              </w:rPr>
              <w:t>Balance at</w:t>
            </w:r>
          </w:p>
        </w:tc>
        <w:tc>
          <w:tcPr>
            <w:tcW w:w="5240" w:type="dxa"/>
            <w:vAlign w:val="bottom"/>
            <w:gridSpan w:val="32"/>
          </w:tcPr>
          <w:p>
            <w:pPr>
              <w:spacing w:after="0"/>
              <w:rPr>
                <w:sz w:val="8"/>
                <w:szCs w:val="8"/>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b w:val="1"/>
                <w:bCs w:val="1"/>
                <w:color w:val="auto"/>
              </w:rPr>
              <w:t>December 31,</w:t>
            </w:r>
          </w:p>
        </w:tc>
        <w:tc>
          <w:tcPr>
            <w:tcW w:w="5240" w:type="dxa"/>
            <w:vAlign w:val="bottom"/>
            <w:gridSpan w:val="32"/>
          </w:tcPr>
          <w:p>
            <w:pPr>
              <w:spacing w:after="0"/>
              <w:rPr>
                <w:sz w:val="9"/>
                <w:szCs w:val="9"/>
                <w:color w:val="auto"/>
              </w:rPr>
            </w:pPr>
          </w:p>
        </w:tc>
      </w:tr>
      <w:tr>
        <w:trPr>
          <w:trHeight w:val="121"/>
        </w:trPr>
        <w:tc>
          <w:tcPr>
            <w:tcW w:w="780" w:type="dxa"/>
            <w:vAlign w:val="bottom"/>
            <w:gridSpan w:val="2"/>
          </w:tcPr>
          <w:p>
            <w:pPr>
              <w:ind w:left="180"/>
              <w:spacing w:after="0"/>
              <w:rPr>
                <w:sz w:val="20"/>
                <w:szCs w:val="20"/>
                <w:color w:val="auto"/>
              </w:rPr>
            </w:pPr>
            <w:r>
              <w:rPr>
                <w:rFonts w:ascii="Arial" w:cs="Arial" w:eastAsia="Arial" w:hAnsi="Arial"/>
                <w:sz w:val="9"/>
                <w:szCs w:val="9"/>
                <w:b w:val="1"/>
                <w:bCs w:val="1"/>
                <w:color w:val="auto"/>
              </w:rPr>
              <w:t>2016</w:t>
            </w:r>
          </w:p>
        </w:tc>
        <w:tc>
          <w:tcPr>
            <w:tcW w:w="400" w:type="dxa"/>
            <w:vAlign w:val="bottom"/>
            <w:gridSpan w:val="3"/>
          </w:tcPr>
          <w:p>
            <w:pPr>
              <w:ind w:left="60"/>
              <w:spacing w:after="0"/>
              <w:rPr>
                <w:sz w:val="20"/>
                <w:szCs w:val="20"/>
                <w:color w:val="auto"/>
              </w:rPr>
            </w:pPr>
            <w:r>
              <w:rPr>
                <w:rFonts w:ascii="Arial" w:cs="Arial" w:eastAsia="Arial" w:hAnsi="Arial"/>
                <w:sz w:val="9"/>
                <w:szCs w:val="9"/>
                <w:color w:val="auto"/>
                <w:w w:val="98"/>
              </w:rPr>
              <w:t>385,000</w:t>
            </w:r>
          </w:p>
        </w:tc>
        <w:tc>
          <w:tcPr>
            <w:tcW w:w="16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288</w:t>
            </w:r>
          </w:p>
        </w:tc>
        <w:tc>
          <w:tcPr>
            <w:tcW w:w="420" w:type="dxa"/>
            <w:vAlign w:val="bottom"/>
            <w:gridSpan w:val="2"/>
          </w:tcPr>
          <w:p>
            <w:pPr>
              <w:ind w:left="20"/>
              <w:spacing w:after="0"/>
              <w:rPr>
                <w:sz w:val="20"/>
                <w:szCs w:val="20"/>
                <w:color w:val="auto"/>
              </w:rPr>
            </w:pPr>
            <w:r>
              <w:rPr>
                <w:rFonts w:ascii="Arial" w:cs="Arial" w:eastAsia="Arial" w:hAnsi="Arial"/>
                <w:sz w:val="9"/>
                <w:szCs w:val="9"/>
                <w:color w:val="auto"/>
                <w:w w:val="94"/>
              </w:rPr>
              <w:t>1,572,000</w:t>
            </w: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w w:val="97"/>
              </w:rPr>
              <w:t>1,572</w:t>
            </w:r>
          </w:p>
        </w:tc>
        <w:tc>
          <w:tcPr>
            <w:tcW w:w="460" w:type="dxa"/>
            <w:vAlign w:val="bottom"/>
            <w:gridSpan w:val="2"/>
          </w:tcPr>
          <w:p>
            <w:pPr>
              <w:ind w:left="40"/>
              <w:spacing w:after="0"/>
              <w:rPr>
                <w:sz w:val="20"/>
                <w:szCs w:val="20"/>
                <w:color w:val="auto"/>
              </w:rPr>
            </w:pPr>
            <w:r>
              <w:rPr>
                <w:rFonts w:ascii="Arial" w:cs="Arial" w:eastAsia="Arial" w:hAnsi="Arial"/>
                <w:sz w:val="9"/>
                <w:szCs w:val="9"/>
                <w:color w:val="auto"/>
                <w:w w:val="99"/>
              </w:rPr>
              <w:t>1,360,962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260" w:type="dxa"/>
            <w:vAlign w:val="bottom"/>
          </w:tcPr>
          <w:p>
            <w:pPr>
              <w:jc w:val="right"/>
              <w:spacing w:after="0"/>
              <w:rPr>
                <w:sz w:val="20"/>
                <w:szCs w:val="20"/>
                <w:color w:val="auto"/>
              </w:rPr>
            </w:pPr>
            <w:r>
              <w:rPr>
                <w:rFonts w:ascii="Arial" w:cs="Arial" w:eastAsia="Arial" w:hAnsi="Arial"/>
                <w:sz w:val="9"/>
                <w:szCs w:val="9"/>
                <w:color w:val="auto"/>
              </w:rPr>
              <w:t>2,041</w:t>
            </w:r>
          </w:p>
        </w:tc>
        <w:tc>
          <w:tcPr>
            <w:tcW w:w="80" w:type="dxa"/>
            <w:vAlign w:val="bottom"/>
          </w:tcPr>
          <w:p>
            <w:pPr>
              <w:spacing w:after="0"/>
              <w:rPr>
                <w:sz w:val="10"/>
                <w:szCs w:val="10"/>
                <w:color w:val="auto"/>
              </w:rPr>
            </w:pP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99"/>
              </w:rPr>
              <w:t>1,326,642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4,975</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0"/>
              <w:spacing w:after="0"/>
              <w:rPr>
                <w:sz w:val="20"/>
                <w:szCs w:val="20"/>
                <w:color w:val="auto"/>
              </w:rPr>
            </w:pPr>
            <w:r>
              <w:rPr>
                <w:rFonts w:ascii="Arial" w:cs="Arial" w:eastAsia="Arial" w:hAnsi="Arial"/>
                <w:sz w:val="9"/>
                <w:szCs w:val="9"/>
                <w:color w:val="auto"/>
                <w:w w:val="94"/>
              </w:rPr>
              <w:t>3,663,254</w:t>
            </w: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9,158</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9"/>
                <w:szCs w:val="9"/>
                <w:color w:val="auto"/>
                <w:w w:val="94"/>
              </w:rPr>
              <w:t>18,034</w:t>
            </w: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99"/>
              </w:rPr>
              <w:t>2,228,740</w:t>
            </w:r>
          </w:p>
        </w:tc>
        <w:tc>
          <w:tcPr>
            <w:tcW w:w="220" w:type="dxa"/>
            <w:vAlign w:val="bottom"/>
          </w:tcPr>
          <w:p>
            <w:pPr>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1</w:t>
            </w:r>
          </w:p>
        </w:tc>
        <w:tc>
          <w:tcPr>
            <w:tcW w:w="500" w:type="dxa"/>
            <w:vAlign w:val="bottom"/>
            <w:gridSpan w:val="3"/>
          </w:tcPr>
          <w:p>
            <w:pPr>
              <w:jc w:val="right"/>
              <w:ind w:right="20"/>
              <w:spacing w:after="0"/>
              <w:rPr>
                <w:sz w:val="20"/>
                <w:szCs w:val="20"/>
                <w:color w:val="auto"/>
              </w:rPr>
            </w:pPr>
            <w:r>
              <w:rPr>
                <w:rFonts w:ascii="Arial" w:cs="Arial" w:eastAsia="Arial" w:hAnsi="Arial"/>
                <w:sz w:val="9"/>
                <w:szCs w:val="9"/>
                <w:color w:val="auto"/>
              </w:rPr>
              <w:t>2,409,738</w:t>
            </w:r>
          </w:p>
        </w:tc>
        <w:tc>
          <w:tcPr>
            <w:tcW w:w="240" w:type="dxa"/>
            <w:vAlign w:val="bottom"/>
          </w:tcPr>
          <w:p>
            <w:pPr>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9"/>
                <w:szCs w:val="9"/>
                <w:color w:val="auto"/>
              </w:rPr>
              <w:t>7,620</w:t>
            </w:r>
          </w:p>
        </w:tc>
        <w:tc>
          <w:tcPr>
            <w:tcW w:w="80" w:type="dxa"/>
            <w:vAlign w:val="bottom"/>
          </w:tcPr>
          <w:p>
            <w:pPr>
              <w:spacing w:after="0"/>
              <w:rPr>
                <w:sz w:val="10"/>
                <w:szCs w:val="10"/>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9"/>
                <w:szCs w:val="9"/>
                <w:color w:val="auto"/>
              </w:rPr>
              <w:t>(9,643)</w:t>
            </w:r>
          </w:p>
        </w:tc>
        <w:tc>
          <w:tcPr>
            <w:tcW w:w="12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(413)</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4,919</w:t>
            </w:r>
          </w:p>
        </w:tc>
        <w:tc>
          <w:tcPr>
            <w:tcW w:w="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2,485</w:t>
            </w:r>
          </w:p>
        </w:tc>
        <w:tc>
          <w:tcPr>
            <w:tcW w:w="10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9"/>
                <w:szCs w:val="9"/>
                <w:color w:val="auto"/>
              </w:rPr>
              <w:t>Net loss</w:t>
            </w:r>
          </w:p>
        </w:tc>
        <w:tc>
          <w:tcPr>
            <w:tcW w:w="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(318)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(554)</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(872)</w:t>
            </w:r>
          </w:p>
        </w:tc>
        <w:tc>
          <w:tcPr>
            <w:tcW w:w="100" w:type="dxa"/>
            <w:vAlign w:val="bottom"/>
            <w:tcBorders>
              <w:left w:val="single" w:sz="8" w:color="CCEEFF"/>
            </w:tcBorders>
          </w:tcPr>
          <w:p>
            <w:pPr>
              <w:spacing w:after="0"/>
              <w:rPr>
                <w:sz w:val="9"/>
                <w:szCs w:val="9"/>
                <w:color w:val="auto"/>
              </w:rPr>
            </w:pPr>
          </w:p>
        </w:tc>
      </w:tr>
      <w:tr>
        <w:trPr>
          <w:trHeight w:val="97"/>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Foreign currency</w:t>
            </w:r>
          </w:p>
        </w:tc>
        <w:tc>
          <w:tcPr>
            <w:tcW w:w="5240" w:type="dxa"/>
            <w:vAlign w:val="bottom"/>
            <w:gridSpan w:val="32"/>
          </w:tcPr>
          <w:p>
            <w:pPr>
              <w:spacing w:after="0"/>
              <w:rPr>
                <w:sz w:val="8"/>
                <w:szCs w:val="8"/>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translation</w:t>
            </w:r>
          </w:p>
        </w:tc>
        <w:tc>
          <w:tcPr>
            <w:tcW w:w="5240" w:type="dxa"/>
            <w:vAlign w:val="bottom"/>
            <w:gridSpan w:val="32"/>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tcPr>
          <w:p>
            <w:pPr>
              <w:ind w:left="160"/>
              <w:spacing w:after="0"/>
              <w:rPr>
                <w:sz w:val="20"/>
                <w:szCs w:val="20"/>
                <w:color w:val="auto"/>
              </w:rPr>
            </w:pPr>
            <w:r>
              <w:rPr>
                <w:rFonts w:ascii="Arial" w:cs="Arial" w:eastAsia="Arial" w:hAnsi="Arial"/>
                <w:sz w:val="9"/>
                <w:szCs w:val="9"/>
                <w:color w:val="auto"/>
              </w:rPr>
              <w:t>adjustment</w:t>
            </w: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535</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185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720</w:t>
            </w:r>
          </w:p>
        </w:tc>
        <w:tc>
          <w:tcPr>
            <w:tcW w:w="100" w:type="dxa"/>
            <w:vAlign w:val="bottom"/>
          </w:tcPr>
          <w:p>
            <w:pPr>
              <w:spacing w:after="0"/>
              <w:rPr>
                <w:sz w:val="10"/>
                <w:szCs w:val="10"/>
                <w:color w:val="auto"/>
              </w:rPr>
            </w:pP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Exercise of stock</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option</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472,887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396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396</w:t>
            </w:r>
          </w:p>
        </w:tc>
        <w:tc>
          <w:tcPr>
            <w:tcW w:w="100" w:type="dxa"/>
            <w:vAlign w:val="bottom"/>
            <w:tcBorders>
              <w:left w:val="single" w:sz="8" w:color="CCEEFF"/>
            </w:tcBorders>
          </w:tcPr>
          <w:p>
            <w:pPr>
              <w:spacing w:after="0"/>
              <w:rPr>
                <w:sz w:val="10"/>
                <w:szCs w:val="10"/>
                <w:color w:val="auto"/>
              </w:rPr>
            </w:pPr>
          </w:p>
        </w:tc>
      </w:tr>
      <w:tr>
        <w:trPr>
          <w:trHeight w:val="97"/>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Stock-based</w:t>
            </w:r>
          </w:p>
        </w:tc>
        <w:tc>
          <w:tcPr>
            <w:tcW w:w="5240" w:type="dxa"/>
            <w:vAlign w:val="bottom"/>
            <w:gridSpan w:val="32"/>
          </w:tcPr>
          <w:p>
            <w:pPr>
              <w:spacing w:after="0"/>
              <w:rPr>
                <w:sz w:val="8"/>
                <w:szCs w:val="8"/>
                <w:color w:val="auto"/>
              </w:rPr>
            </w:pPr>
          </w:p>
        </w:tc>
      </w:tr>
      <w:tr>
        <w:trPr>
          <w:trHeight w:val="119"/>
        </w:trPr>
        <w:tc>
          <w:tcPr>
            <w:tcW w:w="20" w:type="dxa"/>
            <w:vAlign w:val="bottom"/>
          </w:tcPr>
          <w:p>
            <w:pPr>
              <w:spacing w:after="0"/>
              <w:rPr>
                <w:sz w:val="10"/>
                <w:szCs w:val="10"/>
                <w:color w:val="auto"/>
              </w:rPr>
            </w:pPr>
          </w:p>
        </w:tc>
        <w:tc>
          <w:tcPr>
            <w:tcW w:w="760" w:type="dxa"/>
            <w:vAlign w:val="bottom"/>
          </w:tcPr>
          <w:p>
            <w:pPr>
              <w:ind w:left="160"/>
              <w:spacing w:after="0"/>
              <w:rPr>
                <w:sz w:val="20"/>
                <w:szCs w:val="20"/>
                <w:color w:val="auto"/>
              </w:rPr>
            </w:pPr>
            <w:r>
              <w:rPr>
                <w:rFonts w:ascii="Arial" w:cs="Arial" w:eastAsia="Arial" w:hAnsi="Arial"/>
                <w:sz w:val="9"/>
                <w:szCs w:val="9"/>
                <w:color w:val="auto"/>
              </w:rPr>
              <w:t>compensation</w:t>
            </w: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1,622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1,622</w:t>
            </w:r>
          </w:p>
        </w:tc>
        <w:tc>
          <w:tcPr>
            <w:tcW w:w="100" w:type="dxa"/>
            <w:vAlign w:val="bottom"/>
          </w:tcPr>
          <w:p>
            <w:pPr>
              <w:spacing w:after="0"/>
              <w:rPr>
                <w:sz w:val="10"/>
                <w:szCs w:val="10"/>
                <w:color w:val="auto"/>
              </w:rPr>
            </w:pP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Purchase of non-</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controlling</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interest</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5"/>
              </w:rPr>
              <w:t>(16,258)</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(4,550)</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(20,808)</w:t>
            </w:r>
          </w:p>
        </w:tc>
        <w:tc>
          <w:tcPr>
            <w:tcW w:w="100" w:type="dxa"/>
            <w:vAlign w:val="bottom"/>
            <w:tcBorders>
              <w:left w:val="single" w:sz="8" w:color="CCEEFF"/>
            </w:tcBorders>
          </w:tcPr>
          <w:p>
            <w:pPr>
              <w:spacing w:after="0"/>
              <w:rPr>
                <w:sz w:val="10"/>
                <w:szCs w:val="10"/>
                <w:color w:val="auto"/>
              </w:rPr>
            </w:pPr>
          </w:p>
        </w:tc>
      </w:tr>
      <w:tr>
        <w:trPr>
          <w:trHeight w:val="97"/>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Issuance of Series E</w:t>
            </w:r>
          </w:p>
        </w:tc>
        <w:tc>
          <w:tcPr>
            <w:tcW w:w="5240" w:type="dxa"/>
            <w:vAlign w:val="bottom"/>
            <w:gridSpan w:val="32"/>
          </w:tcPr>
          <w:p>
            <w:pPr>
              <w:spacing w:after="0"/>
              <w:rPr>
                <w:sz w:val="8"/>
                <w:szCs w:val="8"/>
                <w:color w:val="auto"/>
              </w:rPr>
            </w:pPr>
          </w:p>
        </w:tc>
      </w:tr>
      <w:tr>
        <w:trPr>
          <w:trHeight w:val="119"/>
        </w:trPr>
        <w:tc>
          <w:tcPr>
            <w:tcW w:w="20" w:type="dxa"/>
            <w:vAlign w:val="bottom"/>
          </w:tcPr>
          <w:p>
            <w:pPr>
              <w:spacing w:after="0"/>
              <w:rPr>
                <w:sz w:val="10"/>
                <w:szCs w:val="10"/>
                <w:color w:val="auto"/>
              </w:rPr>
            </w:pPr>
          </w:p>
        </w:tc>
        <w:tc>
          <w:tcPr>
            <w:tcW w:w="760" w:type="dxa"/>
            <w:vAlign w:val="bottom"/>
          </w:tcPr>
          <w:p>
            <w:pPr>
              <w:ind w:left="160"/>
              <w:spacing w:after="0"/>
              <w:rPr>
                <w:sz w:val="20"/>
                <w:szCs w:val="20"/>
                <w:color w:val="auto"/>
              </w:rPr>
            </w:pPr>
            <w:r>
              <w:rPr>
                <w:rFonts w:ascii="Arial" w:cs="Arial" w:eastAsia="Arial" w:hAnsi="Arial"/>
                <w:sz w:val="9"/>
                <w:szCs w:val="9"/>
                <w:color w:val="auto"/>
                <w:w w:val="92"/>
              </w:rPr>
              <w:t>Preferred Stock</w:t>
            </w: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ind w:left="40"/>
              <w:spacing w:after="0"/>
              <w:rPr>
                <w:sz w:val="20"/>
                <w:szCs w:val="20"/>
                <w:color w:val="auto"/>
              </w:rPr>
            </w:pPr>
            <w:r>
              <w:rPr>
                <w:rFonts w:ascii="Arial" w:cs="Arial" w:eastAsia="Arial" w:hAnsi="Arial"/>
                <w:sz w:val="9"/>
                <w:szCs w:val="9"/>
                <w:color w:val="auto"/>
                <w:w w:val="94"/>
              </w:rPr>
              <w:t>4,998,508</w:t>
            </w: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5,800</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5,800</w:t>
            </w: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Issuance of</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Common Stock</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to Ninebell</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133,334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w:t>
            </w:r>
          </w:p>
        </w:tc>
        <w:tc>
          <w:tcPr>
            <w:tcW w:w="100" w:type="dxa"/>
            <w:vAlign w:val="bottom"/>
            <w:tcBorders>
              <w:left w:val="single" w:sz="8" w:color="CCEEFF"/>
            </w:tcBorders>
          </w:tcPr>
          <w:p>
            <w:pPr>
              <w:spacing w:after="0"/>
              <w:rPr>
                <w:sz w:val="10"/>
                <w:szCs w:val="10"/>
                <w:color w:val="auto"/>
              </w:rPr>
            </w:pPr>
          </w:p>
        </w:tc>
      </w:tr>
      <w:tr>
        <w:trPr>
          <w:trHeight w:val="97"/>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Issuance of</w:t>
            </w:r>
          </w:p>
        </w:tc>
        <w:tc>
          <w:tcPr>
            <w:tcW w:w="5240" w:type="dxa"/>
            <w:vAlign w:val="bottom"/>
            <w:gridSpan w:val="32"/>
          </w:tcPr>
          <w:p>
            <w:pPr>
              <w:spacing w:after="0"/>
              <w:rPr>
                <w:sz w:val="8"/>
                <w:szCs w:val="8"/>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Common Stock</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to Shanghai</w:t>
            </w:r>
          </w:p>
        </w:tc>
        <w:tc>
          <w:tcPr>
            <w:tcW w:w="5240" w:type="dxa"/>
            <w:vAlign w:val="bottom"/>
            <w:gridSpan w:val="32"/>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tcPr>
          <w:p>
            <w:pPr>
              <w:ind w:left="160"/>
              <w:spacing w:after="0"/>
              <w:rPr>
                <w:sz w:val="20"/>
                <w:szCs w:val="20"/>
                <w:color w:val="auto"/>
              </w:rPr>
            </w:pPr>
            <w:r>
              <w:rPr>
                <w:rFonts w:ascii="Arial" w:cs="Arial" w:eastAsia="Arial" w:hAnsi="Arial"/>
                <w:sz w:val="9"/>
                <w:szCs w:val="9"/>
                <w:color w:val="auto"/>
                <w:w w:val="91"/>
              </w:rPr>
              <w:t>and Pudong VC</w:t>
            </w: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99"/>
              </w:rPr>
              <w:t>1,906,674</w:t>
            </w:r>
          </w:p>
        </w:tc>
        <w:tc>
          <w:tcPr>
            <w:tcW w:w="2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14,299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14,299</w:t>
            </w:r>
          </w:p>
        </w:tc>
        <w:tc>
          <w:tcPr>
            <w:tcW w:w="100" w:type="dxa"/>
            <w:vAlign w:val="bottom"/>
          </w:tcPr>
          <w:p>
            <w:pPr>
              <w:spacing w:after="0"/>
              <w:rPr>
                <w:sz w:val="10"/>
                <w:szCs w:val="10"/>
                <w:color w:val="auto"/>
              </w:rPr>
            </w:pP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Convertible</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preferred shares</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converted to</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common shares</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in connection</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with initial</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public offering</w:t>
            </w: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9"/>
                <w:szCs w:val="9"/>
                <w:color w:val="auto"/>
                <w:w w:val="82"/>
              </w:rPr>
              <w:t>(385,000)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4"/>
              </w:rPr>
              <w:t>(288)</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82"/>
              </w:rPr>
              <w:t>(1,572,000)</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1"/>
              </w:rPr>
              <w:t>(1,572)</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86"/>
              </w:rPr>
              <w:t>(1,360,962)</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1"/>
              </w:rPr>
              <w:t>(2,041)</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86"/>
              </w:rPr>
              <w:t>(1,326,642)</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8"/>
              </w:rPr>
              <w:t>(4,975)</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82"/>
              </w:rPr>
              <w:t>(4,998,508)</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1"/>
              </w:rPr>
              <w:t>(5,800)</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82"/>
              </w:rPr>
              <w:t>(3,663,254)</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8"/>
              </w:rPr>
              <w:t>(9,158)</w:t>
            </w:r>
          </w:p>
        </w:tc>
        <w:tc>
          <w:tcPr>
            <w:tcW w:w="40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9"/>
                <w:szCs w:val="9"/>
                <w:color w:val="auto"/>
              </w:rPr>
              <w:t>(23,834)</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4,627,577</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23,834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23,834</w:t>
            </w:r>
          </w:p>
        </w:tc>
        <w:tc>
          <w:tcPr>
            <w:tcW w:w="100" w:type="dxa"/>
            <w:vAlign w:val="bottom"/>
            <w:tcBorders>
              <w:left w:val="single" w:sz="8" w:color="CCEEFF"/>
            </w:tcBorders>
          </w:tcPr>
          <w:p>
            <w:pPr>
              <w:spacing w:after="0"/>
              <w:rPr>
                <w:sz w:val="10"/>
                <w:szCs w:val="10"/>
                <w:color w:val="auto"/>
              </w:rPr>
            </w:pPr>
          </w:p>
        </w:tc>
      </w:tr>
      <w:tr>
        <w:trPr>
          <w:trHeight w:val="97"/>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Issuance of Class A</w:t>
            </w:r>
          </w:p>
        </w:tc>
        <w:tc>
          <w:tcPr>
            <w:tcW w:w="5240" w:type="dxa"/>
            <w:vAlign w:val="bottom"/>
            <w:gridSpan w:val="32"/>
          </w:tcPr>
          <w:p>
            <w:pPr>
              <w:spacing w:after="0"/>
              <w:rPr>
                <w:sz w:val="8"/>
                <w:szCs w:val="8"/>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common stock</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in connection</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with initial</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public offering</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and concurrent</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private</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placement, net</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of issuance</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costs of $2,791</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and</w:t>
            </w:r>
          </w:p>
        </w:tc>
        <w:tc>
          <w:tcPr>
            <w:tcW w:w="5240" w:type="dxa"/>
            <w:vAlign w:val="bottom"/>
            <w:gridSpan w:val="32"/>
          </w:tcPr>
          <w:p>
            <w:pPr>
              <w:spacing w:after="0"/>
              <w:rPr>
                <w:sz w:val="9"/>
                <w:szCs w:val="9"/>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underwriter's</w:t>
            </w:r>
          </w:p>
        </w:tc>
        <w:tc>
          <w:tcPr>
            <w:tcW w:w="5240" w:type="dxa"/>
            <w:vAlign w:val="bottom"/>
            <w:gridSpan w:val="32"/>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tcPr>
          <w:p>
            <w:pPr>
              <w:ind w:left="160"/>
              <w:spacing w:after="0"/>
              <w:rPr>
                <w:sz w:val="20"/>
                <w:szCs w:val="20"/>
                <w:color w:val="auto"/>
              </w:rPr>
            </w:pPr>
            <w:r>
              <w:rPr>
                <w:rFonts w:ascii="Arial" w:cs="Arial" w:eastAsia="Arial" w:hAnsi="Arial"/>
                <w:sz w:val="9"/>
                <w:szCs w:val="9"/>
                <w:color w:val="auto"/>
                <w:w w:val="92"/>
              </w:rPr>
              <w:t>warrant of $137</w:t>
            </w: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99"/>
              </w:rPr>
              <w:t>3,566,334</w:t>
            </w:r>
          </w:p>
        </w:tc>
        <w:tc>
          <w:tcPr>
            <w:tcW w:w="2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17,044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17,044</w:t>
            </w:r>
          </w:p>
        </w:tc>
        <w:tc>
          <w:tcPr>
            <w:tcW w:w="100" w:type="dxa"/>
            <w:vAlign w:val="bottom"/>
          </w:tcPr>
          <w:p>
            <w:pPr>
              <w:spacing w:after="0"/>
              <w:rPr>
                <w:sz w:val="10"/>
                <w:szCs w:val="10"/>
                <w:color w:val="auto"/>
              </w:rPr>
            </w:pPr>
          </w:p>
        </w:tc>
      </w:tr>
      <w:tr>
        <w:trPr>
          <w:trHeight w:val="97"/>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Issuance of</w:t>
            </w:r>
          </w:p>
        </w:tc>
        <w:tc>
          <w:tcPr>
            <w:tcW w:w="2540" w:type="dxa"/>
            <w:vAlign w:val="bottom"/>
            <w:tcBorders>
              <w:right w:val="single" w:sz="8" w:color="CCEEFF"/>
            </w:tcBorders>
            <w:gridSpan w:val="15"/>
            <w:shd w:val="clear" w:color="auto" w:fill="CCEEFF"/>
          </w:tcPr>
          <w:p>
            <w:pPr>
              <w:spacing w:after="0"/>
              <w:rPr>
                <w:sz w:val="8"/>
                <w:szCs w:val="8"/>
                <w:color w:val="auto"/>
              </w:rPr>
            </w:pPr>
          </w:p>
        </w:tc>
        <w:tc>
          <w:tcPr>
            <w:tcW w:w="840" w:type="dxa"/>
            <w:vAlign w:val="bottom"/>
            <w:tcBorders>
              <w:right w:val="single" w:sz="8" w:color="CCEEFF"/>
            </w:tcBorders>
            <w:gridSpan w:val="5"/>
            <w:shd w:val="clear" w:color="auto" w:fill="CCEEFF"/>
          </w:tcPr>
          <w:p>
            <w:pPr>
              <w:spacing w:after="0"/>
              <w:rPr>
                <w:sz w:val="8"/>
                <w:szCs w:val="8"/>
                <w:color w:val="auto"/>
              </w:rPr>
            </w:pPr>
          </w:p>
        </w:tc>
        <w:tc>
          <w:tcPr>
            <w:tcW w:w="740" w:type="dxa"/>
            <w:vAlign w:val="bottom"/>
            <w:tcBorders>
              <w:right w:val="single" w:sz="8" w:color="auto"/>
            </w:tcBorders>
            <w:gridSpan w:val="5"/>
            <w:shd w:val="clear" w:color="auto" w:fill="CCEEFF"/>
          </w:tcPr>
          <w:p>
            <w:pPr>
              <w:spacing w:after="0"/>
              <w:rPr>
                <w:sz w:val="8"/>
                <w:szCs w:val="8"/>
                <w:color w:val="auto"/>
              </w:rPr>
            </w:pPr>
          </w:p>
        </w:tc>
        <w:tc>
          <w:tcPr>
            <w:tcW w:w="5140" w:type="dxa"/>
            <w:vAlign w:val="bottom"/>
            <w:gridSpan w:val="31"/>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r>
      <w:tr>
        <w:trPr>
          <w:trHeight w:val="108"/>
        </w:trPr>
        <w:tc>
          <w:tcPr>
            <w:tcW w:w="2100" w:type="dxa"/>
            <w:vAlign w:val="bottom"/>
            <w:tcBorders>
              <w:right w:val="single" w:sz="8" w:color="CCEEFF"/>
            </w:tcBorders>
            <w:gridSpan w:val="12"/>
          </w:tcPr>
          <w:p>
            <w:pPr>
              <w:spacing w:after="0"/>
              <w:rPr>
                <w:sz w:val="20"/>
                <w:szCs w:val="20"/>
                <w:color w:val="auto"/>
              </w:rPr>
            </w:pPr>
            <w:r>
              <w:rPr>
                <w:rFonts w:ascii="Arial" w:cs="Arial" w:eastAsia="Arial" w:hAnsi="Arial"/>
                <w:sz w:val="9"/>
                <w:szCs w:val="9"/>
                <w:color w:val="auto"/>
              </w:rPr>
              <w:t>underwriter's</w:t>
            </w:r>
          </w:p>
        </w:tc>
        <w:tc>
          <w:tcPr>
            <w:tcW w:w="2540" w:type="dxa"/>
            <w:vAlign w:val="bottom"/>
            <w:tcBorders>
              <w:right w:val="single" w:sz="8" w:color="CCEEFF"/>
            </w:tcBorders>
            <w:gridSpan w:val="15"/>
            <w:shd w:val="clear" w:color="auto" w:fill="CCEEFF"/>
          </w:tcPr>
          <w:p>
            <w:pPr>
              <w:spacing w:after="0"/>
              <w:rPr>
                <w:sz w:val="9"/>
                <w:szCs w:val="9"/>
                <w:color w:val="auto"/>
              </w:rPr>
            </w:pPr>
          </w:p>
        </w:tc>
        <w:tc>
          <w:tcPr>
            <w:tcW w:w="840" w:type="dxa"/>
            <w:vAlign w:val="bottom"/>
            <w:tcBorders>
              <w:right w:val="single" w:sz="8" w:color="CCEEFF"/>
            </w:tcBorders>
            <w:gridSpan w:val="5"/>
            <w:shd w:val="clear" w:color="auto" w:fill="CCEEFF"/>
          </w:tcPr>
          <w:p>
            <w:pPr>
              <w:spacing w:after="0"/>
              <w:rPr>
                <w:sz w:val="9"/>
                <w:szCs w:val="9"/>
                <w:color w:val="auto"/>
              </w:rPr>
            </w:pPr>
          </w:p>
        </w:tc>
        <w:tc>
          <w:tcPr>
            <w:tcW w:w="740" w:type="dxa"/>
            <w:vAlign w:val="bottom"/>
            <w:tcBorders>
              <w:right w:val="single" w:sz="8" w:color="auto"/>
            </w:tcBorders>
            <w:gridSpan w:val="5"/>
            <w:shd w:val="clear" w:color="auto" w:fill="CCEEFF"/>
          </w:tcPr>
          <w:p>
            <w:pPr>
              <w:spacing w:after="0"/>
              <w:rPr>
                <w:sz w:val="9"/>
                <w:szCs w:val="9"/>
                <w:color w:val="auto"/>
              </w:rPr>
            </w:pPr>
          </w:p>
        </w:tc>
        <w:tc>
          <w:tcPr>
            <w:tcW w:w="5140" w:type="dxa"/>
            <w:vAlign w:val="bottom"/>
            <w:gridSpan w:val="31"/>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shd w:val="clear" w:color="auto" w:fill="CCEEFF"/>
          </w:tcPr>
          <w:p>
            <w:pPr>
              <w:ind w:left="160"/>
              <w:spacing w:after="0"/>
              <w:rPr>
                <w:sz w:val="20"/>
                <w:szCs w:val="20"/>
                <w:color w:val="auto"/>
              </w:rPr>
            </w:pPr>
            <w:r>
              <w:rPr>
                <w:rFonts w:ascii="Arial" w:cs="Arial" w:eastAsia="Arial" w:hAnsi="Arial"/>
                <w:sz w:val="9"/>
                <w:szCs w:val="9"/>
                <w:color w:val="auto"/>
              </w:rPr>
              <w:t>warrant</w:t>
            </w:r>
          </w:p>
        </w:tc>
        <w:tc>
          <w:tcPr>
            <w:tcW w:w="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w:t>
            </w:r>
          </w:p>
        </w:tc>
        <w:tc>
          <w:tcPr>
            <w:tcW w:w="100" w:type="dxa"/>
            <w:vAlign w:val="bottom"/>
            <w:tcBorders>
              <w:left w:val="single" w:sz="8" w:color="CCEEFF"/>
            </w:tcBorders>
          </w:tcPr>
          <w:p>
            <w:pPr>
              <w:spacing w:after="0"/>
              <w:rPr>
                <w:sz w:val="10"/>
                <w:szCs w:val="10"/>
                <w:color w:val="auto"/>
              </w:rPr>
            </w:pPr>
          </w:p>
        </w:tc>
      </w:tr>
      <w:tr>
        <w:trPr>
          <w:trHeight w:val="97"/>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Reclassification of</w:t>
            </w:r>
          </w:p>
        </w:tc>
        <w:tc>
          <w:tcPr>
            <w:tcW w:w="5240" w:type="dxa"/>
            <w:vAlign w:val="bottom"/>
            <w:gridSpan w:val="32"/>
          </w:tcPr>
          <w:p>
            <w:pPr>
              <w:spacing w:after="0"/>
              <w:rPr>
                <w:sz w:val="8"/>
                <w:szCs w:val="8"/>
                <w:color w:val="auto"/>
              </w:rPr>
            </w:pPr>
          </w:p>
        </w:tc>
      </w:tr>
      <w:tr>
        <w:trPr>
          <w:trHeight w:val="108"/>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color w:val="auto"/>
              </w:rPr>
              <w:t>reverse split par</w:t>
            </w:r>
          </w:p>
        </w:tc>
        <w:tc>
          <w:tcPr>
            <w:tcW w:w="5240" w:type="dxa"/>
            <w:vAlign w:val="bottom"/>
            <w:gridSpan w:val="32"/>
          </w:tcPr>
          <w:p>
            <w:pPr>
              <w:spacing w:after="0"/>
              <w:rPr>
                <w:sz w:val="9"/>
                <w:szCs w:val="9"/>
                <w:color w:val="auto"/>
              </w:rPr>
            </w:pPr>
          </w:p>
        </w:tc>
      </w:tr>
      <w:tr>
        <w:trPr>
          <w:trHeight w:val="119"/>
        </w:trPr>
        <w:tc>
          <w:tcPr>
            <w:tcW w:w="20" w:type="dxa"/>
            <w:vAlign w:val="bottom"/>
          </w:tcPr>
          <w:p>
            <w:pPr>
              <w:spacing w:after="0"/>
              <w:rPr>
                <w:sz w:val="10"/>
                <w:szCs w:val="10"/>
                <w:color w:val="auto"/>
              </w:rPr>
            </w:pPr>
          </w:p>
        </w:tc>
        <w:tc>
          <w:tcPr>
            <w:tcW w:w="760" w:type="dxa"/>
            <w:vAlign w:val="bottom"/>
          </w:tcPr>
          <w:p>
            <w:pPr>
              <w:ind w:left="160"/>
              <w:spacing w:after="0"/>
              <w:rPr>
                <w:sz w:val="20"/>
                <w:szCs w:val="20"/>
                <w:color w:val="auto"/>
              </w:rPr>
            </w:pPr>
            <w:r>
              <w:rPr>
                <w:rFonts w:ascii="Arial" w:cs="Arial" w:eastAsia="Arial" w:hAnsi="Arial"/>
                <w:sz w:val="9"/>
                <w:szCs w:val="9"/>
                <w:color w:val="auto"/>
              </w:rPr>
              <w:t>value</w:t>
            </w: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223"/>
        </w:trPr>
        <w:tc>
          <w:tcPr>
            <w:tcW w:w="20" w:type="dxa"/>
            <w:vAlign w:val="bottom"/>
          </w:tcPr>
          <w:p>
            <w:pPr>
              <w:spacing w:after="0"/>
              <w:rPr>
                <w:sz w:val="19"/>
                <w:szCs w:val="19"/>
                <w:color w:val="auto"/>
              </w:rPr>
            </w:pPr>
          </w:p>
        </w:tc>
        <w:tc>
          <w:tcPr>
            <w:tcW w:w="80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6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r>
      <w:tr>
        <w:trPr>
          <w:trHeight w:val="95"/>
        </w:trPr>
        <w:tc>
          <w:tcPr>
            <w:tcW w:w="6220" w:type="dxa"/>
            <w:vAlign w:val="bottom"/>
            <w:tcBorders>
              <w:right w:val="single" w:sz="8" w:color="auto"/>
            </w:tcBorders>
            <w:gridSpan w:val="37"/>
          </w:tcPr>
          <w:p>
            <w:pPr>
              <w:spacing w:after="0"/>
              <w:rPr>
                <w:sz w:val="20"/>
                <w:szCs w:val="20"/>
                <w:color w:val="auto"/>
              </w:rPr>
            </w:pPr>
            <w:r>
              <w:rPr>
                <w:rFonts w:ascii="Arial" w:cs="Arial" w:eastAsia="Arial" w:hAnsi="Arial"/>
                <w:sz w:val="9"/>
                <w:szCs w:val="9"/>
                <w:b w:val="1"/>
                <w:bCs w:val="1"/>
                <w:color w:val="auto"/>
              </w:rPr>
              <w:t>Balance at</w:t>
            </w:r>
          </w:p>
        </w:tc>
        <w:tc>
          <w:tcPr>
            <w:tcW w:w="5240" w:type="dxa"/>
            <w:vAlign w:val="bottom"/>
            <w:gridSpan w:val="32"/>
          </w:tcPr>
          <w:p>
            <w:pPr>
              <w:spacing w:after="0"/>
              <w:rPr>
                <w:sz w:val="8"/>
                <w:szCs w:val="8"/>
                <w:color w:val="auto"/>
              </w:rPr>
            </w:pPr>
          </w:p>
        </w:tc>
      </w:tr>
      <w:tr>
        <w:trPr>
          <w:trHeight w:val="121"/>
        </w:trPr>
        <w:tc>
          <w:tcPr>
            <w:tcW w:w="780" w:type="dxa"/>
            <w:vAlign w:val="bottom"/>
            <w:gridSpan w:val="2"/>
          </w:tcPr>
          <w:p>
            <w:pPr>
              <w:spacing w:after="0"/>
              <w:rPr>
                <w:sz w:val="20"/>
                <w:szCs w:val="20"/>
                <w:color w:val="auto"/>
              </w:rPr>
            </w:pPr>
            <w:r>
              <w:rPr>
                <w:rFonts w:ascii="Arial" w:cs="Arial" w:eastAsia="Arial" w:hAnsi="Arial"/>
                <w:sz w:val="9"/>
                <w:szCs w:val="9"/>
                <w:b w:val="1"/>
                <w:bCs w:val="1"/>
                <w:color w:val="auto"/>
                <w:w w:val="93"/>
              </w:rPr>
              <w:t>December 31, 2017</w:t>
            </w:r>
          </w:p>
        </w:tc>
        <w:tc>
          <w:tcPr>
            <w:tcW w:w="400" w:type="dxa"/>
            <w:vAlign w:val="bottom"/>
            <w:gridSpan w:val="3"/>
          </w:tcPr>
          <w:p>
            <w:pPr>
              <w:jc w:val="right"/>
              <w:ind w:right="40"/>
              <w:spacing w:after="0"/>
              <w:rPr>
                <w:sz w:val="20"/>
                <w:szCs w:val="20"/>
                <w:color w:val="auto"/>
              </w:rPr>
            </w:pPr>
            <w:r>
              <w:rPr>
                <w:rFonts w:ascii="Arial" w:cs="Arial" w:eastAsia="Arial" w:hAnsi="Arial"/>
                <w:sz w:val="9"/>
                <w:szCs w:val="9"/>
                <w:color w:val="auto"/>
              </w:rPr>
              <w:t>-</w:t>
            </w:r>
          </w:p>
        </w:tc>
        <w:tc>
          <w:tcPr>
            <w:tcW w:w="16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gridSpan w:val="3"/>
          </w:tcPr>
          <w:p>
            <w:pPr>
              <w:ind w:left="20"/>
              <w:spacing w:after="0"/>
              <w:rPr>
                <w:sz w:val="20"/>
                <w:szCs w:val="20"/>
                <w:color w:val="auto"/>
              </w:rPr>
            </w:pPr>
            <w:r>
              <w:rPr>
                <w:rFonts w:ascii="Arial" w:cs="Arial" w:eastAsia="Arial" w:hAnsi="Arial"/>
                <w:sz w:val="9"/>
                <w:szCs w:val="9"/>
                <w:color w:val="auto"/>
              </w:rPr>
              <w:t>12,935,546$</w:t>
            </w:r>
          </w:p>
        </w:tc>
        <w:tc>
          <w:tcPr>
            <w:tcW w:w="120" w:type="dxa"/>
            <w:vAlign w:val="bottom"/>
          </w:tcPr>
          <w:p>
            <w:pPr>
              <w:jc w:val="right"/>
              <w:spacing w:after="0"/>
              <w:rPr>
                <w:sz w:val="20"/>
                <w:szCs w:val="20"/>
                <w:color w:val="auto"/>
              </w:rPr>
            </w:pPr>
            <w:r>
              <w:rPr>
                <w:rFonts w:ascii="Arial" w:cs="Arial" w:eastAsia="Arial" w:hAnsi="Arial"/>
                <w:sz w:val="9"/>
                <w:szCs w:val="9"/>
                <w:color w:val="auto"/>
              </w:rPr>
              <w:t>1</w:t>
            </w:r>
          </w:p>
        </w:tc>
        <w:tc>
          <w:tcPr>
            <w:tcW w:w="500" w:type="dxa"/>
            <w:vAlign w:val="bottom"/>
            <w:gridSpan w:val="3"/>
          </w:tcPr>
          <w:p>
            <w:pPr>
              <w:jc w:val="right"/>
              <w:ind w:right="20"/>
              <w:spacing w:after="0"/>
              <w:rPr>
                <w:sz w:val="20"/>
                <w:szCs w:val="20"/>
                <w:color w:val="auto"/>
              </w:rPr>
            </w:pPr>
            <w:r>
              <w:rPr>
                <w:rFonts w:ascii="Arial" w:cs="Arial" w:eastAsia="Arial" w:hAnsi="Arial"/>
                <w:sz w:val="9"/>
                <w:szCs w:val="9"/>
                <w:color w:val="auto"/>
              </w:rPr>
              <w:t>2,409,738</w:t>
            </w:r>
          </w:p>
        </w:tc>
        <w:tc>
          <w:tcPr>
            <w:tcW w:w="240" w:type="dxa"/>
            <w:vAlign w:val="bottom"/>
          </w:tcPr>
          <w:p>
            <w:pPr>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9"/>
                <w:szCs w:val="9"/>
                <w:color w:val="auto"/>
              </w:rPr>
              <w:t>49,695</w:t>
            </w:r>
          </w:p>
        </w:tc>
        <w:tc>
          <w:tcPr>
            <w:tcW w:w="80" w:type="dxa"/>
            <w:vAlign w:val="bottom"/>
          </w:tcPr>
          <w:p>
            <w:pPr>
              <w:spacing w:after="0"/>
              <w:rPr>
                <w:sz w:val="10"/>
                <w:szCs w:val="10"/>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9"/>
                <w:szCs w:val="9"/>
                <w:color w:val="auto"/>
              </w:rPr>
              <w:t>(9,961)</w:t>
            </w:r>
          </w:p>
        </w:tc>
        <w:tc>
          <w:tcPr>
            <w:tcW w:w="12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122</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39,857</w:t>
            </w:r>
          </w:p>
        </w:tc>
        <w:tc>
          <w:tcPr>
            <w:tcW w:w="100" w:type="dxa"/>
            <w:vAlign w:val="bottom"/>
          </w:tcPr>
          <w:p>
            <w:pPr>
              <w:spacing w:after="0"/>
              <w:rPr>
                <w:sz w:val="10"/>
                <w:szCs w:val="10"/>
                <w:color w:val="auto"/>
              </w:rPr>
            </w:pPr>
          </w:p>
        </w:tc>
      </w:tr>
      <w:tr>
        <w:trPr>
          <w:trHeight w:val="21"/>
        </w:trPr>
        <w:tc>
          <w:tcPr>
            <w:tcW w:w="820" w:type="dxa"/>
            <w:vAlign w:val="bottom"/>
            <w:gridSpan w:val="3"/>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29" w:right="19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18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26"/>
              <w:spacing w:after="0" w:line="162" w:lineRule="exact"/>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5"/>
                <w:szCs w:val="15"/>
                <w:i w:val="1"/>
                <w:iCs w:val="1"/>
                <w:color w:val="auto"/>
              </w:rPr>
              <w:t>(in thousands)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Net income (loss)</w:t>
            </w:r>
          </w:p>
        </w:tc>
        <w:tc>
          <w:tcPr>
            <w:tcW w:w="240" w:type="dxa"/>
            <w:vAlign w:val="bottom"/>
          </w:tcPr>
          <w:p>
            <w:pPr>
              <w:jc w:val="right"/>
              <w:ind w:right="86"/>
              <w:spacing w:after="0" w:line="162"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(872)</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2,387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(loss) from operations to net cash provided by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271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Undistributed earnings from investments in equity method affiliates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(37)</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Loss on disposals of fixed assets, intangible assets and other long-term assets</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Net loss from debt conversion and interest waiver</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Deferred income taxes</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659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436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Stock-based compensation</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1,622</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320"/>
              <w:spacing w:after="0" w:line="162" w:lineRule="exact"/>
              <w:rPr>
                <w:sz w:val="20"/>
                <w:szCs w:val="20"/>
                <w:color w:val="auto"/>
              </w:rPr>
            </w:pPr>
            <w:r>
              <w:rPr>
                <w:rFonts w:ascii="Arial" w:cs="Arial" w:eastAsia="Arial" w:hAnsi="Arial"/>
                <w:sz w:val="15"/>
                <w:szCs w:val="15"/>
                <w:color w:val="auto"/>
              </w:rPr>
              <w:t>Net changes in operating assets and liabilities: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(9,757)</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(4,724)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color w:val="auto"/>
              </w:rPr>
              <w:t>Other receivables</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332</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Inventory</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(3,073)</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(3,055)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color w:val="auto"/>
              </w:rPr>
              <w:t>Prepaid expenses</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256</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Other current assets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1,905</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3,177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Advances from customers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(127)</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(4,078)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ind w:left="640"/>
              <w:spacing w:after="0" w:line="162" w:lineRule="exact"/>
              <w:rPr>
                <w:sz w:val="20"/>
                <w:szCs w:val="20"/>
                <w:color w:val="auto"/>
              </w:rPr>
            </w:pPr>
            <w:r>
              <w:rPr>
                <w:rFonts w:ascii="Arial" w:cs="Arial" w:eastAsia="Arial" w:hAnsi="Arial"/>
                <w:sz w:val="15"/>
                <w:szCs w:val="15"/>
                <w:color w:val="auto"/>
              </w:rPr>
              <w:t>Other payables and accrued expenses</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1,789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ind w:left="640"/>
              <w:spacing w:after="0" w:line="162" w:lineRule="exact"/>
              <w:rPr>
                <w:sz w:val="20"/>
                <w:szCs w:val="20"/>
                <w:color w:val="auto"/>
              </w:rPr>
            </w:pPr>
            <w:r>
              <w:rPr>
                <w:rFonts w:ascii="Arial" w:cs="Arial" w:eastAsia="Arial" w:hAnsi="Arial"/>
                <w:sz w:val="15"/>
                <w:szCs w:val="15"/>
                <w:color w:val="auto"/>
              </w:rPr>
              <w:t>Other long-term liabilities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(1,078)</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ind w:left="960"/>
              <w:spacing w:after="0" w:line="162" w:lineRule="exact"/>
              <w:rPr>
                <w:sz w:val="20"/>
                <w:szCs w:val="20"/>
                <w:color w:val="auto"/>
              </w:rPr>
            </w:pPr>
            <w:r>
              <w:rPr>
                <w:rFonts w:ascii="Arial" w:cs="Arial" w:eastAsia="Arial" w:hAnsi="Arial"/>
                <w:sz w:val="15"/>
                <w:szCs w:val="15"/>
                <w:b w:val="1"/>
                <w:bCs w:val="1"/>
                <w:color w:val="auto"/>
              </w:rPr>
              <w:t>Net cash used in operating activities</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(8,101)</w:t>
            </w:r>
          </w:p>
        </w:tc>
        <w:tc>
          <w:tcPr>
            <w:tcW w:w="34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(3,702)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property and equipment</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(651)</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Purchase of intangible assets</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(115)</w:t>
            </w:r>
          </w:p>
        </w:tc>
        <w:tc>
          <w:tcPr>
            <w:tcW w:w="34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 from disposal of property and equipment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Loan to related party</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(946)</w:t>
            </w: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non-controlling interest</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(20,808)</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Investment in affiliates, equity method</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(1,200)</w:t>
            </w: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shd w:val="clear" w:color="auto" w:fill="CCEEFF"/>
          </w:tcPr>
          <w:p>
            <w:pPr>
              <w:ind w:left="960"/>
              <w:spacing w:after="0" w:line="162" w:lineRule="exact"/>
              <w:rPr>
                <w:sz w:val="20"/>
                <w:szCs w:val="20"/>
                <w:color w:val="auto"/>
              </w:rPr>
            </w:pPr>
            <w:r>
              <w:rPr>
                <w:rFonts w:ascii="Arial" w:cs="Arial" w:eastAsia="Arial" w:hAnsi="Arial"/>
                <w:sz w:val="15"/>
                <w:szCs w:val="15"/>
                <w:b w:val="1"/>
                <w:bCs w:val="1"/>
                <w:color w:val="auto"/>
              </w:rPr>
              <w:t>Net cash used in investing activities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(23,720)</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(810)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Proceeds from short-term borrowings</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11,154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5,918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Repayments of short-term borrowings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(11,110)</w:t>
            </w: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(7,575)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Investors’ deposit</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2,902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stock option exercise to common stock</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396</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Proceeds from issuance of Series E convertible preferred stock</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5,800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issuance of Series F convertible preferred stock</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9,040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0" w:type="dxa"/>
            <w:vAlign w:val="bottom"/>
          </w:tcPr>
          <w:p>
            <w:pPr>
              <w:spacing w:after="0" w:line="153" w:lineRule="exact"/>
              <w:rPr>
                <w:sz w:val="20"/>
                <w:szCs w:val="20"/>
                <w:color w:val="auto"/>
              </w:rPr>
            </w:pPr>
            <w:r>
              <w:rPr>
                <w:rFonts w:ascii="Arial" w:cs="Arial" w:eastAsia="Arial" w:hAnsi="Arial"/>
                <w:sz w:val="15"/>
                <w:szCs w:val="15"/>
                <w:color w:val="auto"/>
                <w:w w:val="95"/>
              </w:rPr>
              <w:t>Proceeds from issuance of common stock in connection with initial public offering and concurrent private placement, net of direct issuance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820" w:type="dxa"/>
            <w:vAlign w:val="bottom"/>
            <w:gridSpan w:val="2"/>
          </w:tcPr>
          <w:p>
            <w:pPr>
              <w:spacing w:after="0" w:line="172" w:lineRule="exact"/>
              <w:rPr>
                <w:sz w:val="20"/>
                <w:szCs w:val="20"/>
                <w:color w:val="auto"/>
              </w:rPr>
            </w:pPr>
            <w:r>
              <w:rPr>
                <w:rFonts w:ascii="Arial" w:cs="Arial" w:eastAsia="Arial" w:hAnsi="Arial"/>
                <w:sz w:val="15"/>
                <w:szCs w:val="15"/>
                <w:color w:val="auto"/>
              </w:rPr>
              <w:t>expenses of $1,254</w:t>
            </w:r>
          </w:p>
        </w:tc>
        <w:tc>
          <w:tcPr>
            <w:tcW w:w="240" w:type="dxa"/>
            <w:vAlign w:val="bottom"/>
          </w:tcPr>
          <w:p>
            <w:pPr>
              <w:spacing w:after="0"/>
              <w:rPr>
                <w:sz w:val="14"/>
                <w:szCs w:val="14"/>
                <w:color w:val="auto"/>
              </w:rPr>
            </w:pP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18,717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 of initial public offering expenses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(1,537)</w:t>
            </w: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Investment in affiliates, equity method</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1,000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Repayments of notes payable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Proceeds from issuance of common stock for non-controlling interest purchase</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14,300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Borders>
              <w:bottom w:val="single" w:sz="8" w:color="CCEEFF"/>
            </w:tcBorders>
            <w:shd w:val="clear" w:color="auto" w:fill="CCEEFF"/>
          </w:tcPr>
          <w:p>
            <w:pPr>
              <w:ind w:left="960"/>
              <w:spacing w:after="0" w:line="162" w:lineRule="exact"/>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38,720</w:t>
            </w:r>
          </w:p>
        </w:tc>
        <w:tc>
          <w:tcPr>
            <w:tcW w:w="2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10,554</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Effect of exchange rate changes on cash and cash equivalents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663</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in cash and cash equivalents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7,562</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5,718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10,119</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4,401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86"/>
              <w:spacing w:after="0" w:line="162" w:lineRule="exact"/>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17,681</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10,119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240" w:type="dxa"/>
            <w:vAlign w:val="bottom"/>
          </w:tcPr>
          <w:p>
            <w:pPr>
              <w:jc w:val="right"/>
              <w:ind w:right="86"/>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277</w:t>
            </w:r>
          </w:p>
        </w:tc>
        <w:tc>
          <w:tcPr>
            <w:tcW w:w="28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181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b w:val="1"/>
                <w:bCs w:val="1"/>
                <w:color w:val="auto"/>
              </w:rPr>
              <w:t>Non-cash financing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Debt conversion to Class A common stock</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1,486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line="162" w:lineRule="exact"/>
              <w:rPr>
                <w:sz w:val="20"/>
                <w:szCs w:val="20"/>
                <w:color w:val="auto"/>
              </w:rPr>
            </w:pPr>
            <w:r>
              <w:rPr>
                <w:rFonts w:ascii="Arial" w:cs="Arial" w:eastAsia="Arial" w:hAnsi="Arial"/>
                <w:sz w:val="15"/>
                <w:szCs w:val="15"/>
                <w:color w:val="auto"/>
              </w:rPr>
              <w:t>Debt conversion to Series F convertible preferred stock</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stock option in lieu of the cash repayment of notes payable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5"/>
                <w:szCs w:val="15"/>
                <w:color w:val="auto"/>
              </w:rPr>
              <w:t>Preferred stock conversion to common stock in connection with initial public offering</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23,834</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27"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financed its Shanghai operations in part through sales of non-controlling equity interests in ACM Shanghai.</w:t>
      </w:r>
    </w:p>
    <w:p>
      <w:pPr>
        <w:spacing w:after="0" w:line="9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0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2011 ACM Shanghai formed a wholly owned subsidiary in the PRC, ACM Research (Wuxi), Inc. (“ACM Wuxi”), to manage sales and service operations.</w:t>
      </w:r>
    </w:p>
    <w:p>
      <w:pPr>
        <w:spacing w:after="0" w:line="11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August 2017 ACM purchased 18.77% of ACM Shanghai’s equity interests held by Shanghai Science and Technology Venture Capital Co., Ltd. ("SSTVC"). On November 8, 2017, ACM purchased the remaining 18.36% of ACM Shanghai’s equity interest held by Shanghai Pudong High-Tech Investment Co., Ltd. (“PDHTI”) and Shanghai Zhangjiang Science &amp; Technology Venture Capital Co., Ltd. (“ZSTVC”). At December 31, 2017 and 2016, respectively, ACM owned 100% and 62.87% of the outstanding equity interests of ACM Shanghai, and indirectly through ACM Shanghai, owned 100% and 62.87% of the outstanding equity interests of ACM Wuxi, respectively.</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September 13, 2017, ACM effectuated a 1-for-3 reverse stock split (the “Reverse Split”) of Class A and Class B common stock. Unless otherwise indicated, all share numbers, per share amount, share prices, exercise prices and conversion rates set forth in those notes and the accompanying condensed consolidated financial statements have been adjusted retrospectively to reflect the Reverse Split.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On November 2, 2017, the Registration Statement on Form S-1 (File No. 333- 220451) for our initial public offering of Class A common stock, or IPO, was declared effective by the SEC. Shares of Class A common stock began trading on the Nasdaq Global Market on November 3, 2017.</w:t>
      </w:r>
    </w:p>
    <w:p>
      <w:pPr>
        <w:spacing w:after="0" w:line="13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December 2017 ACM formed a wholly owned subsidiary in Republic of Korea, ACM Research Korea CO., LTD. (“ACM Korea”), to serve our customers based in Republic of Korea and perform sales, marketing, research and delveopment activities. ACM Korea has not yet commenced its operation during the year ended December 31,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of America (“GAAP”). 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07" w:lineRule="exact"/>
        <w:rPr>
          <w:sz w:val="20"/>
          <w:szCs w:val="20"/>
          <w:color w:val="auto"/>
        </w:rPr>
      </w:pPr>
    </w:p>
    <w:p>
      <w:pPr>
        <w:ind w:right="1060" w:firstLine="486"/>
        <w:spacing w:after="0" w:line="422" w:lineRule="auto"/>
        <w:rPr>
          <w:sz w:val="20"/>
          <w:szCs w:val="20"/>
          <w:color w:val="auto"/>
        </w:rPr>
      </w:pPr>
      <w:r>
        <w:rPr>
          <w:rFonts w:ascii="Arial" w:cs="Arial" w:eastAsia="Arial" w:hAnsi="Arial"/>
          <w:sz w:val="18"/>
          <w:szCs w:val="18"/>
          <w:color w:val="auto"/>
        </w:rPr>
        <w:t xml:space="preserve">Management evaluates these estimates and assumptions on a regular basis. Actual results could differ from those estimates and assumptions. </w:t>
      </w:r>
      <w:r>
        <w:rPr>
          <w:rFonts w:ascii="Arial" w:cs="Arial" w:eastAsia="Arial" w:hAnsi="Arial"/>
          <w:sz w:val="18"/>
          <w:szCs w:val="18"/>
          <w:u w:val="single" w:color="auto"/>
          <w:color w:val="auto"/>
        </w:rPr>
        <w:t>Cash and Cash Equivalents</w:t>
      </w:r>
    </w:p>
    <w:p>
      <w:pPr>
        <w:spacing w:after="0" w:line="1"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December 31, 2017 and 2016, the Company, based on a review of its outstanding balances and its customers, determined no allowance for doubtful accounts was necessary.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was recorded at the lower of cost or net realizable value at December 31, 2017 and 2016.</w:t>
      </w:r>
    </w:p>
    <w:p>
      <w:pPr>
        <w:spacing w:after="0" w:line="158" w:lineRule="exact"/>
        <w:rPr>
          <w:sz w:val="20"/>
          <w:szCs w:val="20"/>
          <w:color w:val="auto"/>
        </w:rPr>
      </w:pPr>
    </w:p>
    <w:p>
      <w:pPr>
        <w:jc w:val="both"/>
        <w:ind w:left="880" w:hanging="332"/>
        <w:spacing w:after="0" w:line="255"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880" w:hanging="332"/>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realizable value is the estimated selling price, in the ordinary course of business, less estimated costs to complete or dispose.</w:t>
      </w:r>
    </w:p>
    <w:p>
      <w:pPr>
        <w:spacing w:after="0" w:line="158"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Net</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useful lives of assets in the United States are as follows:</w:t>
      </w:r>
    </w:p>
    <w:p>
      <w:pPr>
        <w:sectPr>
          <w:pgSz w:w="11900" w:h="16838" w:orient="portrait"/>
          <w:cols w:equalWidth="0" w:num="1">
            <w:col w:w="11420"/>
          </w:cols>
          <w:pgMar w:left="240" w:top="12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Computer and office equipment</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185" w:lineRule="exact"/>
        <w:rPr>
          <w:sz w:val="20"/>
          <w:szCs w:val="20"/>
          <w:color w:val="auto"/>
        </w:rPr>
      </w:pPr>
    </w:p>
    <w:p>
      <w:pPr>
        <w:sectPr>
          <w:pgSz w:w="11900" w:h="16838" w:orient="portrait"/>
          <w:cols w:equalWidth="0" w:num="2">
            <w:col w:w="3060" w:space="720"/>
            <w:col w:w="7640"/>
          </w:cols>
          <w:pgMar w:left="240" w:top="129" w:right="239" w:bottom="1440" w:gutter="0" w:footer="0" w:header="0"/>
          <w:type w:val="continuous"/>
        </w:sectPr>
      </w:pPr>
    </w:p>
    <w:p>
      <w:pPr>
        <w:ind w:firstLine="486"/>
        <w:spacing w:after="0" w:line="268" w:lineRule="auto"/>
        <w:rPr>
          <w:sz w:val="20"/>
          <w:szCs w:val="20"/>
          <w:color w:val="auto"/>
        </w:rPr>
      </w:pPr>
      <w:r>
        <w:rPr>
          <w:rFonts w:ascii="Arial" w:cs="Arial" w:eastAsia="Arial" w:hAnsi="Arial"/>
          <w:sz w:val="18"/>
          <w:szCs w:val="18"/>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420"/>
          </w:cols>
          <w:pgMar w:left="240" w:top="129"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Manufacturing equipment</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Transportation equipment</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Electronic equipment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for small to medium-sized equipment, 5 years; for large equipment, estimated by purchasing department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 of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to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remaining lease term for improvements on leased fixed assets or, for large improvements, estimated useful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life; not less than 3 years for non-fixed asset repairs</w:t>
      </w:r>
    </w:p>
    <w:p>
      <w:pPr>
        <w:spacing w:after="0" w:line="151" w:lineRule="exact"/>
        <w:rPr>
          <w:sz w:val="20"/>
          <w:szCs w:val="20"/>
          <w:color w:val="auto"/>
        </w:rPr>
      </w:pPr>
    </w:p>
    <w:p>
      <w:pPr>
        <w:sectPr>
          <w:pgSz w:w="11900" w:h="16838" w:orient="portrait"/>
          <w:cols w:equalWidth="0" w:num="2">
            <w:col w:w="3060" w:space="720"/>
            <w:col w:w="7640"/>
          </w:cols>
          <w:pgMar w:left="240" w:top="129" w:right="239" w:bottom="1440" w:gutter="0" w:footer="0" w:header="0"/>
          <w:type w:val="continuous"/>
        </w:sectPr>
      </w:pPr>
    </w:p>
    <w:p>
      <w:pPr>
        <w:jc w:val="both"/>
        <w:ind w:firstLine="486"/>
        <w:spacing w:after="0" w:line="259" w:lineRule="auto"/>
        <w:rPr>
          <w:sz w:val="20"/>
          <w:szCs w:val="20"/>
          <w:color w:val="auto"/>
        </w:rPr>
      </w:pPr>
      <w:r>
        <w:rPr>
          <w:rFonts w:ascii="Arial" w:cs="Arial" w:eastAsia="Arial" w:hAnsi="Arial"/>
          <w:sz w:val="18"/>
          <w:szCs w:val="18"/>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Long-Lived Assets</w:t>
      </w:r>
    </w:p>
    <w:p>
      <w:pPr>
        <w:spacing w:after="0" w:line="1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underlying lease. The Company had no capital lease for either of the periods presented.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Convertible Preferred Stock</w:t>
      </w:r>
    </w:p>
    <w:p>
      <w:pPr>
        <w:spacing w:after="0" w:line="1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recognizes revenue when all the following conditions are met:</w:t>
      </w:r>
    </w:p>
    <w:p>
      <w:pPr>
        <w:spacing w:after="0" w:line="158" w:lineRule="exact"/>
        <w:rPr>
          <w:sz w:val="20"/>
          <w:szCs w:val="20"/>
          <w:color w:val="auto"/>
        </w:rPr>
      </w:pPr>
    </w:p>
    <w:p>
      <w:pPr>
        <w:ind w:left="880" w:hanging="332"/>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57" w:lineRule="exact"/>
        <w:rPr>
          <w:rFonts w:ascii="Arial" w:cs="Arial" w:eastAsia="Arial" w:hAnsi="Arial"/>
          <w:sz w:val="18"/>
          <w:szCs w:val="18"/>
          <w:color w:val="auto"/>
        </w:rPr>
      </w:pPr>
    </w:p>
    <w:p>
      <w:pPr>
        <w:ind w:left="880" w:hanging="332"/>
        <w:spacing w:after="0" w:line="26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product delivery has occurred and the Company has transferred major risks and remunerations over the ownership of the product to the buyer or a service has been fully rendered and completed;</w:t>
      </w:r>
    </w:p>
    <w:p>
      <w:pPr>
        <w:spacing w:after="0" w:line="118" w:lineRule="exact"/>
        <w:rPr>
          <w:rFonts w:ascii="Arial" w:cs="Arial" w:eastAsia="Arial" w:hAnsi="Arial"/>
          <w:sz w:val="18"/>
          <w:szCs w:val="18"/>
          <w:color w:val="auto"/>
        </w:rPr>
      </w:pPr>
    </w:p>
    <w:p>
      <w:pPr>
        <w:ind w:left="880" w:hanging="332"/>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collection of the receivable is probable; and</w:t>
      </w:r>
    </w:p>
    <w:p>
      <w:pPr>
        <w:spacing w:after="0" w:line="157" w:lineRule="exact"/>
        <w:rPr>
          <w:rFonts w:ascii="Arial" w:cs="Arial" w:eastAsia="Arial" w:hAnsi="Arial"/>
          <w:sz w:val="18"/>
          <w:szCs w:val="18"/>
          <w:color w:val="auto"/>
        </w:rPr>
      </w:pPr>
    </w:p>
    <w:p>
      <w:pPr>
        <w:ind w:left="880" w:hanging="332"/>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of the payment is fixed or determinable.</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The Company derives revenue principally from sales of semiconductor capital equipment. In general, the Company recognizes revenue when the product has been demonstrated to meet the predetermined specifications and is accepted by the customer. If terms of the sale provide for a lapsing customer acceptance period, the Company recognizes revenue upon the earlier of the expiration of the lapsing acceptance period and customer acceptance. In the following circumstances, however, the Company recognizes revenue upon shipment or delivery, when the legal title of the product is passed to a customer: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880" w:hanging="332"/>
        <w:spacing w:after="0" w:line="268"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when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880" w:hanging="332"/>
        <w:spacing w:after="0" w:line="268"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880" w:right="20" w:hanging="332"/>
        <w:spacing w:after="0" w:line="268"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18" w:lineRule="exact"/>
        <w:rPr>
          <w:rFonts w:ascii="Arial" w:cs="Arial" w:eastAsia="Arial" w:hAnsi="Arial"/>
          <w:sz w:val="18"/>
          <w:szCs w:val="18"/>
          <w:color w:val="auto"/>
        </w:rPr>
      </w:pPr>
    </w:p>
    <w:p>
      <w:pPr>
        <w:ind w:left="880" w:hanging="332"/>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sales arrangements do not include a general right of return.</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a delivered machine; the services offered, principally the warranty, are not essential to the functionality of the machine. The Company treats the customization, production, installation and delivery of machines, together with the provision of related warranty and other services, as a single unit of accounting in accordance with Financial Accounting Standards Board (“FASB”) Accounting Standards Codification (“ASC”) Subtopic 605-25, </w:t>
      </w:r>
      <w:r>
        <w:rPr>
          <w:rFonts w:ascii="Arial" w:cs="Arial" w:eastAsia="Arial" w:hAnsi="Arial"/>
          <w:sz w:val="16"/>
          <w:szCs w:val="16"/>
          <w:i w:val="1"/>
          <w:iCs w:val="1"/>
          <w:color w:val="auto"/>
        </w:rPr>
        <w:t>Revenue Recognition – Multiple-Element Arrangements</w:t>
      </w:r>
      <w:r>
        <w:rPr>
          <w:rFonts w:ascii="Arial" w:cs="Arial" w:eastAsia="Arial" w:hAnsi="Arial"/>
          <w:sz w:val="16"/>
          <w:szCs w:val="16"/>
          <w:color w:val="auto"/>
        </w:rPr>
        <w:t>. All of the Company’s products were sold in stand-alone arrangements during the year ended December 31, 2017 and 2016.</w:t>
      </w:r>
    </w:p>
    <w:p>
      <w:pPr>
        <w:spacing w:after="0" w:line="102"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After the warranty period has expired, the Company will also provide customers with post-warranty services, which mainly include the installation and replacement of parts and small-scale modifications to the existing products. The related revenue and costs are recognized as revenue and cost of revenue, respectively, when the parts have been delivered and installed, risk of loss has passed to the customer, and collection of the resulting receivable is probable.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158"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year ended December 31, 2017 and 2016, shipping and handling costs included in sales and marketing expenses were $139 and $75,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Costs</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year ended December 31, 2017 or 2016.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year ended December 31, 2017 and 2016,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736</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Utilized</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(187)</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(713)</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Subsidies</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ACM Shanghai has been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government subsidies contain certain operating conditions and therefore are recorded as long-term liabilities upon receipt. The grant amounts are recognized in the statements of operations and comprehensive income:</w:t>
      </w:r>
    </w:p>
    <w:p>
      <w:pPr>
        <w:spacing w:after="0" w:line="118" w:lineRule="exact"/>
        <w:rPr>
          <w:sz w:val="20"/>
          <w:szCs w:val="20"/>
          <w:color w:val="auto"/>
        </w:rPr>
      </w:pPr>
    </w:p>
    <w:p>
      <w:pPr>
        <w:jc w:val="both"/>
        <w:ind w:left="880" w:hanging="332"/>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recorded as reductions of those expenses in the periods in which the current expenses are recorded. For the years ended December 31, 2017 and 2016, related government subsidies recognized as reductions of relevant expenses in the consolidated statements of operations and comprehensive income were $3,421 and $6,244 respectively.</w:t>
      </w:r>
    </w:p>
    <w:p>
      <w:pPr>
        <w:spacing w:after="0" w:line="126" w:lineRule="exact"/>
        <w:rPr>
          <w:rFonts w:ascii="Arial" w:cs="Arial" w:eastAsia="Arial" w:hAnsi="Arial"/>
          <w:sz w:val="18"/>
          <w:szCs w:val="18"/>
          <w:color w:val="auto"/>
        </w:rPr>
      </w:pPr>
    </w:p>
    <w:p>
      <w:pPr>
        <w:ind w:left="880" w:hanging="332"/>
        <w:spacing w:after="0" w:line="268"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 subsidies for short-term borrowings’ interest expenses are reported as reductions of interest expenses in the period the interest is accrued, which were $0 and $99 for the years ended December 31, 2017 and 2016.</w:t>
      </w:r>
    </w:p>
    <w:p>
      <w:pPr>
        <w:spacing w:after="0" w:line="118" w:lineRule="exact"/>
        <w:rPr>
          <w:rFonts w:ascii="Arial" w:cs="Arial" w:eastAsia="Arial" w:hAnsi="Arial"/>
          <w:sz w:val="18"/>
          <w:szCs w:val="18"/>
          <w:color w:val="auto"/>
        </w:rPr>
      </w:pPr>
    </w:p>
    <w:p>
      <w:pPr>
        <w:jc w:val="both"/>
        <w:ind w:left="880" w:hanging="332"/>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years ended December 31, 2017 and 2016, related government subsidies recognized as other income in the consolidated statements of operations and comprehensive income were $135 and $127, respectively.</w:t>
      </w:r>
    </w:p>
    <w:p>
      <w:pPr>
        <w:spacing w:after="0" w:line="127"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Unearned government subsidies received are deferred for recognition and recorded as other long-term liabilities (note 10) in the balance sheet until the criteria for such recognition are satisfied.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firstLine="486"/>
        <w:spacing w:after="0" w:line="332"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FASB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8" w:lineRule="exact"/>
        <w:rPr>
          <w:sz w:val="20"/>
          <w:szCs w:val="20"/>
          <w:color w:val="auto"/>
        </w:rPr>
      </w:pPr>
    </w:p>
    <w:p>
      <w:pPr>
        <w:jc w:val="both"/>
        <w:ind w:firstLine="8"/>
        <w:spacing w:after="0" w:line="255" w:lineRule="auto"/>
        <w:tabs>
          <w:tab w:leader="none" w:pos="2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and Financial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1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potentially subject to concentrations of credit risks in its accounts receivable. Four customers individually accounted for greater than ten percent of the Company’s revenue for the year ended 2017 and two of those customers individually accounted for greater than ten percent of the Company’s revenue in 2016:</w:t>
      </w:r>
    </w:p>
    <w:p>
      <w:pPr>
        <w:spacing w:after="0" w:line="176" w:lineRule="exact"/>
        <w:rPr>
          <w:sz w:val="20"/>
          <w:szCs w:val="20"/>
          <w:color w:val="auto"/>
        </w:rPr>
      </w:pPr>
    </w:p>
    <w:p>
      <w:pPr>
        <w:ind w:left="924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gridSpan w:val="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18.10%</w:t>
            </w: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12.77</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10.23</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revenue in the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As of December 31, 2017 and 2016, the balance of bank borrowings (note 6) was short-term in nature, matured at various dates within the following year and did not expose the Company to interest rate risk.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5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The Company’s working capital at December 31, 2017 and 2016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Country Risk</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and Translation</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consolidated financial statements are presented in U.S. dollars, which is the Company’s reporting currency, while the functional currency of ACM’s subsidiaries is the Chinese Renminbi (“RMB”).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(loss) was, respectively, $1,052 and $ (746) for the years ended December 31, 2017 and 2016.</w:t>
      </w:r>
    </w:p>
    <w:p>
      <w:pPr>
        <w:spacing w:after="0" w:line="129"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4"/>
          </w:tcPr>
          <w:p>
            <w:pPr>
              <w:spacing w:after="0"/>
              <w:rPr>
                <w:sz w:val="20"/>
                <w:szCs w:val="20"/>
                <w:color w:val="auto"/>
              </w:rPr>
            </w:pPr>
            <w:r>
              <w:rPr>
                <w:rFonts w:ascii="Arial" w:cs="Arial" w:eastAsia="Arial" w:hAnsi="Arial"/>
                <w:sz w:val="18"/>
                <w:szCs w:val="18"/>
                <w:color w:val="auto"/>
              </w:rPr>
              <w:t>Consolidated balance sheets:</w:t>
            </w:r>
          </w:p>
        </w:tc>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4120" w:type="dxa"/>
            <w:vAlign w:val="bottom"/>
            <w:shd w:val="clear" w:color="auto" w:fill="CCEEFF"/>
          </w:tcPr>
          <w:p>
            <w:pPr>
              <w:ind w:left="2580"/>
              <w:spacing w:after="0"/>
              <w:rPr>
                <w:sz w:val="20"/>
                <w:szCs w:val="20"/>
                <w:color w:val="auto"/>
              </w:rPr>
            </w:pPr>
            <w:r>
              <w:rPr>
                <w:rFonts w:ascii="Arial" w:cs="Arial" w:eastAsia="Arial" w:hAnsi="Arial"/>
                <w:sz w:val="18"/>
                <w:szCs w:val="18"/>
                <w:color w:val="auto"/>
                <w:w w:val="89"/>
              </w:rPr>
              <w:t>RMB 6.5359 to $1.00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At December 31, 2016</w:t>
            </w:r>
          </w:p>
        </w:tc>
        <w:tc>
          <w:tcPr>
            <w:tcW w:w="4120" w:type="dxa"/>
            <w:vAlign w:val="bottom"/>
          </w:tcPr>
          <w:p>
            <w:pPr>
              <w:ind w:left="2580"/>
              <w:spacing w:after="0"/>
              <w:rPr>
                <w:sz w:val="20"/>
                <w:szCs w:val="20"/>
                <w:color w:val="auto"/>
              </w:rPr>
            </w:pPr>
            <w:r>
              <w:rPr>
                <w:rFonts w:ascii="Arial" w:cs="Arial" w:eastAsia="Arial" w:hAnsi="Arial"/>
                <w:sz w:val="18"/>
                <w:szCs w:val="18"/>
                <w:color w:val="auto"/>
                <w:w w:val="89"/>
              </w:rPr>
              <w:t>RMB 6.9348 to $1.00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7300" w:type="dxa"/>
            <w:vAlign w:val="bottom"/>
            <w:gridSpan w:val="4"/>
          </w:tcPr>
          <w:p>
            <w:pPr>
              <w:spacing w:after="0"/>
              <w:rPr>
                <w:sz w:val="20"/>
                <w:szCs w:val="20"/>
                <w:color w:val="auto"/>
              </w:rPr>
            </w:pPr>
            <w:r>
              <w:rPr>
                <w:rFonts w:ascii="Arial" w:cs="Arial" w:eastAsia="Arial" w:hAnsi="Arial"/>
                <w:sz w:val="18"/>
                <w:szCs w:val="18"/>
                <w:color w:val="auto"/>
              </w:rPr>
              <w:t>Consolidated statements of operations and comprehensive income:</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4120" w:type="dxa"/>
            <w:vAlign w:val="bottom"/>
            <w:shd w:val="clear" w:color="auto" w:fill="CCEEFF"/>
          </w:tcPr>
          <w:p>
            <w:pPr>
              <w:ind w:left="2580"/>
              <w:spacing w:after="0"/>
              <w:rPr>
                <w:sz w:val="20"/>
                <w:szCs w:val="20"/>
                <w:color w:val="auto"/>
              </w:rPr>
            </w:pPr>
            <w:r>
              <w:rPr>
                <w:rFonts w:ascii="Arial" w:cs="Arial" w:eastAsia="Arial" w:hAnsi="Arial"/>
                <w:sz w:val="18"/>
                <w:szCs w:val="18"/>
                <w:color w:val="auto"/>
                <w:w w:val="89"/>
              </w:rPr>
              <w:t>RMB 6.7522 to $1.00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Year ended December 31, 2016</w:t>
            </w:r>
          </w:p>
        </w:tc>
        <w:tc>
          <w:tcPr>
            <w:tcW w:w="4120" w:type="dxa"/>
            <w:vAlign w:val="bottom"/>
          </w:tcPr>
          <w:p>
            <w:pPr>
              <w:ind w:left="2580"/>
              <w:spacing w:after="0"/>
              <w:rPr>
                <w:sz w:val="20"/>
                <w:szCs w:val="20"/>
                <w:color w:val="auto"/>
              </w:rPr>
            </w:pPr>
            <w:r>
              <w:rPr>
                <w:rFonts w:ascii="Arial" w:cs="Arial" w:eastAsia="Arial" w:hAnsi="Arial"/>
                <w:sz w:val="18"/>
                <w:szCs w:val="18"/>
                <w:color w:val="auto"/>
                <w:w w:val="89"/>
              </w:rPr>
              <w:t>RMB 6.6401 to $1.00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Translations of amounts from RMB into U.S. dollars were made at the following exchange rates for the respective dates and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30"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02"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(Loss) per Common Share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(loss) per common share is calculated as follows:</w:t>
      </w:r>
    </w:p>
    <w:p>
      <w:pPr>
        <w:spacing w:after="0" w:line="153"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For the Year Ended</w:t>
      </w:r>
    </w:p>
    <w:p>
      <w:pPr>
        <w:spacing w:after="0" w:line="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income allocated to participating securities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available to common stockholders, basic and 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basic</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6,865,390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2,176,315</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1,615,822</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6,865,390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3,792,137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5"/>
          <w:szCs w:val="15"/>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E and F convertible preferred stock are participating securities, as the holders are entitled to participate in and receive the same dividends as may be declared for common stockholders on a pro-rata, if-converted basis.</w:t>
      </w:r>
    </w:p>
    <w:p>
      <w:pPr>
        <w:spacing w:after="0" w:line="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for year ended December 31, 2017 and 2016, the net income (loss) per common share attributable to each class is the same under the “two-class” method. As such, the two classes of common stock have been presented on a combined basis in the consolidated statements of operations and comprehensive income (loss) and in the above computation of net income (loss) per common share.</w:t>
      </w:r>
    </w:p>
    <w:p>
      <w:pPr>
        <w:spacing w:after="0" w:line="1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year ended December 31, 2017 and 2016,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Year ended</w:t>
      </w:r>
    </w:p>
    <w:p>
      <w:pPr>
        <w:spacing w:after="0" w:line="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2017</w:t>
            </w:r>
          </w:p>
        </w:tc>
        <w:tc>
          <w:tcPr>
            <w:tcW w:w="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128,334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524,003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482,288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Series D convertible preferred stock</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605,244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F convertible preferred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1,221,099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 options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3,372,292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1,424,596</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477,502</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3,849,794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4,385,564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 Attributable to the Company</w:t>
      </w:r>
    </w:p>
    <w:p>
      <w:pPr>
        <w:spacing w:after="0" w:line="15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 xml:space="preserve">The Company applies FASB ASC Topic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was $(31) and $704 for the years ended December 31, 2017 and 2016,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Appropriated Retained Earnings</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07"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December 31, 2017 and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5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0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Level 1: Valuations for assets and liabilities traded in active exchange markets. Valuations are obtained from readily available pricing sources for market transactions involving identical assets or liabilities.</w:t>
      </w:r>
    </w:p>
    <w:p>
      <w:pPr>
        <w:spacing w:after="0" w:line="11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Level 2: Valuations for assets and liabilities traded in less active dealer or broker markets. Valuations are obtained from third party pricing services for identical or similar assets or liabilities.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27"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or Disclosed on a Recurring Basis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i w:val="1"/>
          <w:iCs w:val="1"/>
          <w:color w:val="auto"/>
        </w:rPr>
        <w:t>Short-term borrowings</w:t>
      </w:r>
      <w:r>
        <w:rPr>
          <w:rFonts w:ascii="Arial" w:cs="Arial" w:eastAsia="Arial" w:hAnsi="Arial"/>
          <w:sz w:val="18"/>
          <w:szCs w:val="18"/>
          <w:color w:val="auto"/>
        </w:rPr>
        <w:t>—Interest rates under the borrowing agreements with the lending parties were determined based on the prevailing interest rates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The Company classifies the valuation techniques that use these inputs as Level 2 fair value measurement.</w:t>
      </w:r>
    </w:p>
    <w:p>
      <w:pPr>
        <w:spacing w:after="0" w:line="186"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i w:val="1"/>
          <w:iCs w:val="1"/>
          <w:color w:val="auto"/>
        </w:rPr>
        <w:t>Warrant liability</w:t>
      </w:r>
      <w:r>
        <w:rPr>
          <w:rFonts w:ascii="Arial" w:cs="Arial" w:eastAsia="Arial" w:hAnsi="Arial"/>
          <w:sz w:val="18"/>
          <w:szCs w:val="18"/>
          <w:color w:val="auto"/>
        </w:rPr>
        <w:t>—The fair value of the warrant liability derives from the Black-Scholes valuation model which incorporates certain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(note 9). The Company classifies the valuation techniques that use these inputs as Level 3 fair value measurement.</w:t>
      </w:r>
    </w:p>
    <w:p>
      <w:pPr>
        <w:spacing w:after="0" w:line="11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i w:val="1"/>
          <w:iCs w:val="1"/>
          <w:color w:val="auto"/>
        </w:rPr>
        <w:t>Other financial items for disclosure purpose</w:t>
      </w:r>
      <w:r>
        <w:rPr>
          <w:rFonts w:ascii="Arial" w:cs="Arial" w:eastAsia="Arial" w:hAnsi="Arial"/>
          <w:sz w:val="16"/>
          <w:szCs w:val="16"/>
          <w:color w:val="auto"/>
        </w:rPr>
        <w:t>—The fair value of other financial items of the Company for disclosure purpose, including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other receivables, prepaid expenses, other current assets, notes payable, investors’ deposits, accounts payable, advances from customers, income taxes payable, and other payables and accrued expenses, approximate their carrying value due to their short-term nature.</w:t>
      </w:r>
    </w:p>
    <w:p>
      <w:pPr>
        <w:spacing w:after="0" w:line="93"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As of December 31, 2017 and 2016, information about inputs into the fair value measurement of the Company’s liabilities that are measured and recorded at fair value on a recurring basis in periods subsequent to their initial recognition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9"/>
          </w:tcPr>
          <w:p>
            <w:pPr>
              <w:ind w:left="880"/>
              <w:spacing w:after="0"/>
              <w:rPr>
                <w:sz w:val="20"/>
                <w:szCs w:val="20"/>
                <w:color w:val="auto"/>
              </w:rPr>
            </w:pPr>
            <w:r>
              <w:rPr>
                <w:rFonts w:ascii="Arial" w:cs="Arial" w:eastAsia="Arial" w:hAnsi="Arial"/>
                <w:sz w:val="15"/>
                <w:szCs w:val="15"/>
                <w:b w:val="1"/>
                <w:bCs w:val="1"/>
                <w:color w:val="auto"/>
                <w:w w:val="94"/>
              </w:rPr>
              <w:t>Fair Value Measurement at Reporting Date Using</w:t>
            </w: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7"/>
              </w:rPr>
              <w:t>Quoted Prices 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Active Markets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line="162" w:lineRule="exact"/>
              <w:rPr>
                <w:sz w:val="20"/>
                <w:szCs w:val="20"/>
                <w:color w:val="auto"/>
              </w:rPr>
            </w:pPr>
            <w:r>
              <w:rPr>
                <w:rFonts w:ascii="Arial" w:cs="Arial" w:eastAsia="Arial" w:hAnsi="Arial"/>
                <w:sz w:val="15"/>
                <w:szCs w:val="15"/>
                <w:b w:val="1"/>
                <w:bCs w:val="1"/>
                <w:color w:val="auto"/>
                <w:w w:val="91"/>
              </w:rPr>
              <w:t>Significant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line="162" w:lineRule="exact"/>
              <w:rPr>
                <w:sz w:val="20"/>
                <w:szCs w:val="20"/>
                <w:color w:val="auto"/>
              </w:rPr>
            </w:pPr>
            <w:r>
              <w:rPr>
                <w:rFonts w:ascii="Arial" w:cs="Arial" w:eastAsia="Arial" w:hAnsi="Arial"/>
                <w:sz w:val="15"/>
                <w:szCs w:val="15"/>
                <w:b w:val="1"/>
                <w:bCs w:val="1"/>
                <w:color w:val="auto"/>
                <w:w w:val="94"/>
              </w:rPr>
              <w:t>for Identical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line="162" w:lineRule="exact"/>
              <w:rPr>
                <w:sz w:val="20"/>
                <w:szCs w:val="20"/>
                <w:color w:val="auto"/>
              </w:rPr>
            </w:pPr>
            <w:r>
              <w:rPr>
                <w:rFonts w:ascii="Arial" w:cs="Arial" w:eastAsia="Arial" w:hAnsi="Arial"/>
                <w:sz w:val="15"/>
                <w:szCs w:val="15"/>
                <w:b w:val="1"/>
                <w:bCs w:val="1"/>
                <w:color w:val="auto"/>
                <w:w w:val="94"/>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Significant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line="162" w:lineRule="exact"/>
              <w:rPr>
                <w:sz w:val="20"/>
                <w:szCs w:val="20"/>
                <w:color w:val="auto"/>
              </w:rPr>
            </w:pPr>
            <w:r>
              <w:rPr>
                <w:rFonts w:ascii="Arial" w:cs="Arial" w:eastAsia="Arial" w:hAnsi="Arial"/>
                <w:sz w:val="15"/>
                <w:szCs w:val="15"/>
                <w:b w:val="1"/>
                <w:bCs w:val="1"/>
                <w:color w:val="auto"/>
                <w:w w:val="92"/>
              </w:rPr>
              <w:t>Liabilities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line="162" w:lineRule="exact"/>
              <w:rPr>
                <w:sz w:val="20"/>
                <w:szCs w:val="20"/>
                <w:color w:val="auto"/>
              </w:rPr>
            </w:pPr>
            <w:r>
              <w:rPr>
                <w:rFonts w:ascii="Arial" w:cs="Arial" w:eastAsia="Arial" w:hAnsi="Arial"/>
                <w:sz w:val="15"/>
                <w:szCs w:val="15"/>
                <w:b w:val="1"/>
                <w:bCs w:val="1"/>
                <w:color w:val="auto"/>
                <w:w w:val="90"/>
              </w:rPr>
              <w:t>Observable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w w:val="91"/>
              </w:rPr>
              <w:t>(Level 1)</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Inputs (Level 2)</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Inputs (Level 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Total</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4"/>
          </w:tcPr>
          <w:p>
            <w:pPr>
              <w:jc w:val="right"/>
              <w:ind w:right="657"/>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As of December 31, 2017:</w:t>
            </w:r>
          </w:p>
        </w:tc>
        <w:tc>
          <w:tcPr>
            <w:tcW w:w="2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Borders>
              <w:top w:val="single" w:sz="8" w:color="auto"/>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78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Warrant liability</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2016:</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Short-term borrowings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Non-Recurring Basis</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 in the Consolidated Financial Statements for the Year ended December 31, 2017</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which simplifies several aspects of the accounting for employee stock-based payment transactions. The areas for</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 ASU No. 2016-09 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adoption of ASU No. 2016-09 did not have a material impact on the Company’s consolidated financial statements.</w:t>
      </w:r>
    </w:p>
    <w:p>
      <w:pPr>
        <w:spacing w:after="0" w:line="10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the Company’s consolidated financial statements.</w:t>
      </w:r>
    </w:p>
    <w:p>
      <w:pPr>
        <w:spacing w:after="0" w:line="10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the Company’s consolidated financial statements. The relevant descriptions have been included in the inventory accounting policy.</w:t>
      </w:r>
    </w:p>
    <w:p>
      <w:pPr>
        <w:spacing w:after="0" w:line="1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the Company for the annual period ended after December 15, 2016 and interim periods thereafter. Management performed an evaluation of the Company’s ability to fund operations and to continue as a going concern according to ASC Topic 205-40,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The adoption of ASU No. 2014-15 did not have a material impact on the Company’s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 (“ASU 2018-02”)</w:t>
      </w:r>
      <w:r>
        <w:rPr>
          <w:rFonts w:ascii="Arial" w:cs="Arial" w:eastAsia="Arial" w:hAnsi="Arial"/>
          <w:sz w:val="16"/>
          <w:szCs w:val="16"/>
          <w:color w:val="auto"/>
        </w:rPr>
        <w:t>, which provides financial statement preparers with an option to reclassify stranded tax</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within accumulated other comprehensive income to retained earnings in each period in which the effect of the change in the U.S. federal corporate income tax rate in the Tax Cuts and Jobs Act (or portion thereof) is recorded. The amendments in this ASU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this ASU should be applied either in the period of adoption or retrospectively to each period (or periods) in which the effect of the change in the U.S. federal corporate income tax rate in the Tax Cuts and Jobs Act is recognized. The Company is currently evaluating the impact of the adoption of ASU No. 2018-02 on its consolidated financial statements.</w:t>
      </w:r>
    </w:p>
    <w:p>
      <w:pPr>
        <w:spacing w:after="0" w:line="10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 are features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currently evaluating the impact of the adoption of ASU No. 2017-11 on its consolidated financial statements.</w:t>
      </w:r>
    </w:p>
    <w:p>
      <w:pPr>
        <w:spacing w:after="0" w:line="10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provides guidance on determining which changes to the terms and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No. 2017-09 to have a material impact on its consolidated financial statements.</w:t>
      </w:r>
    </w:p>
    <w:p>
      <w:pPr>
        <w:spacing w:after="0" w:line="105"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6"/>
          <w:szCs w:val="16"/>
          <w:color w:val="auto"/>
        </w:rPr>
        <w:t>, which clarifies the scope of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w:t>
      </w:r>
    </w:p>
    <w:p>
      <w:pPr>
        <w:spacing w:after="0" w:line="3" w:lineRule="exact"/>
        <w:rPr>
          <w:sz w:val="20"/>
          <w:szCs w:val="20"/>
          <w:color w:val="auto"/>
        </w:rPr>
      </w:pPr>
    </w:p>
    <w:p>
      <w:pPr>
        <w:jc w:val="both"/>
        <w:ind w:firstLine="8"/>
        <w:spacing w:after="0" w:line="254" w:lineRule="auto"/>
        <w:tabs>
          <w:tab w:leader="none" w:pos="2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No. 2017-05 to have a material impact on its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currently evaluating the impact of the adoption of ASU 2017-04 on its consolidated financial statements.</w:t>
      </w:r>
    </w:p>
    <w:p>
      <w:pPr>
        <w:spacing w:after="0" w:line="10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No. 2016-18 to have a material impact on its consolidated financial statements.</w:t>
      </w:r>
    </w:p>
    <w:p>
      <w:pPr>
        <w:spacing w:after="0" w:line="105"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w:t>
      </w:r>
    </w:p>
    <w:p>
      <w:pPr>
        <w:spacing w:after="0" w:line="2" w:lineRule="exact"/>
        <w:rPr>
          <w:sz w:val="20"/>
          <w:szCs w:val="20"/>
          <w:color w:val="auto"/>
        </w:rPr>
      </w:pPr>
    </w:p>
    <w:p>
      <w:pPr>
        <w:jc w:val="both"/>
        <w:ind w:firstLine="8"/>
        <w:spacing w:after="0" w:line="295" w:lineRule="auto"/>
        <w:tabs>
          <w:tab w:leader="none" w:pos="2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0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w:t>
      </w:r>
    </w:p>
    <w:p>
      <w:pPr>
        <w:spacing w:after="0" w:line="3" w:lineRule="exact"/>
        <w:rPr>
          <w:sz w:val="20"/>
          <w:szCs w:val="20"/>
          <w:color w:val="auto"/>
        </w:rPr>
      </w:pPr>
    </w:p>
    <w:p>
      <w:pPr>
        <w:jc w:val="both"/>
        <w:ind w:firstLine="8"/>
        <w:spacing w:after="0" w:line="288" w:lineRule="auto"/>
        <w:tabs>
          <w:tab w:leader="none" w:pos="35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in the process of evaluating the impact of the adoption of ASU No. 2016-02 on its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No.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Agent 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The Company has substantially completed the implementation of these ASUs and has identified the necessary changes to its policies, business processes, systems and controls. Whilst the Company has finalized the analysis of its revenue contracts applying the above guidance, and will adopt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effective January 1, 2018, using the modified retrospective transition approach. Under this approach, FASB ASC Topic 606 would apply to all new contracts initiated on or after January 1, 2018. For existing contracts that have remaining obligations as of January 1, 2018, any difference between the recognition criteria in these ASUs and the Company's current revenue recognition practices would be recognized using a cumulative effect adjustment to the opening balance of accumulated deficit. The Company has concluded that its revenue recognition will remain the same as previously reported and will not have material impacts to its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and 2016, accounts receivable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reviews accounts receivable on a periodic basis and makes general and specific allowances when there is doubt as to the collectability of individual balances. No allowance for doubtful accounts is considered necessary at December 31, 2017 and 2016. At December 31, 2017, accounts receivable of $1,805 (RMB 11,800) was pledged as collateral for borrowings from financial institutions (note 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INVENTORY</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and 2016, inventory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inventory, gross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Inventory reserve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inventory,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Company did not set up any inventory reserve as of December 31, 2017 or 2016 and no inventory was pledged as collateral for borrowings from financial institutions.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and 2016, property, plant and equipment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improvement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vMerge w:val="restart"/>
          </w:tcPr>
          <w:p>
            <w:pPr>
              <w:ind w:left="480"/>
              <w:spacing w:after="0"/>
              <w:rPr>
                <w:sz w:val="20"/>
                <w:szCs w:val="20"/>
                <w:color w:val="auto"/>
              </w:rPr>
            </w:pPr>
            <w:r>
              <w:rPr>
                <w:rFonts w:ascii="Arial" w:cs="Arial" w:eastAsia="Arial" w:hAnsi="Arial"/>
                <w:sz w:val="18"/>
                <w:szCs w:val="18"/>
                <w:color w:val="auto"/>
                <w:w w:val="97"/>
              </w:rPr>
              <w:t>Depreciation expense was $243 and $180 for the years ended December 31, 2017 and 2016, respectively.</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6 – SHORT-TERM BORROWINGS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At December 31, 2017 and 2016, short-term borrowings consisted of the following:</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Borrowings from Bank of China, due on February 10, 2017 with annual interest rate of 4.8%, secured by certain of the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Company’s intellectual property and fully repaid on February 13,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8"/>
              </w:rPr>
              <w:t>Borrowings from Bank of Shanghai Pudong Branch, due on June 24, 2017 with an annual interest rate of 5.66%,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guaranteed by the Company’s CEO and fully repaid on June 25, 2017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Line of credit up to $3,605 (RMB 25,000) from Bank of Shanghai Pudong Branch, due on July 3, 2017 with floating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interest (interest rate of 5.66% at December 31, 2016), guaranteed by the Company’s CEO and fully repaid on May 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4"/>
              </w:rPr>
              <w:t>Line of credit up to $3,670 from Bank of Shanghai Pudong Branch, due on July 3, 2017 with an annual interest rate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3.2%, guaranteed by the Company’s CEO and fully repaid on June 7, 2017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7"/>
              </w:rPr>
              <w:t>Line of credit up to $4,590 (RMB 30,000) from Bank of China Pudong Branch, due on March 5, 2018 with floating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rate (annual interest rate of 4.80% at December 31, 2017), secured by certain of the Company’s intellectual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$3,825 (RMB 25,000) from Bank of Shanghai Pudong Branch, various withdraws due in October 2018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w w:val="95"/>
              </w:rPr>
              <w:t>with floating interest rate (annual interest rate of 5.66% at December 31, 2017), guaranteed by the Company’s CEO</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Borrowings from Shanghai Rural Commercial Bank, due on November 21, 2018 with annual interest rate of 5.44%,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pledged by ACM Shanghai’s accounts receivable (note 3) and guaranteed by the Company’s CEO.</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years ended December 31, 2017 and 2016, interest expense related to short-term borrowings amounted to $272 and $179 respectively.</w:t>
      </w:r>
    </w:p>
    <w:p>
      <w:pPr>
        <w:sectPr>
          <w:pgSz w:w="11900" w:h="16838" w:orient="portrait"/>
          <w:cols w:equalWidth="0" w:num="1">
            <w:col w:w="11420"/>
          </w:cols>
          <w:pgMar w:left="240" w:top="129"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and 2016, other payable and accrued expenses consisted of the following:</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right"/>
              <w:ind w:right="680"/>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9"/>
              </w:rPr>
              <w:t>Lease expenses and payable for leasehold improvement due to a related party (note 12)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1,883</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Commissions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Accrued payroll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r>
      <w:tr>
        <w:trPr>
          <w:trHeight w:val="27"/>
        </w:trPr>
        <w:tc>
          <w:tcPr>
            <w:tcW w:w="20" w:type="dxa"/>
            <w:vAlign w:val="bottom"/>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6,026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3,963</w:t>
            </w: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INVESTORS’ DEPOSITS</w:t>
      </w:r>
    </w:p>
    <w:p>
      <w:pPr>
        <w:spacing w:after="0" w:line="1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12), delivered RMB 20,124 (approximately $2,981 as of the close of business on such date) in cash (the “SMC Investment”) to ACM Shanghai for potential investment pursuant to terms to be subsequently negotiated. On March 14, 2017, ACM, ACM Shanghai and SMC entered into a securities purchase agreement pursuant to which, in exchange for the SMC Investment, ACM issued to SMC a warrant exercisable to purchase 397,502 shares of ACM’s Class A common stock at a price of $7.50 per share (note 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 LIABILITY</w:t>
      </w:r>
    </w:p>
    <w:p>
      <w:pPr>
        <w:spacing w:after="0" w:line="164"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On December 9, 2016, SMC delivered the SMC Investment to ACM Shanghai for potential investment pursuant to terms to be subsequently negotiated. As of December 31, 2016, the terms of the SMC Investment had not yet been negotiated and the SMC Investment was recorded as investors’ deposit.</w:t>
      </w:r>
    </w:p>
    <w:p>
      <w:pPr>
        <w:spacing w:after="0" w:line="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 US dollar exchange rate.</w:t>
      </w:r>
    </w:p>
    <w:p>
      <w:pPr>
        <w:spacing w:after="0" w:line="10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In accordance with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warrant is classified as a liability as the warrant is conditional puttable. The fair value of the warrant is adjusted for changes in fair value at each reporting period but cannot be lower than the proceeds of the SMC Investment. The corresponding non-cash gain or loss of the changes in fair value is recorded in earnings. The methodology used to value the warrant was the Black-Scholes valuation model with the following assumptions: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 (2)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 (3)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w:t>
            </w: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Risk-free interest rate (4)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8"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Common stock price was the close price at December 31, 2017.</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term of the warrant represents the period from the current balance sheet date to the warrant expiration date.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the warrant.</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warrant.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LONG-TERM LIABILITIES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(note 2). As of December 31, 2017 and 2016, other long-term liabilities consisted of the following unearned government subsidies: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6"/>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1,952</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4,265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6,217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 METHOD INVESTMENT</w:t>
      </w:r>
    </w:p>
    <w:p>
      <w:pPr>
        <w:spacing w:after="0" w:line="164" w:lineRule="exact"/>
        <w:rPr>
          <w:sz w:val="20"/>
          <w:szCs w:val="20"/>
          <w:color w:val="auto"/>
        </w:rPr>
      </w:pPr>
    </w:p>
    <w:p>
      <w:pPr>
        <w:jc w:val="both"/>
        <w:ind w:firstLine="369"/>
        <w:spacing w:after="0" w:line="254"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 Undistributed earnings attributable to ACM’s equity method investment represented $37 of the consolidated retained earnings at December 31,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BALANCES AND TRANSACTIONS</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August 18, 2017, ACM and Ninebell, its equity method investment affiliate (note 11), entered into a loan agreement, pursuant to which ACM made an interest-free loan of $946 to Ninebell, payable in 180 days or automatically extended another 180 days if in default. The loan is secured by a pledge of Ninebell’s accounts receivable due from ACM and all money that Ninebell receives from ACM. As of December 31, 2017 and 2016, accounts payable due to Ninebell was $2,118 and $508, respectively.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group company of ZSTVC, which is our current investor and previous holder of non-controlling interests in ACM Shanghai (note 14),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the year ended December 31, 2017 and 2016, the Company incurred leasing expenses under the lease agreement of $638 and $640, respectively. As of December 31, 2017, and December 31, 2016, payables to Zhangjiang Group for lease expenses and leasehold improvements recorded as other payables and accrued expenses, amounted to $2,024 and $1,883, respectively (note 7).</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December 9, 2016, ACM Shanghai received the SMC Investment from SMC for potential investment pursuant to terms to be subsequently negotiated (notes 8 and 9). SMC is a limited partnership incorporated in the PRC, whose partners consist of employees of ACM Shanghai. As of December 31, 2017 and 2016, investors’ deposits from SMC amounted to $0, and $2,902, respectively.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for a total exercise price of $2,981.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March 31, 2019 and increase the base rent to $3 per month.</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ACM Shanghai entered into an operating lease agreement with Zhangjiang Group (a related party, see note 12) in 2007 for manufacturing and office space of approximately 63,510 square feet in Shanghai, China. The lease terms and its payment terms are subject to modification and extension with Zhangjiang Group from time to time. The lease with Zhangjiang Group expired on December 31, 2017 and we are now leasing the property on a month-to-month basis as we negotiate the terms of the lease.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ACM Wuxi leases office space in Wuxi, China, at a rate of less than $1 per month.</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non-cancelable lease agreements as of December 31, 2017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2017</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was $670 an $675 for the years ended December 31, 2017 and 2016,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w:t>
      </w:r>
    </w:p>
    <w:p>
      <w:pPr>
        <w:spacing w:after="0" w:line="1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if declared by the Board of Directors unless the Board of Directors declares different dividends to the Class A common stock and Class B common stock by getting approval from a majority of common stock holders.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August 2017 ACM entered into a securities purchase agreement with PDHTI and its subsidiary Pudong Science and Technology (Cayman) Co., Ltd. (“PST”), in which ACM agreed to bid, in an auction process mandated by PRC regulations, to purchase PDHTI’s 10.78% equity interests in ACM Shanghai and to sell shares of Class A common stock to PST. On September 8, 2017, ACM issued 1,119,576 shares of Class A common stock to PST for a purchase price of $7.50 per share, representing an aggregate purchase price of $8,397.</w:t>
      </w:r>
    </w:p>
    <w:p>
      <w:pPr>
        <w:spacing w:after="0" w:line="13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August 2017 ACM entered into a securities purchase agreement with ZSTVC and its subsidiary Zhangjiang AJ Company Limited (“ZJAJ”), in which ACM agreed to bid, in an auction process mandated by PRC regulations, to purchase ZSTVC’s 7.58% equity interests in ACM Shanghai and to sell shares of Class A common stock to ZJAJ. On September 8, 2017, ACM issued 787,098 shares of Class A common stock to ZJAJ for a purchase price of $7.50 per share, or an aggregate purchase price of $5,903.</w:t>
      </w:r>
    </w:p>
    <w:p>
      <w:pPr>
        <w:spacing w:after="0" w:line="13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11).</w:t>
      </w:r>
    </w:p>
    <w:p>
      <w:pPr>
        <w:spacing w:after="0" w:line="11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November 2017 ACM issued 2,233,000 shares of Class A common stock and received net proceeds of $11,664 from IPO and concurrently ACM issued additional 1,333,334 shares of Class A common stock through a private placement for net proceeds of $7,053.</w:t>
      </w:r>
    </w:p>
    <w:p>
      <w:pPr>
        <w:spacing w:after="0" w:line="186"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connection with the completion of IPO on November 2, 2017, the Company issued a five-year warrant to Roth Capital Partners, LLC, the Company's IPO underwriter, up to 80,000 shares ("Underwriter's Warrant") of the Company's Class A common stock at the exercise price of $6.16. The Underwriter's Warrant is immediately exercisable and expires on November 1, 2022. The Underwriter's Warrant is equity classified and the fair value was $137 at the IPO offering date, using the Black Scholes model with the following assumptions: volatility - 28.26%, dividend rate - 0%, and risk free discount rate- 2%.</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various dates during 2017, ACM issued 472,889 shares of Class A common stock for options exercised by certain employee and non-employees.</w:t>
      </w:r>
    </w:p>
    <w:p>
      <w:pPr>
        <w:spacing w:after="0" w:line="181"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At December 31, 2017 and 2016, the number of shares of Class A common stock issued and outstanding was 12,935,546 and 2,228,740, respectively. At December 31, 2017 and 2016, the number of shares of Class B common stock issued and outstanding was 2,409,738.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REDEEMABLE CONVERTIBLE PREFERRED STOCK</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ACM’s redomestication in Delaware in November 2016, ACM had 22,696,467 authorized shares of preferred stock, of which 385,000, 1,572,000, 1,360,962, 2,659,975, 10,718,530, and 6,000,000 shares were designated as Series A, Series B, Series C, Series D, Series E and Series F preferred stock, respectively.</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March 2017 ACM entered into a securities purchase agreement, amended in July 2017, with SSTVC pursuant to which, effective as of August 31, 2017, ACM acquired SSTVC’s equity interests in ACM Shanghai for a purchase price of $6,154 (RMB 40,000) and issued to SSTVC 4,998,508 shares of Series E convertible preferred stock for a purchase price of $5,800.</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number of issued and outstanding shares of redeemable convertible preferred stock as of December 31,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1,572,000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1,360,962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Series D convertible preferred stock</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2,659,975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Series E convertible preferred stock</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Series F convertible preferred stock</w:t>
            </w:r>
          </w:p>
        </w:tc>
        <w:tc>
          <w:tcPr>
            <w:tcW w:w="47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11,977,937</w:t>
            </w:r>
          </w:p>
        </w:tc>
        <w:tc>
          <w:tcPr>
            <w:tcW w:w="140" w:type="dxa"/>
            <w:vAlign w:val="bottom"/>
            <w:shd w:val="clear" w:color="auto" w:fill="CCEEFF"/>
          </w:tcPr>
          <w:p>
            <w:pPr>
              <w:spacing w:after="0"/>
              <w:rPr>
                <w:sz w:val="22"/>
                <w:szCs w:val="22"/>
                <w:color w:val="auto"/>
              </w:rPr>
            </w:pPr>
          </w:p>
        </w:tc>
      </w:tr>
      <w:tr>
        <w:trPr>
          <w:trHeight w:val="641"/>
        </w:trPr>
        <w:tc>
          <w:tcPr>
            <w:tcW w:w="20" w:type="dxa"/>
            <w:vAlign w:val="bottom"/>
          </w:tcPr>
          <w:p>
            <w:pPr>
              <w:spacing w:after="0"/>
              <w:rPr>
                <w:sz w:val="24"/>
                <w:szCs w:val="24"/>
                <w:color w:val="auto"/>
              </w:rPr>
            </w:pPr>
          </w:p>
        </w:tc>
        <w:tc>
          <w:tcPr>
            <w:tcW w:w="4060" w:type="dxa"/>
            <w:vAlign w:val="bottom"/>
            <w:tcBorders>
              <w:top w:val="single" w:sz="8" w:color="CCEEFF"/>
              <w:bottom w:val="single" w:sz="8" w:color="auto"/>
            </w:tcBorders>
          </w:tcPr>
          <w:p>
            <w:pPr>
              <w:spacing w:after="0"/>
              <w:rPr>
                <w:sz w:val="24"/>
                <w:szCs w:val="24"/>
                <w:color w:val="auto"/>
              </w:rPr>
            </w:pPr>
          </w:p>
        </w:tc>
        <w:tc>
          <w:tcPr>
            <w:tcW w:w="4740" w:type="dxa"/>
            <w:vAlign w:val="bottom"/>
            <w:tcBorders>
              <w:top w:val="single" w:sz="8" w:color="CCEEFF"/>
              <w:bottom w:val="single" w:sz="8" w:color="auto"/>
            </w:tcBorders>
          </w:tcPr>
          <w:p>
            <w:pPr>
              <w:jc w:val="right"/>
              <w:ind w:right="2932"/>
              <w:spacing w:after="0"/>
              <w:rPr>
                <w:sz w:val="20"/>
                <w:szCs w:val="20"/>
                <w:color w:val="auto"/>
              </w:rPr>
            </w:pPr>
            <w:r>
              <w:rPr>
                <w:rFonts w:ascii="Arial" w:cs="Arial" w:eastAsia="Arial" w:hAnsi="Arial"/>
                <w:sz w:val="18"/>
                <w:szCs w:val="18"/>
                <w:color w:val="auto"/>
              </w:rPr>
              <w:t>98</w:t>
            </w:r>
          </w:p>
        </w:tc>
        <w:tc>
          <w:tcPr>
            <w:tcW w:w="1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of ACM’s convertible preferred stock have rights, preferences and privileges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Each share of Series A through Series F convertible preferred stock is entitled to a number of votes equal to the number of whole shares of common stock into which such share can be converted.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Each share of Series A through Series F convertible preferred stock is convertible at any time, at the option of the holder. At November 3, 2017, the IPO date, each share of Series A, B, E and F convertible preferred stock was convertible into one-third share of Class A common stock, each share of Series C convertible preferred stock was convertible into 0.3544 shares of Class A common stock, and each share of Series D convertible preferred stock was convertible into 0.4562 shares of Class A common stock. All Series A through Series F convertible preferred stock converted automatically into a total of 4,625,577 shares of Class A common stock upon the closing of the IPO. At December 31, 2016, 2,960,968 shares of Class A common stock were reserved for issuance upon conversion of outstanding Series A through Series F convertible preferred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58"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93"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$2.50 per share of Series A through Series F convertible preferred stock, respectively, plus any accumulated and unpaid dividends as of the redemption date.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16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ACM’s employee share option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5"/>
                <w:szCs w:val="15"/>
                <w:b w:val="1"/>
                <w:bCs w:val="1"/>
                <w:color w:val="auto"/>
              </w:rPr>
              <w:t>Weighted</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33"/>
              <w:spacing w:after="0" w:line="162" w:lineRule="exact"/>
              <w:rPr>
                <w:sz w:val="20"/>
                <w:szCs w:val="20"/>
                <w:color w:val="auto"/>
              </w:rPr>
            </w:pPr>
            <w:r>
              <w:rPr>
                <w:rFonts w:ascii="Arial" w:cs="Arial" w:eastAsia="Arial" w:hAnsi="Arial"/>
                <w:sz w:val="15"/>
                <w:szCs w:val="15"/>
                <w:b w:val="1"/>
                <w:bCs w:val="1"/>
                <w:color w:val="auto"/>
              </w:rPr>
              <w:t>Weighted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4"/>
              <w:spacing w:after="0" w:line="162" w:lineRule="exact"/>
              <w:rPr>
                <w:sz w:val="20"/>
                <w:szCs w:val="20"/>
                <w:color w:val="auto"/>
              </w:rPr>
            </w:pPr>
            <w:r>
              <w:rPr>
                <w:rFonts w:ascii="Arial" w:cs="Arial" w:eastAsia="Arial" w:hAnsi="Arial"/>
                <w:sz w:val="15"/>
                <w:szCs w:val="15"/>
                <w:b w:val="1"/>
                <w:bCs w:val="1"/>
                <w:color w:val="auto"/>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80" w:type="dxa"/>
            <w:vAlign w:val="bottom"/>
            <w:gridSpan w:val="2"/>
          </w:tcPr>
          <w:p>
            <w:pPr>
              <w:jc w:val="right"/>
              <w:ind w:right="44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6"/>
              </w:rPr>
              <w:t>Average Grant</w:t>
            </w:r>
          </w:p>
        </w:tc>
        <w:tc>
          <w:tcPr>
            <w:tcW w:w="260" w:type="dxa"/>
            <w:vAlign w:val="bottom"/>
          </w:tcPr>
          <w:p>
            <w:pPr>
              <w:spacing w:after="0"/>
              <w:rPr>
                <w:sz w:val="14"/>
                <w:szCs w:val="14"/>
                <w:color w:val="auto"/>
              </w:rPr>
            </w:pPr>
          </w:p>
        </w:tc>
        <w:tc>
          <w:tcPr>
            <w:tcW w:w="11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84"/>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1,009,371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(409,004)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tcPr>
          <w:p>
            <w:pPr>
              <w:jc w:val="right"/>
              <w:spacing w:after="0"/>
              <w:rPr>
                <w:sz w:val="20"/>
                <w:szCs w:val="20"/>
                <w:color w:val="auto"/>
              </w:rPr>
            </w:pPr>
            <w:r>
              <w:rPr>
                <w:rFonts w:ascii="Arial" w:cs="Arial" w:eastAsia="Arial" w:hAnsi="Arial"/>
                <w:sz w:val="18"/>
                <w:szCs w:val="18"/>
                <w:color w:val="auto"/>
              </w:rPr>
              <w:t>2,100,377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(174,334)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(16,677)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exercisable at December 31, 2017</w:t>
            </w:r>
          </w:p>
        </w:tc>
        <w:tc>
          <w:tcPr>
            <w:tcW w:w="1120" w:type="dxa"/>
            <w:vAlign w:val="bottom"/>
          </w:tcPr>
          <w:p>
            <w:pPr>
              <w:jc w:val="right"/>
              <w:spacing w:after="0"/>
              <w:rPr>
                <w:sz w:val="20"/>
                <w:szCs w:val="20"/>
                <w:color w:val="auto"/>
              </w:rPr>
            </w:pPr>
            <w:r>
              <w:rPr>
                <w:rFonts w:ascii="Arial" w:cs="Arial" w:eastAsia="Arial" w:hAnsi="Arial"/>
                <w:sz w:val="18"/>
                <w:szCs w:val="18"/>
                <w:color w:val="auto"/>
              </w:rPr>
              <w:t>1,010,313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3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During the years ended December 31, 2017 and 2016, ACM recognized employee stock-based compensation expense of $271 and $92, respectively. As of December 31, 2017 and 2016, $729 and $726, respectively, of total unrecognized employee stock-based compensation expense, net of estimated forfeitures, related to stock-based awards were expected to be recognized over a weighted-average period of 1.77 years and 2.25 years, respectively. Total unrecognized compensation cost may be adjusted for future changes in estimated forfeitures.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each option granted to employee is estimated on the grant date using the Black-Scholes valuation model with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300" w:type="dxa"/>
            <w:vAlign w:val="bottom"/>
            <w:tcBorders>
              <w:bottom w:val="single" w:sz="8" w:color="auto"/>
            </w:tcBorders>
            <w:gridSpan w:val="3"/>
          </w:tcPr>
          <w:p>
            <w:pPr>
              <w:ind w:left="118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2017</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2016</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5840" w:type="dxa"/>
            <w:vAlign w:val="bottom"/>
            <w:gridSpan w:val="2"/>
            <w:shd w:val="clear" w:color="auto" w:fill="CCEEFF"/>
          </w:tcPr>
          <w:p>
            <w:pPr>
              <w:jc w:val="center"/>
              <w:ind w:left="4152"/>
              <w:spacing w:after="0"/>
              <w:rPr>
                <w:sz w:val="20"/>
                <w:szCs w:val="20"/>
                <w:color w:val="auto"/>
              </w:rPr>
            </w:pPr>
            <w:r>
              <w:rPr>
                <w:rFonts w:ascii="Arial" w:cs="Arial" w:eastAsia="Arial" w:hAnsi="Arial"/>
                <w:sz w:val="18"/>
                <w:szCs w:val="18"/>
                <w:color w:val="auto"/>
                <w:w w:val="88"/>
              </w:rPr>
              <w:t>$5.60-7.59</w:t>
            </w:r>
          </w:p>
        </w:tc>
        <w:tc>
          <w:tcPr>
            <w:tcW w:w="1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$2.28</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5840" w:type="dxa"/>
            <w:vAlign w:val="bottom"/>
            <w:gridSpan w:val="2"/>
          </w:tcPr>
          <w:p>
            <w:pPr>
              <w:jc w:val="center"/>
              <w:ind w:left="4132"/>
              <w:spacing w:after="0"/>
              <w:rPr>
                <w:sz w:val="20"/>
                <w:szCs w:val="20"/>
                <w:color w:val="auto"/>
              </w:rPr>
            </w:pPr>
            <w:r>
              <w:rPr>
                <w:rFonts w:ascii="Arial" w:cs="Arial" w:eastAsia="Arial" w:hAnsi="Arial"/>
                <w:sz w:val="18"/>
                <w:szCs w:val="18"/>
                <w:color w:val="auto"/>
                <w:w w:val="85"/>
              </w:rPr>
              <w:t>6.25</w:t>
            </w:r>
          </w:p>
        </w:tc>
        <w:tc>
          <w:tcPr>
            <w:tcW w:w="17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5.75-6.25</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5840" w:type="dxa"/>
            <w:vAlign w:val="bottom"/>
            <w:gridSpan w:val="2"/>
            <w:shd w:val="clear" w:color="auto" w:fill="CCEEFF"/>
          </w:tcPr>
          <w:p>
            <w:pPr>
              <w:jc w:val="center"/>
              <w:ind w:left="4132"/>
              <w:spacing w:after="0"/>
              <w:rPr>
                <w:sz w:val="20"/>
                <w:szCs w:val="20"/>
                <w:color w:val="auto"/>
              </w:rPr>
            </w:pPr>
            <w:r>
              <w:rPr>
                <w:rFonts w:ascii="Arial" w:cs="Arial" w:eastAsia="Arial" w:hAnsi="Arial"/>
                <w:sz w:val="18"/>
                <w:szCs w:val="18"/>
                <w:color w:val="auto"/>
                <w:w w:val="88"/>
              </w:rPr>
              <w:t>28.62% -29.18%</w:t>
            </w:r>
          </w:p>
        </w:tc>
        <w:tc>
          <w:tcPr>
            <w:tcW w:w="1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29.93%</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5840" w:type="dxa"/>
            <w:vAlign w:val="bottom"/>
            <w:gridSpan w:val="2"/>
          </w:tcPr>
          <w:p>
            <w:pPr>
              <w:jc w:val="center"/>
              <w:ind w:left="4152"/>
              <w:spacing w:after="0"/>
              <w:rPr>
                <w:sz w:val="20"/>
                <w:szCs w:val="20"/>
                <w:color w:val="auto"/>
              </w:rPr>
            </w:pPr>
            <w:r>
              <w:rPr>
                <w:rFonts w:ascii="Arial" w:cs="Arial" w:eastAsia="Arial" w:hAnsi="Arial"/>
                <w:sz w:val="18"/>
                <w:szCs w:val="18"/>
                <w:color w:val="auto"/>
                <w:w w:val="88"/>
              </w:rPr>
              <w:t>2.21%-2.22%</w:t>
            </w:r>
          </w:p>
        </w:tc>
        <w:tc>
          <w:tcPr>
            <w:tcW w:w="17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2.02%-2.32%</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5840" w:type="dxa"/>
            <w:vAlign w:val="bottom"/>
            <w:gridSpan w:val="2"/>
            <w:shd w:val="clear" w:color="auto" w:fill="CCEEFF"/>
          </w:tcPr>
          <w:p>
            <w:pPr>
              <w:jc w:val="center"/>
              <w:ind w:left="4152"/>
              <w:spacing w:after="0"/>
              <w:rPr>
                <w:sz w:val="20"/>
                <w:szCs w:val="20"/>
                <w:color w:val="auto"/>
              </w:rPr>
            </w:pPr>
            <w:r>
              <w:rPr>
                <w:rFonts w:ascii="Arial" w:cs="Arial" w:eastAsia="Arial" w:hAnsi="Arial"/>
                <w:sz w:val="18"/>
                <w:szCs w:val="18"/>
                <w:color w:val="auto"/>
                <w:w w:val="92"/>
              </w:rPr>
              <w:t>0%</w:t>
            </w:r>
          </w:p>
        </w:tc>
        <w:tc>
          <w:tcPr>
            <w:tcW w:w="1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r>
      <w:tr>
        <w:trPr>
          <w:trHeight w:val="647"/>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right"/>
              <w:ind w:right="2192"/>
              <w:spacing w:after="0"/>
              <w:rPr>
                <w:sz w:val="20"/>
                <w:szCs w:val="20"/>
                <w:color w:val="auto"/>
              </w:rPr>
            </w:pPr>
            <w:r>
              <w:rPr>
                <w:rFonts w:ascii="Arial" w:cs="Arial" w:eastAsia="Arial" w:hAnsi="Arial"/>
                <w:sz w:val="18"/>
                <w:szCs w:val="18"/>
                <w:color w:val="auto"/>
              </w:rPr>
              <w:t>100</w:t>
            </w: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Common stock value was the close market value on December 31, 2017.</w:t>
      </w:r>
    </w:p>
    <w:p>
      <w:pPr>
        <w:spacing w:after="0" w:line="15" w:lineRule="exact"/>
        <w:rPr>
          <w:rFonts w:ascii="Arial" w:cs="Arial" w:eastAsia="Arial" w:hAnsi="Arial"/>
          <w:sz w:val="18"/>
          <w:szCs w:val="18"/>
          <w:color w:val="auto"/>
        </w:rPr>
      </w:pPr>
    </w:p>
    <w:p>
      <w:pPr>
        <w:ind w:left="660" w:hanging="652"/>
        <w:spacing w:after="0" w:line="250" w:lineRule="auto"/>
        <w:tabs>
          <w:tab w:leader="none" w:pos="3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340" w:hanging="332"/>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32" w:lineRule="exact"/>
        <w:rPr>
          <w:rFonts w:ascii="Arial" w:cs="Arial" w:eastAsia="Arial" w:hAnsi="Arial"/>
          <w:sz w:val="16"/>
          <w:szCs w:val="16"/>
          <w:color w:val="auto"/>
        </w:rPr>
      </w:pPr>
    </w:p>
    <w:p>
      <w:pPr>
        <w:ind w:left="660" w:hanging="652"/>
        <w:spacing w:after="0" w:line="250" w:lineRule="auto"/>
        <w:tabs>
          <w:tab w:leader="none" w:pos="3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ACM’s non-employee share option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3"/>
              <w:spacing w:after="0"/>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4"/>
              <w:spacing w:after="0"/>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Average</w:t>
            </w: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Remaining</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5"/>
                <w:szCs w:val="15"/>
                <w:b w:val="1"/>
                <w:bCs w:val="1"/>
                <w:color w:val="auto"/>
                <w:w w:val="95"/>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5"/>
                <w:szCs w:val="15"/>
                <w:b w:val="1"/>
                <w:bCs w:val="1"/>
                <w:color w:val="auto"/>
                <w:w w:val="87"/>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1,533,343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415,225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(370,003)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tcPr>
          <w:p>
            <w:pPr>
              <w:jc w:val="right"/>
              <w:spacing w:after="0"/>
              <w:rPr>
                <w:sz w:val="20"/>
                <w:szCs w:val="20"/>
                <w:color w:val="auto"/>
              </w:rPr>
            </w:pPr>
            <w:r>
              <w:rPr>
                <w:rFonts w:ascii="Arial" w:cs="Arial" w:eastAsia="Arial" w:hAnsi="Arial"/>
                <w:sz w:val="18"/>
                <w:szCs w:val="18"/>
                <w:color w:val="auto"/>
              </w:rPr>
              <w:t>1,578,565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(298,555)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exercisable at December 31, 2017</w:t>
            </w:r>
          </w:p>
        </w:tc>
        <w:tc>
          <w:tcPr>
            <w:tcW w:w="1120" w:type="dxa"/>
            <w:vAlign w:val="bottom"/>
          </w:tcPr>
          <w:p>
            <w:pPr>
              <w:jc w:val="right"/>
              <w:spacing w:after="0"/>
              <w:rPr>
                <w:sz w:val="20"/>
                <w:szCs w:val="20"/>
                <w:color w:val="auto"/>
              </w:rPr>
            </w:pPr>
            <w:r>
              <w:rPr>
                <w:rFonts w:ascii="Arial" w:cs="Arial" w:eastAsia="Arial" w:hAnsi="Arial"/>
                <w:sz w:val="18"/>
                <w:szCs w:val="18"/>
                <w:color w:val="auto"/>
              </w:rPr>
              <w:t>754,799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3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During the years ended December 31, 2017 and 2016, the Company recognized non-employee stock-based compensation expense of $1,351 and $291, respectively.</w:t>
      </w:r>
    </w:p>
    <w:p>
      <w:pPr>
        <w:spacing w:after="0" w:line="1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fair value of each option granted to non-employees is re-measured at each period end until the vesting date using the Black-Scholes valuation model with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300" w:type="dxa"/>
            <w:vAlign w:val="bottom"/>
            <w:tcBorders>
              <w:bottom w:val="single" w:sz="8" w:color="auto"/>
            </w:tcBorders>
            <w:gridSpan w:val="3"/>
          </w:tcPr>
          <w:p>
            <w:pPr>
              <w:ind w:left="122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2017</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2016</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5840" w:type="dxa"/>
            <w:vAlign w:val="bottom"/>
            <w:gridSpan w:val="2"/>
            <w:shd w:val="clear" w:color="auto" w:fill="CCEEFF"/>
          </w:tcPr>
          <w:p>
            <w:pPr>
              <w:jc w:val="center"/>
              <w:ind w:left="4152"/>
              <w:spacing w:after="0"/>
              <w:rPr>
                <w:sz w:val="20"/>
                <w:szCs w:val="20"/>
                <w:color w:val="auto"/>
              </w:rPr>
            </w:pPr>
            <w:r>
              <w:rPr>
                <w:rFonts w:ascii="Arial" w:cs="Arial" w:eastAsia="Arial" w:hAnsi="Arial"/>
                <w:sz w:val="18"/>
                <w:szCs w:val="18"/>
                <w:color w:val="auto"/>
                <w:w w:val="88"/>
              </w:rPr>
              <w:t>$5.25-7.59</w:t>
            </w:r>
          </w:p>
        </w:tc>
        <w:tc>
          <w:tcPr>
            <w:tcW w:w="1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$2.28</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5840" w:type="dxa"/>
            <w:vAlign w:val="bottom"/>
            <w:gridSpan w:val="2"/>
          </w:tcPr>
          <w:p>
            <w:pPr>
              <w:jc w:val="center"/>
              <w:ind w:left="4152"/>
              <w:spacing w:after="0"/>
              <w:rPr>
                <w:sz w:val="20"/>
                <w:szCs w:val="20"/>
                <w:color w:val="auto"/>
              </w:rPr>
            </w:pPr>
            <w:r>
              <w:rPr>
                <w:rFonts w:ascii="Arial" w:cs="Arial" w:eastAsia="Arial" w:hAnsi="Arial"/>
                <w:sz w:val="18"/>
                <w:szCs w:val="18"/>
                <w:color w:val="auto"/>
                <w:w w:val="89"/>
              </w:rPr>
              <w:t>3.58-6.25</w:t>
            </w:r>
          </w:p>
        </w:tc>
        <w:tc>
          <w:tcPr>
            <w:tcW w:w="170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2.11-6.24</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5840" w:type="dxa"/>
            <w:vAlign w:val="bottom"/>
            <w:gridSpan w:val="2"/>
            <w:shd w:val="clear" w:color="auto" w:fill="CCEEFF"/>
          </w:tcPr>
          <w:p>
            <w:pPr>
              <w:jc w:val="center"/>
              <w:ind w:left="4132"/>
              <w:spacing w:after="0"/>
              <w:rPr>
                <w:sz w:val="20"/>
                <w:szCs w:val="20"/>
                <w:color w:val="auto"/>
              </w:rPr>
            </w:pPr>
            <w:r>
              <w:rPr>
                <w:rFonts w:ascii="Arial" w:cs="Arial" w:eastAsia="Arial" w:hAnsi="Arial"/>
                <w:sz w:val="18"/>
                <w:szCs w:val="18"/>
                <w:color w:val="auto"/>
                <w:w w:val="88"/>
              </w:rPr>
              <w:t>28.71%-29.41%</w:t>
            </w:r>
          </w:p>
        </w:tc>
        <w:tc>
          <w:tcPr>
            <w:tcW w:w="1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29.93%</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5840" w:type="dxa"/>
            <w:vAlign w:val="bottom"/>
            <w:gridSpan w:val="2"/>
          </w:tcPr>
          <w:p>
            <w:pPr>
              <w:jc w:val="center"/>
              <w:ind w:left="4152"/>
              <w:spacing w:after="0"/>
              <w:rPr>
                <w:sz w:val="20"/>
                <w:szCs w:val="20"/>
                <w:color w:val="auto"/>
              </w:rPr>
            </w:pPr>
            <w:r>
              <w:rPr>
                <w:rFonts w:ascii="Arial" w:cs="Arial" w:eastAsia="Arial" w:hAnsi="Arial"/>
                <w:sz w:val="18"/>
                <w:szCs w:val="18"/>
                <w:color w:val="auto"/>
                <w:w w:val="88"/>
              </w:rPr>
              <w:t>1.62%-2.43%</w:t>
            </w:r>
          </w:p>
        </w:tc>
        <w:tc>
          <w:tcPr>
            <w:tcW w:w="17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1.00%-2.25%</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5840" w:type="dxa"/>
            <w:vAlign w:val="bottom"/>
            <w:gridSpan w:val="2"/>
            <w:shd w:val="clear" w:color="auto" w:fill="CCEEFF"/>
          </w:tcPr>
          <w:p>
            <w:pPr>
              <w:jc w:val="center"/>
              <w:ind w:left="4152"/>
              <w:spacing w:after="0"/>
              <w:rPr>
                <w:sz w:val="20"/>
                <w:szCs w:val="20"/>
                <w:color w:val="auto"/>
              </w:rPr>
            </w:pPr>
            <w:r>
              <w:rPr>
                <w:rFonts w:ascii="Arial" w:cs="Arial" w:eastAsia="Arial" w:hAnsi="Arial"/>
                <w:sz w:val="18"/>
                <w:szCs w:val="18"/>
                <w:color w:val="auto"/>
                <w:w w:val="92"/>
              </w:rPr>
              <w:t>0%</w:t>
            </w:r>
          </w:p>
        </w:tc>
        <w:tc>
          <w:tcPr>
            <w:tcW w:w="1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r>
      <w:tr>
        <w:trPr>
          <w:trHeight w:val="580"/>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right"/>
              <w:ind w:right="2192"/>
              <w:spacing w:after="0"/>
              <w:rPr>
                <w:sz w:val="20"/>
                <w:szCs w:val="20"/>
                <w:color w:val="auto"/>
              </w:rPr>
            </w:pPr>
            <w:r>
              <w:rPr>
                <w:rFonts w:ascii="Arial" w:cs="Arial" w:eastAsia="Arial" w:hAnsi="Arial"/>
                <w:sz w:val="18"/>
                <w:szCs w:val="18"/>
                <w:color w:val="auto"/>
              </w:rPr>
              <w:t>101</w:t>
            </w: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9" w:right="2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stock value was the close market value on December 31, 2017.</w:t>
      </w:r>
    </w:p>
    <w:p>
      <w:pPr>
        <w:spacing w:after="0" w:line="15" w:lineRule="exact"/>
        <w:rPr>
          <w:rFonts w:ascii="Arial" w:cs="Arial" w:eastAsia="Arial" w:hAnsi="Arial"/>
          <w:sz w:val="18"/>
          <w:szCs w:val="18"/>
          <w:color w:val="auto"/>
        </w:rPr>
      </w:pPr>
    </w:p>
    <w:p>
      <w:pPr>
        <w:ind w:left="660" w:hanging="652"/>
        <w:spacing w:after="0" w:line="250" w:lineRule="auto"/>
        <w:tabs>
          <w:tab w:leader="none" w:pos="3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32" w:lineRule="exact"/>
        <w:rPr>
          <w:rFonts w:ascii="Arial" w:cs="Arial" w:eastAsia="Arial" w:hAnsi="Arial"/>
          <w:sz w:val="16"/>
          <w:szCs w:val="16"/>
          <w:color w:val="auto"/>
        </w:rPr>
      </w:pPr>
    </w:p>
    <w:p>
      <w:pPr>
        <w:ind w:left="660" w:hanging="652"/>
        <w:spacing w:after="0" w:line="250" w:lineRule="auto"/>
        <w:tabs>
          <w:tab w:leader="none" w:pos="3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represent components of the income tax benefit (expense) for the years ended December 31, 2017 and 2016:</w:t>
      </w:r>
    </w:p>
    <w:p>
      <w:pPr>
        <w:spacing w:after="0" w:line="220" w:lineRule="exact"/>
        <w:rPr>
          <w:sz w:val="20"/>
          <w:szCs w:val="20"/>
          <w:color w:val="auto"/>
        </w:rPr>
      </w:pPr>
    </w:p>
    <w:p>
      <w:pPr>
        <w:jc w:val="center"/>
        <w:ind w:left="8660"/>
        <w:spacing w:after="0"/>
        <w:rPr>
          <w:sz w:val="20"/>
          <w:szCs w:val="20"/>
          <w:color w:val="auto"/>
        </w:rPr>
      </w:pPr>
      <w:r>
        <w:rPr>
          <w:rFonts w:ascii="Arial" w:cs="Arial" w:eastAsia="Arial" w:hAnsi="Arial"/>
          <w:sz w:val="15"/>
          <w:szCs w:val="15"/>
          <w:b w:val="1"/>
          <w:bCs w:val="1"/>
          <w:color w:val="auto"/>
        </w:rPr>
        <w:t>Year Ended</w:t>
      </w:r>
    </w:p>
    <w:p>
      <w:pPr>
        <w:spacing w:after="0" w:line="6" w:lineRule="exact"/>
        <w:rPr>
          <w:sz w:val="20"/>
          <w:szCs w:val="20"/>
          <w:color w:val="auto"/>
        </w:rPr>
      </w:pPr>
    </w:p>
    <w:p>
      <w:pPr>
        <w:jc w:val="center"/>
        <w:ind w:left="866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expense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federal</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U.S. state</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expense</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(547)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(547)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Tax effects of temporary differences that give rise to significant portions of the Company’s deferred tax assets at December 31, 2017 and 2016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Net operating loss carry forwards (offshore)</w:t>
            </w: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4,418</w:t>
            </w:r>
          </w:p>
        </w:tc>
        <w:tc>
          <w:tcPr>
            <w:tcW w:w="28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operating loss carry forwards (U.S.) and credit</w:t>
            </w:r>
          </w:p>
        </w:tc>
        <w:tc>
          <w:tcPr>
            <w:tcW w:w="4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Deferred revenue (offshore)</w:t>
            </w: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Accruals (U.S.)</w:t>
            </w:r>
          </w:p>
        </w:tc>
        <w:tc>
          <w:tcPr>
            <w:tcW w:w="4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Reserves and other (offshore)</w:t>
            </w: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(U.S.)</w:t>
            </w:r>
          </w:p>
        </w:tc>
        <w:tc>
          <w:tcPr>
            <w:tcW w:w="4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Property and equipment (U.S.)</w:t>
            </w:r>
          </w:p>
        </w:tc>
        <w:tc>
          <w:tcPr>
            <w:tcW w:w="4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4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3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Translation difference</w:t>
            </w:r>
          </w:p>
        </w:tc>
        <w:tc>
          <w:tcPr>
            <w:tcW w:w="4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80" w:type="dxa"/>
            <w:vAlign w:val="bottom"/>
            <w:vMerge w:val="restart"/>
          </w:tcPr>
          <w:p>
            <w:pPr>
              <w:jc w:val="right"/>
              <w:ind w:right="2892"/>
              <w:spacing w:after="0"/>
              <w:rPr>
                <w:sz w:val="20"/>
                <w:szCs w:val="20"/>
                <w:color w:val="auto"/>
              </w:rPr>
            </w:pPr>
            <w:r>
              <w:rPr>
                <w:rFonts w:ascii="Arial" w:cs="Arial" w:eastAsia="Arial" w:hAnsi="Arial"/>
                <w:sz w:val="18"/>
                <w:szCs w:val="18"/>
                <w:color w:val="auto"/>
              </w:rPr>
              <w:t>102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9" w:right="2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2017 and 2016,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decreased by $760 for the year ended December 31, 2017 and increased $264 for the year ended December 31, 2016. The valuation allowance in China decreased by $58 and $163 during the years ended December 31, 2017 and 2016, respectively.</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have any significant temporary differences relating to deferred tax liabilities as of December 31, 2017 or 2016.</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2017 and 2016, the Company had net operating loss carry-forwards of respectively, $20,116 and $15,037 for U.S federal purposes, $536 and $204 for U.S. state purposes and $6,411 and $6,822 for Chinese income tax purposes. Such losses are set to expire in 2019, 2032, and 2017 for U.S. federal, U.S. state and Chinese income tax purposes,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As of December 31, 2017 and 2016, the Company had research credit carry-forwards of $606 for U.S. federal purposes, and $377 for U.S. state purposes.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Such credits are set to expire in 2025 for U.S. federal carry-forwards. There is no expiration date for U.S. state carry-forwards.</w:t>
      </w:r>
    </w:p>
    <w:p>
      <w:pPr>
        <w:spacing w:after="0" w:line="15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December 31, 2017 and 2016, the Company had not performed an analysis to determine if its net operating loss and credit carry-forwards would be subject to such limitations.</w:t>
      </w:r>
    </w:p>
    <w:p>
      <w:pPr>
        <w:spacing w:after="0" w:line="9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years ended December 31, 2017 and 2016.</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right="80" w:firstLine="486"/>
        <w:spacing w:after="0" w:line="268" w:lineRule="auto"/>
        <w:rPr>
          <w:sz w:val="20"/>
          <w:szCs w:val="20"/>
          <w:color w:val="auto"/>
        </w:rPr>
      </w:pPr>
      <w:r>
        <w:rPr>
          <w:rFonts w:ascii="Arial" w:cs="Arial" w:eastAsia="Arial" w:hAnsi="Arial"/>
          <w:sz w:val="18"/>
          <w:szCs w:val="18"/>
          <w:color w:val="auto"/>
        </w:rPr>
        <w:t>Income tax (expense) benefit for the years ended December 31, 2017 and 2016 differed from the amounts computed by applying the statutory federal income tax rate of 34% to pretax income (loss) as a result of the following:</w:t>
      </w:r>
    </w:p>
    <w:p>
      <w:pPr>
        <w:spacing w:after="0" w:line="181" w:lineRule="exact"/>
        <w:rPr>
          <w:sz w:val="20"/>
          <w:szCs w:val="20"/>
          <w:color w:val="auto"/>
        </w:rPr>
      </w:pPr>
    </w:p>
    <w:p>
      <w:pPr>
        <w:ind w:left="9700"/>
        <w:spacing w:after="0"/>
        <w:rPr>
          <w:sz w:val="20"/>
          <w:szCs w:val="20"/>
          <w:color w:val="auto"/>
        </w:rPr>
      </w:pPr>
      <w:r>
        <w:rPr>
          <w:rFonts w:ascii="Arial" w:cs="Arial" w:eastAsia="Arial" w:hAnsi="Arial"/>
          <w:sz w:val="15"/>
          <w:szCs w:val="15"/>
          <w:b w:val="1"/>
          <w:bCs w:val="1"/>
          <w:color w:val="auto"/>
        </w:rPr>
        <w:t>Year ended</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700" w:type="dxa"/>
            <w:vAlign w:val="bottom"/>
            <w:tcBorders>
              <w:bottom w:val="single" w:sz="8" w:color="auto"/>
            </w:tcBorders>
            <w:gridSpan w:val="3"/>
          </w:tcPr>
          <w:p>
            <w:pPr>
              <w:ind w:left="760"/>
              <w:spacing w:after="0" w:line="165" w:lineRule="exact"/>
              <w:rPr>
                <w:sz w:val="20"/>
                <w:szCs w:val="20"/>
                <w:color w:val="auto"/>
              </w:rPr>
            </w:pPr>
            <w:r>
              <w:rPr>
                <w:rFonts w:ascii="Arial" w:cs="Arial" w:eastAsia="Arial" w:hAnsi="Arial"/>
                <w:sz w:val="15"/>
                <w:szCs w:val="15"/>
                <w:b w:val="1"/>
                <w:bCs w:val="1"/>
                <w:color w:val="auto"/>
                <w:w w:val="94"/>
              </w:rPr>
              <w:t>December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reconciliation: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 provision at statutory rate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34.00%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taxes, net of Federal benefit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Foreign rate differential</w:t>
            </w: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permanent difference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Effect of tax reform</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valuation allowance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(168.60%)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60" w:firstLine="486"/>
        <w:spacing w:after="0" w:line="255" w:lineRule="auto"/>
        <w:rPr>
          <w:sz w:val="20"/>
          <w:szCs w:val="20"/>
          <w:color w:val="auto"/>
        </w:rPr>
      </w:pPr>
      <w:r>
        <w:rPr>
          <w:rFonts w:ascii="Arial" w:cs="Arial" w:eastAsia="Arial" w:hAnsi="Arial"/>
          <w:sz w:val="18"/>
          <w:szCs w:val="18"/>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2017 and 2016,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0"/>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Increase/(Decrease) of unrecognized tax benefits taken in prior years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of unrecognized tax benefits related to current year</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Increase/(Decreases) of unrecognized tax benefits related to settlements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Reductions to unrecognized tax benefits related to lapsing statute of limitations</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Ending balance</w:t>
            </w:r>
          </w:p>
        </w:tc>
        <w:tc>
          <w:tcPr>
            <w:tcW w:w="760" w:type="dxa"/>
            <w:vAlign w:val="bottom"/>
          </w:tcPr>
          <w:p>
            <w:pPr>
              <w:jc w:val="right"/>
              <w:ind w:right="57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$44 of unrecognized tax benefits as of December 31, 2017 and 2016.</w:t>
      </w:r>
    </w:p>
    <w:p>
      <w:pPr>
        <w:spacing w:after="0" w:line="158"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2017 and 2016, the Company had $44 of accrued penalties and $0 of accrued penalties related to uncertain tax positions, none of which has been recognized in the Company’s consolidated statements of operations and comprehensive income for the years ended December 31, 2017 and 2016. There were no ongoing examinations by taxing authorities as of December 31, 2017 and 2016.</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29" w:right="17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5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Company intends to indefinitely reinvest the PRC earnings outside of the U.S. as of December 31, 2017 and December 31, 2016. Thus, deferred taxes are not provided in the U.S. for unremitted earnings in the PRC.</w:t>
      </w:r>
    </w:p>
    <w:p>
      <w:pPr>
        <w:spacing w:after="0" w:line="118"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On December 22, 2017, the 2017 Tax Cuts and Jobs Act (the Tax Act) was enacted into law and the new legislation contains several key tax provisions that affected us, including a one-time mandatory transition tax on accumulated foreign earnings and a reduction of the corporate income tax rate to 21% effective January 1, 2018, among others. We are required to recognize the effect of the tax law changes in the period of enactment, such as determining the transition tax, remeasuring our U.S. deferred tax assets and liabilities as well as reassessing the net realizability of our deferred tax assets and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leases offices under non-cancelable operating lease agreements. The rental expenses were $670 and $675 for the years ended December 31, 2017 and 2016, respectively. See note 13 for future minimum lease payments under non-cancelable operating lease agreements with initial terms of one year or more.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did not have any capital commitments during the reported periods.</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RESTRICTED NET ASSETS</w:t>
      </w:r>
    </w:p>
    <w:p>
      <w:pPr>
        <w:spacing w:after="0" w:line="16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In accordance with the PRC’s Foreign Enterprise Law, ACM Shanghai and ACM Wuxi are required to make contributions to a statutory surplus reserve (note 2).</w:t>
      </w:r>
    </w:p>
    <w:p>
      <w:pPr>
        <w:spacing w:after="0" w:line="1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As a result of PRC laws and regulations that require annual appropriations of 10% of net after-tax profits to be set aside prior to payment of dividends as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$29,927 as of December 31, 2017 and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6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On January 12, 2018, ACM Shanghai entered into an operating lease for manufacturing space of approximately 103,318 square feet in Shanghai, China effective as of January 16, 2018. The lease term is five years and expires on January 15, 2022. During the first year, the lease space is 51,659 square feet with monthly payments of RMB 270 starting from the second month of the lease. From January 16, 2019, the lease space will be increased to 103,318 square feet with monthly payments of RMB 390. The monthly payments for the third and four year is RMB 409 and RMB 430 for the fifth year.</w:t>
      </w:r>
    </w:p>
    <w:p>
      <w:pPr>
        <w:spacing w:after="0" w:line="167"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On January 25, 2018, the Company’s board approved a total of 500,000 shares of stock options to its employees and consultants at the exercise price of $5.31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PARENT COMPANY ONLY CONDENSED FINANCIAL INFORMATION</w:t>
      </w:r>
    </w:p>
    <w:p>
      <w:pPr>
        <w:spacing w:after="0" w:line="1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ACM’s subsidiaries did not pay any dividends to ACM during the periods presented.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ACM did not have significant capital or other commitments, long-term obligations, or guarantees as of December 31, 2017 and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2017 and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5"/>
                <w:szCs w:val="15"/>
                <w:b w:val="1"/>
                <w:bCs w:val="1"/>
                <w:color w:val="auto"/>
                <w:w w:val="88"/>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Due from intercompany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receivable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24,276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unconsolidated subsidiaries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Due from related party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40,698</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redeemable convertible preferred stocks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40,698</w:t>
            </w: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16,878</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STATEMENT OF OPERATIONS</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8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vMerge w:val="restart"/>
          </w:tcPr>
          <w:p>
            <w:pPr>
              <w:jc w:val="center"/>
              <w:ind w:left="394"/>
              <w:spacing w:after="0"/>
              <w:rPr>
                <w:sz w:val="20"/>
                <w:szCs w:val="20"/>
                <w:color w:val="auto"/>
              </w:rPr>
            </w:pPr>
            <w:r>
              <w:rPr>
                <w:rFonts w:ascii="Arial" w:cs="Arial" w:eastAsia="Arial" w:hAnsi="Arial"/>
                <w:sz w:val="15"/>
                <w:szCs w:val="15"/>
                <w:b w:val="1"/>
                <w:bCs w:val="1"/>
                <w:color w:val="auto"/>
                <w:w w:val="89"/>
              </w:rPr>
              <w:t>Year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5"/>
                <w:szCs w:val="15"/>
                <w:b w:val="1"/>
                <w:bCs w:val="1"/>
                <w:color w:val="auto"/>
                <w:w w:val="88"/>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(6,394)</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(3,961)</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(3,788)</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subsidiaries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vMerge w:val="restart"/>
          </w:tcPr>
          <w:p>
            <w:pPr>
              <w:ind w:left="5560"/>
              <w:spacing w:after="0"/>
              <w:rPr>
                <w:sz w:val="20"/>
                <w:szCs w:val="20"/>
                <w:color w:val="auto"/>
              </w:rPr>
            </w:pPr>
            <w:r>
              <w:rPr>
                <w:rFonts w:ascii="Arial" w:cs="Arial" w:eastAsia="Arial" w:hAnsi="Arial"/>
                <w:sz w:val="18"/>
                <w:szCs w:val="18"/>
                <w:color w:val="auto"/>
              </w:rPr>
              <w:t>106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9" w:right="2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159" w:lineRule="exact"/>
        <w:rPr>
          <w:sz w:val="20"/>
          <w:szCs w:val="20"/>
          <w:color w:val="auto"/>
        </w:rPr>
      </w:pPr>
    </w:p>
    <w:p>
      <w:pPr>
        <w:jc w:val="center"/>
        <w:ind w:left="8680"/>
        <w:spacing w:after="0"/>
        <w:rPr>
          <w:sz w:val="20"/>
          <w:szCs w:val="20"/>
          <w:color w:val="auto"/>
        </w:rPr>
      </w:pPr>
      <w:r>
        <w:rPr>
          <w:rFonts w:ascii="Arial" w:cs="Arial" w:eastAsia="Arial" w:hAnsi="Arial"/>
          <w:sz w:val="15"/>
          <w:szCs w:val="15"/>
          <w:b w:val="1"/>
          <w:bCs w:val="1"/>
          <w:color w:val="auto"/>
        </w:rPr>
        <w:t>Year Ended</w:t>
      </w:r>
    </w:p>
    <w:p>
      <w:pPr>
        <w:spacing w:after="0" w:line="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2017</w:t>
            </w:r>
          </w:p>
        </w:tc>
        <w:tc>
          <w:tcPr>
            <w:tcW w:w="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(13,848)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(21,754)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38,676</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Accounting Officer, evaluated the effectiveness of our disclosure controls and procedures pursuant to Rule 13a-15 (e) and 15d-14 (e) under the Securities Exchange Act of 1934 as of December 31, 2017.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07" w:lineRule="exact"/>
        <w:rPr>
          <w:sz w:val="20"/>
          <w:szCs w:val="20"/>
          <w:color w:val="auto"/>
        </w:rPr>
      </w:pPr>
    </w:p>
    <w:p>
      <w:pPr>
        <w:jc w:val="both"/>
        <w:ind w:firstLine="486"/>
        <w:spacing w:after="0" w:line="323" w:lineRule="auto"/>
        <w:rPr>
          <w:sz w:val="20"/>
          <w:szCs w:val="20"/>
          <w:color w:val="auto"/>
        </w:rPr>
      </w:pPr>
      <w:r>
        <w:rPr>
          <w:rFonts w:ascii="Arial" w:cs="Arial" w:eastAsia="Arial" w:hAnsi="Arial"/>
          <w:sz w:val="15"/>
          <w:szCs w:val="15"/>
          <w:color w:val="auto"/>
        </w:rPr>
        <w:t>Based on that evaluation, our Chief Executive Officer and Chief Accounting Officer concluded that our disclosure controls and procedures are effective to provide reasonable assurance that information we are required to disclose in reports that we file or submit under the Securities Exchange Act of 1934 is recorded, processed, summarized and reported within the time periods specified in SEC rules and forms, and that such information is accumulated and communicated to our management, including our Chief Executive Officer and Chief Accounting Officer, as appropriate, to allow timely decisions regarding required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This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Identified Material Weaknesses in Internal Control Over Financial Reporting</w:t>
      </w:r>
    </w:p>
    <w:p>
      <w:pPr>
        <w:spacing w:after="0" w:line="1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Internal control over financial reporting is defined in Rule 13a-15(f) and 15d-15(f) promulgated under the Securities Exchange Act of 1934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29" w:lineRule="exact"/>
        <w:rPr>
          <w:sz w:val="20"/>
          <w:szCs w:val="20"/>
          <w:color w:val="auto"/>
        </w:rPr>
      </w:pPr>
    </w:p>
    <w:p>
      <w:pPr>
        <w:ind w:left="1300" w:right="20" w:hanging="644"/>
        <w:spacing w:after="0" w:line="268"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18"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in accordance with authorizations of management and directors of the company; and</w:t>
      </w:r>
    </w:p>
    <w:p>
      <w:pPr>
        <w:spacing w:after="0" w:line="126" w:lineRule="exact"/>
        <w:rPr>
          <w:rFonts w:ascii="Arial" w:cs="Arial" w:eastAsia="Arial" w:hAnsi="Arial"/>
          <w:sz w:val="18"/>
          <w:szCs w:val="18"/>
          <w:color w:val="auto"/>
        </w:rPr>
      </w:pPr>
    </w:p>
    <w:p>
      <w:pPr>
        <w:ind w:left="1300" w:hanging="644"/>
        <w:spacing w:after="0" w:line="268"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connection with its audits of our consolidated financial statements as of, and for the year ended, December 31, 2016, BDO China Shu Lun Pan Certified Public Accountants LLP, or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GAAP and to prepare and review our consolidated financial statements and related disclosures to fulfill GAAP and SEC financial reporting requirements.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Our management, including our Chief Executive Officer, who is our principal executive officer, and our Chief Accounting Officer and interim Chief Financial Officer, who is our principal financial officer, assessed the effectiveness of our internal control over financial reporting as of December 31, 2017.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Control—An Integrated Framework </w:t>
      </w:r>
      <w:r>
        <w:rPr>
          <w:rFonts w:ascii="Arial" w:cs="Arial" w:eastAsia="Arial" w:hAnsi="Arial"/>
          <w:sz w:val="16"/>
          <w:szCs w:val="16"/>
          <w:color w:val="auto"/>
        </w:rPr>
        <w:t>(2013). As of, and during the year ended, December 31, 2017, we considered we were still in a transitional period to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and enhance the quality of our accounting and financial reporting function, we determined that the above mentioned material weakness had not been fully remediated. Management concluded that, as of December 31, 2017, our internal control over financial reporting was not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Efforts</w:t>
      </w:r>
    </w:p>
    <w:p>
      <w:pPr>
        <w:spacing w:after="0" w:line="158"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We have taken, and are continuing to take, remedial measures to improve the effectiveness of our controls, including by hiring additional accounting and finance personnel and by engaging outside consulting firms. In particular, in January 2018 we hired a new Chief Accounting Officer. Because the employment of our former Chief Financial Officer terminated in January 2018, our new Chief Accounting Officer is also serving as interim Chief Financial Officer while we conduct a search for a permanent Chief Financial Officer. We are continuing to add personnel and take other remedial steps, and management expects to remedy the identified material weakness by no later than the second quarter of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ACM’s definitive proxy statement with respect to our 2018 Annual Meeting of Stockholders to be filed with the SEC within 120 days after the end of the fiscal year covered by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firstLine="486"/>
        <w:spacing w:after="0" w:line="299"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2018 Annual Meeting of Stockholders to be filed with the SEC within 120 days after the end of the fiscal year covered by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1" w:lineRule="exact"/>
        <w:rPr>
          <w:sz w:val="20"/>
          <w:szCs w:val="20"/>
          <w:color w:val="auto"/>
        </w:rPr>
      </w:pPr>
    </w:p>
    <w:p>
      <w:pPr>
        <w:ind w:firstLine="486"/>
        <w:spacing w:after="0" w:line="299"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2018 Annual Meeting of Stockholders to be filed with the SEC within 120 days after the end of the fiscal year covered by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firstLine="486"/>
        <w:spacing w:after="0" w:line="299"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2018 Annual Meeting of Stockholders to be filed with the SEC within 120 days after the end of the fiscal year covered by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1" w:lineRule="exact"/>
        <w:rPr>
          <w:sz w:val="20"/>
          <w:szCs w:val="20"/>
          <w:color w:val="auto"/>
        </w:rPr>
      </w:pPr>
    </w:p>
    <w:p>
      <w:pPr>
        <w:ind w:firstLine="486"/>
        <w:spacing w:after="0" w:line="299"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2018 Annual Meeting of Stockholders to be filed with the SEC within 120 days after the end of the fiscal year covered by this report.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1" w:lineRule="exact"/>
        <w:rPr>
          <w:sz w:val="20"/>
          <w:szCs w:val="20"/>
          <w:color w:val="auto"/>
        </w:rPr>
      </w:pPr>
    </w:p>
    <w:p>
      <w:pPr>
        <w:ind w:left="1220" w:hanging="726"/>
        <w:spacing w:after="0"/>
        <w:tabs>
          <w:tab w:leader="none" w:pos="1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See “Item 8. Financial Statements and Supplementary Data─Index to Consolidated Financial Statements” above and “Exhibit Index” below.</w:t>
      </w:r>
    </w:p>
    <w:p>
      <w:pPr>
        <w:spacing w:after="0" w:line="180" w:lineRule="exact"/>
        <w:rPr>
          <w:rFonts w:ascii="Arial" w:cs="Arial" w:eastAsia="Arial" w:hAnsi="Arial"/>
          <w:sz w:val="16"/>
          <w:szCs w:val="16"/>
          <w:color w:val="auto"/>
        </w:rPr>
      </w:pPr>
    </w:p>
    <w:p>
      <w:pPr>
        <w:ind w:left="1240" w:hanging="746"/>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 “Exhibit Index” below.</w:t>
      </w:r>
    </w:p>
    <w:p>
      <w:pPr>
        <w:spacing w:after="0" w:line="157" w:lineRule="exact"/>
        <w:rPr>
          <w:rFonts w:ascii="Arial" w:cs="Arial" w:eastAsia="Arial" w:hAnsi="Arial"/>
          <w:sz w:val="18"/>
          <w:szCs w:val="18"/>
          <w:color w:val="auto"/>
        </w:rPr>
      </w:pPr>
    </w:p>
    <w:p>
      <w:pPr>
        <w:ind w:left="1220" w:hanging="726"/>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jc w:val="center"/>
              <w:ind w:right="1172"/>
              <w:spacing w:after="0"/>
              <w:rPr>
                <w:sz w:val="20"/>
                <w:szCs w:val="20"/>
                <w:color w:val="auto"/>
              </w:rPr>
            </w:pPr>
            <w:r>
              <w:rPr>
                <w:rFonts w:ascii="Arial" w:cs="Arial" w:eastAsia="Arial" w:hAnsi="Arial"/>
                <w:sz w:val="18"/>
                <w:szCs w:val="18"/>
                <w:color w:val="auto"/>
                <w:w w:val="99"/>
              </w:rPr>
              <w:t>EXHIBIT INDEX</w:t>
            </w:r>
          </w:p>
        </w:tc>
        <w:tc>
          <w:tcPr>
            <w:tcW w:w="0" w:type="dxa"/>
            <w:vAlign w:val="bottom"/>
          </w:tcPr>
          <w:p>
            <w:pPr>
              <w:spacing w:after="0"/>
              <w:rPr>
                <w:sz w:val="1"/>
                <w:szCs w:val="1"/>
                <w:color w:val="auto"/>
              </w:rPr>
            </w:pPr>
          </w:p>
        </w:tc>
      </w:tr>
      <w:tr>
        <w:trPr>
          <w:trHeight w:val="441"/>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2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01#</w:t>
              </w:r>
            </w:hyperlink>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Restated Certificate of Incorporation of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2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02#</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Restated Bylaws of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2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2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8"/>
              </w:rPr>
              <w:t>Form of Warrant dated November 2, 2017 issued to the underwriters of ACM Research, Inc.'s initial public offering exercisable for an 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 80,000 shares of Class A common stock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29">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01#</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0">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02#</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1">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03#</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Underwriting Agreement dated November 2, 2017 between ACM Research, Inc. and Roth Capital Partners, LLC, as representative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several underwriters named on Schedule I thereto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2">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04#</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Securities Purchase Agreement dated March 14, 2017 by and among ACM Research, Inc., Shengxin (Shanghai) Management Consulting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Limited Partnership and ACM Research (Shanghai),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3">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05#</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7"/>
              </w:rPr>
              <w:t>Securities Purchase Agreement dated March 23, 2017 between ACM Research, Inc. and Shanghai Science and Technology Venture Capital Co.,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Ltd., as amended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06#</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Securities Purchase Agreement dated August 31, 2017 by and among ACM Research, Inc., Shanghai Pudong High-Tech Investment Co., Ltd.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Pudong Science and Technology (Cayman) Co., Ltd.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5">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07#</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Securities Purchase Agreement dated August 31, 2017 by and among ACM Research, Inc., Shanghai Zhangjiang Science &amp; Technology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Venture Capital Co., Ltd. and Zhangjiang AJ Company Limited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6">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08#</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Ordinary Share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7">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09#</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Class A Common Stock Purchase Agreement dated September 6, 2017 by and among ACM Research, Inc., Ninebell Co., Ltd. and Moon-Soo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Choi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3"/>
              </w:rPr>
            </w:pPr>
            <w:hyperlink r:id="rId138">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10#</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Form of Second Amended and Restated Registration Rights Agreement to be entered into between ACM Research, Inc. and certain of its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49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gridSpan w:val="3"/>
            <w:shd w:val="clear" w:color="auto" w:fill="CCEEFF"/>
          </w:tcPr>
          <w:p>
            <w:pPr>
              <w:spacing w:after="0"/>
              <w:rPr>
                <w:rFonts w:ascii="Arial" w:cs="Arial" w:eastAsia="Arial" w:hAnsi="Arial"/>
                <w:sz w:val="18"/>
                <w:szCs w:val="18"/>
                <w:color w:val="0000EE"/>
                <w:w w:val="83"/>
              </w:rPr>
            </w:pPr>
            <w:hyperlink r:id="rId139">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w:t>
              </w:r>
            </w:hyperlink>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Stock Purchase Agreement, dated October 11, 2017, by and among ACM Research, Inc., Xunxin (Shanghai) Capital Co., Limited, Xinxin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(Hongkong) Capital Co., Limited and David H. Wang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r:id="rId140">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r:id="rId141">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Nomination and Voting Agreement, dated October 11, 2017, by and among Xinxin (Hongkong) Capital Co., Limited, ACM Research, Inc.,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David H. Wang, and the individuals named therein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r:id="rId142">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14#</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88"/>
              </w:rPr>
              <w:t>Voting Agreement, dated March 23, 2017, by and among Shanghai Technology Venture Capital Co., Ltd. (also known as Shanghai Science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Venture Capital Co., Ltd.) and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2"/>
              </w:rPr>
            </w:pPr>
            <w:hyperlink r:id="rId143">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15+#</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2016 Omnibus Incentive Plan of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15(a)+#</w:t>
              </w:r>
            </w:hyperlink>
          </w:p>
        </w:tc>
        <w:tc>
          <w:tcPr>
            <w:tcW w:w="10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15(b)+#</w:t>
              </w:r>
            </w:hyperlink>
          </w:p>
        </w:tc>
        <w:tc>
          <w:tcPr>
            <w:tcW w:w="10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15(c)+#</w:t>
              </w:r>
            </w:hyperlink>
          </w:p>
        </w:tc>
        <w:tc>
          <w:tcPr>
            <w:tcW w:w="10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2"/>
              </w:rPr>
            </w:pPr>
            <w:hyperlink r:id="rId147">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16+#</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Nonstatutory Stock Option Agreement of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2"/>
              </w:rPr>
            </w:pPr>
            <w:hyperlink r:id="rId148">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17+#</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1998 Stock Option Plan of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17(a)+#</w:t>
              </w:r>
            </w:hyperlink>
          </w:p>
        </w:tc>
        <w:tc>
          <w:tcPr>
            <w:tcW w:w="10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Incentive Stock Option Agreement under 1998 Stock Option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r:id="rId150">
              <w:r>
                <w:rPr>
                  <w:rFonts w:ascii="Arial" w:cs="Arial" w:eastAsia="Arial" w:hAnsi="Arial"/>
                  <w:sz w:val="18"/>
                  <w:szCs w:val="18"/>
                  <w:color w:val="0000EE"/>
                </w:rPr>
                <w:t>10.</w:t>
              </w:r>
              <w:r>
                <w:rPr>
                  <w:rFonts w:ascii="Arial" w:cs="Arial" w:eastAsia="Arial" w:hAnsi="Arial"/>
                  <w:sz w:val="18"/>
                  <w:szCs w:val="18"/>
                  <w:u w:val="single" w:color="auto"/>
                  <w:color w:val="0000EE"/>
                </w:rPr>
                <w:t>17(b)+#</w:t>
              </w:r>
            </w:hyperlink>
          </w:p>
        </w:tc>
        <w:tc>
          <w:tcPr>
            <w:tcW w:w="10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Non-statutory Stock Option Agreement under 1998 Stock Option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r:id="rId151">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18#</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Indemnification Agreement entered into between ACM Research, Inc. and certain of its directors and officers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2"/>
              </w:rPr>
            </w:pPr>
            <w:hyperlink r:id="rId152">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19+#</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r:id="rId153">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20#</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88"/>
              </w:rPr>
              <w:t>Line of Credit Agreement dated August 21, 2017 between ACM Research (Shanghai), Inc. and Shanghai Pudong Development Zone Branch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of China Limited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r:id="rId154">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21#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Line of Credit Agreement dated August 21, 2017 between ACM Research (Shanghai), Inc. and Bank of Shanghai Co., Ltd. Pudong Branch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21.</w:t>
              </w:r>
              <w:r>
                <w:rPr>
                  <w:rFonts w:ascii="Arial" w:cs="Arial" w:eastAsia="Arial" w:hAnsi="Arial"/>
                  <w:sz w:val="18"/>
                  <w:szCs w:val="18"/>
                  <w:u w:val="single" w:color="auto"/>
                  <w:color w:val="0000EE"/>
                  <w:w w:val="79"/>
                </w:rPr>
                <w:t>01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List of Subsidiaries of ACM Research,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01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Consent of BDO China Shu Lan Pan Certified Public Accountants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15">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17">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01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101.PRE</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ectPr>
          <w:pgSz w:w="11900" w:h="16838" w:orient="portrait"/>
          <w:cols w:equalWidth="0" w:num="1">
            <w:col w:w="11420"/>
          </w:cols>
          <w:pgMar w:left="240" w:top="129"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as of March 22, 2018.</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ACM RESEARCH, INC.</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367"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on March 22,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b w:val="1"/>
                <w:bCs w:val="1"/>
                <w:color w:val="auto"/>
                <w:w w:val="89"/>
              </w:rPr>
              <w:t>Signature</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Title</w:t>
            </w:r>
          </w:p>
        </w:tc>
      </w:tr>
      <w:tr>
        <w:trPr>
          <w:trHeight w:val="439"/>
        </w:trPr>
        <w:tc>
          <w:tcPr>
            <w:tcW w:w="452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89"/>
              </w:rPr>
              <w:t>/s/ David H. Wang</w:t>
            </w: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28"/>
        </w:trPr>
        <w:tc>
          <w:tcPr>
            <w:tcW w:w="4520" w:type="dxa"/>
            <w:vAlign w:val="bottom"/>
          </w:tcPr>
          <w:p>
            <w:pPr>
              <w:jc w:val="center"/>
              <w:ind w:left="1012"/>
              <w:spacing w:after="0"/>
              <w:rPr>
                <w:sz w:val="20"/>
                <w:szCs w:val="20"/>
                <w:color w:val="auto"/>
              </w:rPr>
            </w:pPr>
            <w:r>
              <w:rPr>
                <w:rFonts w:ascii="Arial" w:cs="Arial" w:eastAsia="Arial" w:hAnsi="Arial"/>
                <w:sz w:val="18"/>
                <w:szCs w:val="18"/>
                <w:b w:val="1"/>
                <w:bCs w:val="1"/>
                <w:color w:val="auto"/>
                <w:w w:val="90"/>
              </w:rPr>
              <w:t>David H. Wang</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27"/>
        </w:trPr>
        <w:tc>
          <w:tcPr>
            <w:tcW w:w="452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87"/>
              </w:rPr>
              <w:t>/s/ Lisa Feng</w:t>
            </w: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Interim Chief Financial Officer, Chief Accounting Officer and Treasurer</w:t>
            </w:r>
          </w:p>
        </w:tc>
      </w:tr>
      <w:tr>
        <w:trPr>
          <w:trHeight w:val="228"/>
        </w:trPr>
        <w:tc>
          <w:tcPr>
            <w:tcW w:w="4520" w:type="dxa"/>
            <w:vAlign w:val="bottom"/>
          </w:tcPr>
          <w:p>
            <w:pPr>
              <w:jc w:val="center"/>
              <w:ind w:left="1012"/>
              <w:spacing w:after="0"/>
              <w:rPr>
                <w:sz w:val="20"/>
                <w:szCs w:val="20"/>
                <w:color w:val="auto"/>
              </w:rPr>
            </w:pPr>
            <w:r>
              <w:rPr>
                <w:rFonts w:ascii="Arial" w:cs="Arial" w:eastAsia="Arial" w:hAnsi="Arial"/>
                <w:sz w:val="18"/>
                <w:szCs w:val="18"/>
                <w:b w:val="1"/>
                <w:bCs w:val="1"/>
                <w:color w:val="auto"/>
                <w:w w:val="88"/>
              </w:rPr>
              <w:t>Lisa Feng</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r>
        <w:trPr>
          <w:trHeight w:val="427"/>
        </w:trPr>
        <w:tc>
          <w:tcPr>
            <w:tcW w:w="452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92"/>
              </w:rPr>
              <w:t>/s/ Haiping Dun</w:t>
            </w: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4520" w:type="dxa"/>
            <w:vAlign w:val="bottom"/>
          </w:tcPr>
          <w:p>
            <w:pPr>
              <w:jc w:val="center"/>
              <w:ind w:left="1012"/>
              <w:spacing w:after="0"/>
              <w:rPr>
                <w:sz w:val="20"/>
                <w:szCs w:val="20"/>
                <w:color w:val="auto"/>
              </w:rPr>
            </w:pPr>
            <w:r>
              <w:rPr>
                <w:rFonts w:ascii="Arial" w:cs="Arial" w:eastAsia="Arial" w:hAnsi="Arial"/>
                <w:sz w:val="18"/>
                <w:szCs w:val="18"/>
                <w:b w:val="1"/>
                <w:bCs w:val="1"/>
                <w:color w:val="auto"/>
                <w:w w:val="92"/>
              </w:rPr>
              <w:t>Haiping Dun</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452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91"/>
              </w:rPr>
              <w:t>/s/ Tracy Liu</w:t>
            </w: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4520" w:type="dxa"/>
            <w:vAlign w:val="bottom"/>
          </w:tcPr>
          <w:p>
            <w:pPr>
              <w:jc w:val="center"/>
              <w:ind w:left="1012"/>
              <w:spacing w:after="0"/>
              <w:rPr>
                <w:sz w:val="20"/>
                <w:szCs w:val="20"/>
                <w:color w:val="auto"/>
              </w:rPr>
            </w:pPr>
            <w:r>
              <w:rPr>
                <w:rFonts w:ascii="Arial" w:cs="Arial" w:eastAsia="Arial" w:hAnsi="Arial"/>
                <w:sz w:val="18"/>
                <w:szCs w:val="18"/>
                <w:b w:val="1"/>
                <w:bCs w:val="1"/>
                <w:color w:val="auto"/>
                <w:w w:val="92"/>
              </w:rPr>
              <w:t>Tracy Liu</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27"/>
        </w:trPr>
        <w:tc>
          <w:tcPr>
            <w:tcW w:w="452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90"/>
              </w:rPr>
              <w:t>/s/ Yinan Xiang</w:t>
            </w:r>
          </w:p>
        </w:tc>
        <w:tc>
          <w:tcPr>
            <w:tcW w:w="1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8"/>
        </w:trPr>
        <w:tc>
          <w:tcPr>
            <w:tcW w:w="4520" w:type="dxa"/>
            <w:vAlign w:val="bottom"/>
          </w:tcPr>
          <w:p>
            <w:pPr>
              <w:jc w:val="center"/>
              <w:ind w:left="1052"/>
              <w:spacing w:after="0"/>
              <w:rPr>
                <w:sz w:val="20"/>
                <w:szCs w:val="20"/>
                <w:color w:val="auto"/>
              </w:rPr>
            </w:pPr>
            <w:r>
              <w:rPr>
                <w:rFonts w:ascii="Arial" w:cs="Arial" w:eastAsia="Arial" w:hAnsi="Arial"/>
                <w:sz w:val="18"/>
                <w:szCs w:val="18"/>
                <w:b w:val="1"/>
                <w:bCs w:val="1"/>
                <w:color w:val="auto"/>
                <w:w w:val="91"/>
              </w:rPr>
              <w:t>Yinan Xiang</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783"/>
        </w:trPr>
        <w:tc>
          <w:tcPr>
            <w:tcW w:w="45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3"/>
          </w:tcPr>
          <w:p>
            <w:pPr>
              <w:jc w:val="right"/>
              <w:ind w:right="5492"/>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420"/>
          </w:cols>
          <w:pgMar w:left="240" w:top="129" w:right="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40" w:type="dxa"/>
            <w:vAlign w:val="bottom"/>
            <w:gridSpan w:val="2"/>
          </w:tcPr>
          <w:p>
            <w:pPr>
              <w:ind w:left="4020"/>
              <w:spacing w:after="0"/>
              <w:rPr>
                <w:sz w:val="20"/>
                <w:szCs w:val="20"/>
                <w:color w:val="auto"/>
              </w:rPr>
            </w:pPr>
            <w:r>
              <w:rPr>
                <w:rFonts w:ascii="Arial" w:cs="Arial" w:eastAsia="Arial" w:hAnsi="Arial"/>
                <w:sz w:val="18"/>
                <w:szCs w:val="18"/>
                <w:b w:val="1"/>
                <w:bCs w:val="1"/>
                <w:color w:val="auto"/>
                <w:w w:val="90"/>
              </w:rPr>
              <w:t>Exhibit 21.01</w:t>
            </w:r>
          </w:p>
        </w:tc>
      </w:tr>
      <w:tr>
        <w:trPr>
          <w:trHeight w:val="365"/>
        </w:trPr>
        <w:tc>
          <w:tcPr>
            <w:tcW w:w="4220" w:type="dxa"/>
            <w:vAlign w:val="bottom"/>
          </w:tcPr>
          <w:p>
            <w:pPr>
              <w:spacing w:after="0"/>
              <w:rPr>
                <w:sz w:val="24"/>
                <w:szCs w:val="24"/>
                <w:color w:val="auto"/>
              </w:rPr>
            </w:pPr>
          </w:p>
        </w:tc>
        <w:tc>
          <w:tcPr>
            <w:tcW w:w="722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w w:val="98"/>
              </w:rPr>
              <w:t>ACM RESEARCH, INC.</w:t>
            </w:r>
          </w:p>
        </w:tc>
      </w:tr>
      <w:tr>
        <w:trPr>
          <w:trHeight w:val="365"/>
        </w:trPr>
        <w:tc>
          <w:tcPr>
            <w:tcW w:w="4220" w:type="dxa"/>
            <w:vAlign w:val="bottom"/>
          </w:tcPr>
          <w:p>
            <w:pPr>
              <w:spacing w:after="0"/>
              <w:rPr>
                <w:sz w:val="24"/>
                <w:szCs w:val="24"/>
                <w:color w:val="auto"/>
              </w:rPr>
            </w:pPr>
          </w:p>
        </w:tc>
        <w:tc>
          <w:tcPr>
            <w:tcW w:w="722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w w:val="97"/>
              </w:rPr>
              <w:t>LIST OF SUBSIDIARIES</w:t>
            </w:r>
          </w:p>
        </w:tc>
      </w:tr>
      <w:tr>
        <w:trPr>
          <w:trHeight w:val="374"/>
        </w:trPr>
        <w:tc>
          <w:tcPr>
            <w:tcW w:w="4220" w:type="dxa"/>
            <w:vAlign w:val="bottom"/>
          </w:tcPr>
          <w:p>
            <w:pPr>
              <w:jc w:val="center"/>
              <w:ind w:left="732"/>
              <w:spacing w:after="0"/>
              <w:rPr>
                <w:sz w:val="20"/>
                <w:szCs w:val="20"/>
                <w:color w:val="auto"/>
              </w:rPr>
            </w:pPr>
            <w:r>
              <w:rPr>
                <w:rFonts w:ascii="Arial" w:cs="Arial" w:eastAsia="Arial" w:hAnsi="Arial"/>
                <w:sz w:val="18"/>
                <w:szCs w:val="18"/>
                <w:b w:val="1"/>
                <w:bCs w:val="1"/>
                <w:color w:val="auto"/>
                <w:w w:val="88"/>
              </w:rPr>
              <w:t>Name of Subsidiary</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Jurisdiction of Incorporation or Organization</w:t>
            </w:r>
          </w:p>
        </w:tc>
      </w:tr>
      <w:tr>
        <w:trPr>
          <w:trHeight w:val="216"/>
        </w:trPr>
        <w:tc>
          <w:tcPr>
            <w:tcW w:w="4220" w:type="dxa"/>
            <w:vAlign w:val="bottom"/>
            <w:tcBorders>
              <w:top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88"/>
              </w:rPr>
              <w:t>ACM Research (Shanghai), Inc.</w:t>
            </w:r>
          </w:p>
        </w:tc>
        <w:tc>
          <w:tcPr>
            <w:tcW w:w="820" w:type="dxa"/>
            <w:vAlign w:val="bottom"/>
            <w:tcBorders>
              <w:top w:val="single" w:sz="8" w:color="auto"/>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People’s Republic of China</w:t>
            </w:r>
          </w:p>
        </w:tc>
        <w:tc>
          <w:tcPr>
            <w:tcW w:w="20" w:type="dxa"/>
            <w:vAlign w:val="bottom"/>
          </w:tcPr>
          <w:p>
            <w:pPr>
              <w:spacing w:after="0"/>
              <w:rPr>
                <w:sz w:val="18"/>
                <w:szCs w:val="18"/>
                <w:color w:val="auto"/>
              </w:rPr>
            </w:pPr>
          </w:p>
        </w:tc>
      </w:tr>
      <w:tr>
        <w:trPr>
          <w:trHeight w:val="216"/>
        </w:trPr>
        <w:tc>
          <w:tcPr>
            <w:tcW w:w="4220" w:type="dxa"/>
            <w:vAlign w:val="bottom"/>
          </w:tcPr>
          <w:p>
            <w:pPr>
              <w:jc w:val="center"/>
              <w:ind w:left="732"/>
              <w:spacing w:after="0"/>
              <w:rPr>
                <w:sz w:val="20"/>
                <w:szCs w:val="20"/>
                <w:color w:val="auto"/>
              </w:rPr>
            </w:pPr>
            <w:r>
              <w:rPr>
                <w:rFonts w:ascii="Arial" w:cs="Arial" w:eastAsia="Arial" w:hAnsi="Arial"/>
                <w:sz w:val="18"/>
                <w:szCs w:val="18"/>
                <w:color w:val="auto"/>
                <w:w w:val="89"/>
              </w:rPr>
              <w:t>CleanChip Technologies Limited</w:t>
            </w: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Hong Kong</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91"/>
              </w:rPr>
              <w:t>ACM Research (Wuxi), Inc.</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People’s Republic of China</w:t>
            </w:r>
          </w:p>
        </w:tc>
        <w:tc>
          <w:tcPr>
            <w:tcW w:w="20" w:type="dxa"/>
            <w:vAlign w:val="bottom"/>
          </w:tcPr>
          <w:p>
            <w:pPr>
              <w:spacing w:after="0"/>
              <w:rPr>
                <w:sz w:val="18"/>
                <w:szCs w:val="18"/>
                <w:color w:val="auto"/>
              </w:rPr>
            </w:pPr>
          </w:p>
        </w:tc>
      </w:tr>
      <w:tr>
        <w:trPr>
          <w:trHeight w:val="222"/>
        </w:trPr>
        <w:tc>
          <w:tcPr>
            <w:tcW w:w="4220" w:type="dxa"/>
            <w:vAlign w:val="bottom"/>
          </w:tcPr>
          <w:p>
            <w:pPr>
              <w:jc w:val="center"/>
              <w:ind w:left="732"/>
              <w:spacing w:after="0"/>
              <w:rPr>
                <w:sz w:val="20"/>
                <w:szCs w:val="20"/>
                <w:color w:val="auto"/>
              </w:rPr>
            </w:pPr>
            <w:r>
              <w:rPr>
                <w:rFonts w:ascii="Arial" w:cs="Arial" w:eastAsia="Arial" w:hAnsi="Arial"/>
                <w:sz w:val="18"/>
                <w:szCs w:val="18"/>
                <w:color w:val="auto"/>
                <w:w w:val="90"/>
              </w:rPr>
              <w:t>ACM Research Korea CO., LTD.</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Republic of Korea</w:t>
            </w:r>
          </w:p>
        </w:tc>
        <w:tc>
          <w:tcPr>
            <w:tcW w:w="20" w:type="dxa"/>
            <w:vAlign w:val="bottom"/>
          </w:tcPr>
          <w:p>
            <w:pPr>
              <w:spacing w:after="0"/>
              <w:rPr>
                <w:sz w:val="19"/>
                <w:szCs w:val="19"/>
                <w:color w:val="auto"/>
              </w:rPr>
            </w:pPr>
          </w:p>
        </w:tc>
      </w:tr>
      <w:tr>
        <w:trPr>
          <w:trHeight w:val="358"/>
        </w:trPr>
        <w:tc>
          <w:tcPr>
            <w:tcW w:w="4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(File No. 333-222702) of ACM Research, Inc. (the “Company”) of our report dated March 22, 2018, relating to the Company’s consolidated financial statements, which appears in this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BDO China Shu Lun Pan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58"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18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22, 2018</w:t>
      </w:r>
      <w:r>
        <w:rPr>
          <w:sz w:val="20"/>
          <w:szCs w:val="20"/>
          <w:color w:val="auto"/>
        </w:rPr>
        <w:tab/>
      </w:r>
      <w:r>
        <w:rPr>
          <w:rFonts w:ascii="Arial" w:cs="Arial" w:eastAsia="Arial" w:hAnsi="Arial"/>
          <w:sz w:val="16"/>
          <w:szCs w:val="16"/>
          <w:color w:val="auto"/>
        </w:rPr>
        <w:t>By:/s/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15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18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22, 2018</w:t>
      </w:r>
      <w:r>
        <w:rPr>
          <w:sz w:val="20"/>
          <w:szCs w:val="20"/>
          <w:color w:val="auto"/>
        </w:rPr>
        <w:tab/>
      </w:r>
      <w:r>
        <w:rPr>
          <w:rFonts w:ascii="Arial" w:cs="Arial" w:eastAsia="Arial" w:hAnsi="Arial"/>
          <w:sz w:val="16"/>
          <w:szCs w:val="16"/>
          <w:color w:val="auto"/>
        </w:rPr>
        <w:t>By:/s/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connection with the Annual Report on Form 10-K of ACM Research, Inc. for the year ended December 31, 2017,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27"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ACM Research, Inc.</w:t>
      </w:r>
    </w:p>
    <w:p>
      <w:pPr>
        <w:spacing w:after="0" w:line="18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22, 2018</w:t>
      </w:r>
      <w:r>
        <w:rPr>
          <w:sz w:val="20"/>
          <w:szCs w:val="20"/>
          <w:color w:val="auto"/>
        </w:rPr>
        <w:tab/>
      </w:r>
      <w:r>
        <w:rPr>
          <w:rFonts w:ascii="Arial" w:cs="Arial" w:eastAsia="Arial" w:hAnsi="Arial"/>
          <w:sz w:val="16"/>
          <w:szCs w:val="16"/>
          <w:color w:val="auto"/>
        </w:rPr>
        <w:t>By:/s/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22, 2018</w:t>
      </w:r>
      <w:r>
        <w:rPr>
          <w:sz w:val="20"/>
          <w:szCs w:val="20"/>
          <w:color w:val="auto"/>
        </w:rPr>
        <w:tab/>
      </w:r>
      <w:r>
        <w:rPr>
          <w:rFonts w:ascii="Arial" w:cs="Arial" w:eastAsia="Arial" w:hAnsi="Arial"/>
          <w:sz w:val="16"/>
          <w:szCs w:val="16"/>
          <w:color w:val="auto"/>
        </w:rPr>
        <w:t>By:/s/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w:t>
      </w:r>
      <w:r>
        <w:rPr>
          <w:rFonts w:ascii="Arial" w:cs="Arial" w:eastAsia="Arial" w:hAnsi="Arial"/>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lvl w:ilvl="1">
      <w:lvlJc w:val="left"/>
      <w:lvlText w:val="●"/>
      <w:numFmt w:val="bullet"/>
      <w:start w:val="1"/>
    </w:lvl>
  </w:abstractNum>
  <w:abstractNum w:abstractNumId="40">
    <w:nsid w:val="D34B6A8"/>
    <w:multiLevelType w:val="hybridMultilevel"/>
    <w:lvl w:ilvl="0">
      <w:lvlJc w:val="left"/>
      <w:lvlText w:val="●"/>
      <w:numFmt w:val="bullet"/>
      <w:start w:val="1"/>
    </w:lvl>
    <w:lvl w:ilvl="1">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lowerLetter"/>
      <w:start w:val="2"/>
    </w:lvl>
  </w:abstractNum>
  <w:abstractNum w:abstractNumId="59">
    <w:nsid w:val="5F5E7FD0"/>
    <w:multiLevelType w:val="hybridMultilevel"/>
    <w:lvl w:ilvl="0">
      <w:lvlJc w:val="left"/>
      <w:lvlText w:val="%1."/>
      <w:numFmt w:val="decimal"/>
      <w:start w:val="10"/>
    </w:lvl>
  </w:abstractNum>
  <w:abstractNum w:abstractNumId="60">
    <w:nsid w:val="98A3148"/>
    <w:multiLevelType w:val="hybridMultilevel"/>
    <w:lvl w:ilvl="0">
      <w:lvlJc w:val="left"/>
      <w:lvlText w:val="(%1)"/>
      <w:numFmt w:val="lowerLetter"/>
      <w:start w:val="3"/>
    </w:lvl>
  </w:abstractNum>
  <w:abstractNum w:abstractNumId="61">
    <w:nsid w:val="799D0247"/>
    <w:multiLevelType w:val="hybridMultilevel"/>
    <w:lvl w:ilvl="0">
      <w:lvlJc w:val="left"/>
      <w:lvlText w:val="%1."/>
      <w:numFmt w:val="decimal"/>
      <w:start w:val="840"/>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decimal"/>
      <w:start w:val="10"/>
    </w:lvl>
  </w:abstractNum>
  <w:abstractNum w:abstractNumId="70">
    <w:nsid w:val="51D9C564"/>
    <w:multiLevelType w:val="hybridMultilevel"/>
    <w:lvl w:ilvl="0">
      <w:lvlJc w:val="left"/>
      <w:lvlText w:val="(%1)"/>
      <w:numFmt w:val="decimal"/>
      <w:start w:val="8"/>
    </w:lvl>
  </w:abstractNum>
  <w:abstractNum w:abstractNumId="71">
    <w:nsid w:val="613EFDC5"/>
    <w:multiLevelType w:val="hybridMultilevel"/>
    <w:lvl w:ilvl="0">
      <w:lvlJc w:val="left"/>
      <w:lvlText w:val="%1."/>
      <w:numFmt w:val="decimal"/>
      <w:start w:val="840"/>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25" Type="http://schemas.openxmlformats.org/officeDocument/2006/relationships/hyperlink" Target="http://www.sec.gov/Archives/edgar/data/1680062/000119312517342650/d407541dex301.htm" TargetMode="External"/><Relationship Id="rId126" Type="http://schemas.openxmlformats.org/officeDocument/2006/relationships/hyperlink" Target="http://www.sec.gov/Archives/edgar/data/1680062/000119312517342650/d407541dex302.htm" TargetMode="External"/><Relationship Id="rId127" Type="http://schemas.openxmlformats.org/officeDocument/2006/relationships/hyperlink" Target="http://www.sec.gov/Archives/edgar/data/1680062/000119312517283955/d311227dex1003a.htm" TargetMode="External"/><Relationship Id="rId128" Type="http://schemas.openxmlformats.org/officeDocument/2006/relationships/hyperlink" Target="http://www.sec.gov/Archives/edgar/data/1680062/000119312517330173/d311227dex402.htm" TargetMode="External"/><Relationship Id="rId129" Type="http://schemas.openxmlformats.org/officeDocument/2006/relationships/hyperlink" Target="http://www.sec.gov/Archives/edgar/data/1680062/000119312517283955/d311227dex1001.htm" TargetMode="External"/><Relationship Id="rId130" Type="http://schemas.openxmlformats.org/officeDocument/2006/relationships/hyperlink" Target="http://www.sec.gov/Archives/edgar/data/1680062/000119312517283955/d311227dex1002.htm" TargetMode="External"/><Relationship Id="rId131" Type="http://schemas.openxmlformats.org/officeDocument/2006/relationships/hyperlink" Target="http://www.sec.gov/Archives/edgar/data/1680062/000119312517332986/d471856dex11.htm" TargetMode="External"/><Relationship Id="rId132" Type="http://schemas.openxmlformats.org/officeDocument/2006/relationships/hyperlink" Target="http://www.sec.gov/Archives/edgar/data/1680062/000119312517283955/d311227dex1003.htm" TargetMode="External"/><Relationship Id="rId133" Type="http://schemas.openxmlformats.org/officeDocument/2006/relationships/hyperlink" Target="http://www.sec.gov/Archives/edgar/data/1680062/000119312517312780/d311227dex1004.htm" TargetMode="External"/><Relationship Id="rId134" Type="http://schemas.openxmlformats.org/officeDocument/2006/relationships/hyperlink" Target="http://www.sec.gov/Archives/edgar/data/1680062/000119312517283955/d311227dex1005.htm" TargetMode="External"/><Relationship Id="rId135" Type="http://schemas.openxmlformats.org/officeDocument/2006/relationships/hyperlink" Target="http://www.sec.gov/Archives/edgar/data/1680062/000119312517283955/d311227dex1006.htm" TargetMode="External"/><Relationship Id="rId136" Type="http://schemas.openxmlformats.org/officeDocument/2006/relationships/hyperlink" Target="http://www.sec.gov/Archives/edgar/data/1680062/000119312517312780/d311227dex1007.htm" TargetMode="External"/><Relationship Id="rId137" Type="http://schemas.openxmlformats.org/officeDocument/2006/relationships/hyperlink" Target="http://www.sec.gov/Archives/edgar/data/1680062/000119312517312780/d311227dex1008.htm" TargetMode="External"/><Relationship Id="rId138" Type="http://schemas.openxmlformats.org/officeDocument/2006/relationships/hyperlink" Target="http://www.sec.gov/Archives/edgar/data/1680062/000119312517312780/d311227dex1009.htm" TargetMode="External"/><Relationship Id="rId139" Type="http://schemas.openxmlformats.org/officeDocument/2006/relationships/hyperlink" Target="http://www.sec.gov/Archives/edgar/data/1680062/000119312517312780/d311227dex1010.htm" TargetMode="External"/><Relationship Id="rId140" Type="http://schemas.openxmlformats.org/officeDocument/2006/relationships/hyperlink" Target="http://www.sec.gov/Archives/edgar/data/1680062/000119312517312780/d311227dex1011.htm" TargetMode="External"/><Relationship Id="rId141" Type="http://schemas.openxmlformats.org/officeDocument/2006/relationships/hyperlink" Target="http://www.sec.gov/Archives/edgar/data/1680062/000119312517312780/d311227dex1012.htm" TargetMode="External"/><Relationship Id="rId142" Type="http://schemas.openxmlformats.org/officeDocument/2006/relationships/hyperlink" Target="http://www.sec.gov/Archives/edgar/data/1680062/000119312517312780/d311227dex1013.htm" TargetMode="External"/><Relationship Id="rId143" Type="http://schemas.openxmlformats.org/officeDocument/2006/relationships/hyperlink" Target="http://www.sec.gov/Archives/edgar/data/1680062/000119312517364926/d481028dex1001.htm" TargetMode="External"/><Relationship Id="rId144" Type="http://schemas.openxmlformats.org/officeDocument/2006/relationships/hyperlink" Target="http://www.sec.gov/Archives/edgar/data/1680062/000119312517283955/d311227dex1010a.htm" TargetMode="External"/><Relationship Id="rId145" Type="http://schemas.openxmlformats.org/officeDocument/2006/relationships/hyperlink" Target="http://www.sec.gov/Archives/edgar/data/1680062/000119312517283955/d311227dex1010b.htm" TargetMode="External"/><Relationship Id="rId146" Type="http://schemas.openxmlformats.org/officeDocument/2006/relationships/hyperlink" Target="http://www.sec.gov/Archives/edgar/data/1680062/000119312517283955/d311227dex1010c.htm" TargetMode="External"/><Relationship Id="rId147" Type="http://schemas.openxmlformats.org/officeDocument/2006/relationships/hyperlink" Target="http://www.sec.gov/Archives/edgar/data/1680062/000119312517283955/d311227dex1011.htm" TargetMode="External"/><Relationship Id="rId148" Type="http://schemas.openxmlformats.org/officeDocument/2006/relationships/hyperlink" Target="http://www.sec.gov/Archives/edgar/data/1680062/000119312517283955/d311227dex1012.htm" TargetMode="External"/><Relationship Id="rId149" Type="http://schemas.openxmlformats.org/officeDocument/2006/relationships/hyperlink" Target="http://www.sec.gov/Archives/edgar/data/1680062/000119312517283955/d311227dex1012a.htm" TargetMode="External"/><Relationship Id="rId150" Type="http://schemas.openxmlformats.org/officeDocument/2006/relationships/hyperlink" Target="http://www.sec.gov/Archives/edgar/data/1680062/000119312517283955/d311227dex1012b.htm" TargetMode="External"/><Relationship Id="rId151" Type="http://schemas.openxmlformats.org/officeDocument/2006/relationships/hyperlink" Target="http://www.sec.gov/Archives/edgar/data/1680062/000119312517283955/d311227dex1013.htm" TargetMode="External"/><Relationship Id="rId152" Type="http://schemas.openxmlformats.org/officeDocument/2006/relationships/hyperlink" Target="http://www.sec.gov/Archives/edgar/data/1680062/000119312517283955/d311227dex1014.htm" TargetMode="External"/><Relationship Id="rId153" Type="http://schemas.openxmlformats.org/officeDocument/2006/relationships/hyperlink" Target="http://www.sec.gov/Archives/edgar/data/1680062/000119312517325139/d311227dex1019.htm" TargetMode="External"/><Relationship Id="rId154" Type="http://schemas.openxmlformats.org/officeDocument/2006/relationships/hyperlink" Target="http://www.sec.gov/Archives/edgar/data/1680062/000119312517325139/d311227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2019-12-29T00:06:47Z</dcterms:created>
  <dcterms:modified xsi:type="dcterms:W3CDTF">2019-12-29T00:06:47Z</dcterms:modified>
</cp:coreProperties>
</file>