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457200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477520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33" w:lineRule="exact"/>
        <w:rPr>
          <w:sz w:val="24"/>
          <w:szCs w:val="24"/>
          <w:color w:val="auto"/>
        </w:rPr>
      </w:pPr>
    </w:p>
    <w:p>
      <w:pPr>
        <w:ind w:left="360" w:hanging="341"/>
        <w:spacing w:after="0"/>
        <w:tabs>
          <w:tab w:leader="none" w:pos="3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35" w:lineRule="exact"/>
        <w:rPr>
          <w:sz w:val="24"/>
          <w:szCs w:val="24"/>
          <w:color w:val="auto"/>
        </w:rPr>
      </w:pPr>
    </w:p>
    <w:p>
      <w:pPr>
        <w:ind w:left="260" w:right="3720" w:hanging="241"/>
        <w:spacing w:after="0" w:line="379" w:lineRule="auto"/>
        <w:tabs>
          <w:tab w:leader="none" w:pos="359"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 to 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3378200</wp:posOffset>
            </wp:positionH>
            <wp:positionV relativeFrom="paragraph">
              <wp:posOffset>69850</wp:posOffset>
            </wp:positionV>
            <wp:extent cx="410845" cy="255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0845" cy="255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ACM Research,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jc w:val="center"/>
              <w:ind w:left="19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900" w:type="dxa"/>
            <w:vAlign w:val="bottom"/>
            <w:gridSpan w:val="3"/>
          </w:tcPr>
          <w:p>
            <w:pPr>
              <w:jc w:val="right"/>
              <w:ind w:right="2389"/>
              <w:spacing w:after="0"/>
              <w:rPr>
                <w:sz w:val="20"/>
                <w:szCs w:val="20"/>
                <w:color w:val="auto"/>
              </w:rPr>
            </w:pPr>
            <w:r>
              <w:rPr>
                <w:rFonts w:ascii="Times New Roman" w:cs="Times New Roman" w:eastAsia="Times New Roman" w:hAnsi="Times New Roman"/>
                <w:sz w:val="14"/>
                <w:szCs w:val="14"/>
                <w:b w:val="1"/>
                <w:bCs w:val="1"/>
                <w:color w:val="auto"/>
              </w:rPr>
              <w:t>94-3290283</w:t>
            </w:r>
          </w:p>
        </w:tc>
      </w:tr>
      <w:tr>
        <w:trPr>
          <w:trHeight w:val="212"/>
        </w:trPr>
        <w:tc>
          <w:tcPr>
            <w:tcW w:w="7360" w:type="dxa"/>
            <w:vAlign w:val="bottom"/>
            <w:gridSpan w:val="3"/>
          </w:tcPr>
          <w:p>
            <w:pPr>
              <w:jc w:val="center"/>
              <w:ind w:right="1629"/>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3900" w:type="dxa"/>
            <w:vAlign w:val="bottom"/>
            <w:gridSpan w:val="3"/>
          </w:tcPr>
          <w:p>
            <w:pPr>
              <w:jc w:val="center"/>
              <w:ind w:right="1609"/>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408"/>
        </w:trPr>
        <w:tc>
          <w:tcPr>
            <w:tcW w:w="3680" w:type="dxa"/>
            <w:vAlign w:val="bottom"/>
          </w:tcPr>
          <w:p>
            <w:pPr>
              <w:jc w:val="center"/>
              <w:ind w:left="1909"/>
              <w:spacing w:after="0"/>
              <w:rPr>
                <w:sz w:val="20"/>
                <w:szCs w:val="20"/>
                <w:color w:val="auto"/>
              </w:rPr>
            </w:pPr>
            <w:r>
              <w:rPr>
                <w:rFonts w:ascii="Times New Roman" w:cs="Times New Roman" w:eastAsia="Times New Roman" w:hAnsi="Times New Roman"/>
                <w:sz w:val="14"/>
                <w:szCs w:val="14"/>
                <w:b w:val="1"/>
                <w:bCs w:val="1"/>
                <w:color w:val="auto"/>
              </w:rPr>
              <w:t>42307 Osgood Road, Suite I</w:t>
            </w: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86"/>
        </w:trPr>
        <w:tc>
          <w:tcPr>
            <w:tcW w:w="3680" w:type="dxa"/>
            <w:vAlign w:val="bottom"/>
          </w:tcPr>
          <w:p>
            <w:pPr>
              <w:jc w:val="center"/>
              <w:ind w:left="1909"/>
              <w:spacing w:after="0"/>
              <w:rPr>
                <w:sz w:val="20"/>
                <w:szCs w:val="20"/>
                <w:color w:val="auto"/>
              </w:rPr>
            </w:pPr>
            <w:r>
              <w:rPr>
                <w:rFonts w:ascii="Times New Roman" w:cs="Times New Roman" w:eastAsia="Times New Roman" w:hAnsi="Times New Roman"/>
                <w:sz w:val="14"/>
                <w:szCs w:val="14"/>
                <w:b w:val="1"/>
                <w:bCs w:val="1"/>
                <w:color w:val="auto"/>
              </w:rPr>
              <w:t>Fremont, California</w:t>
            </w:r>
          </w:p>
        </w:tc>
        <w:tc>
          <w:tcPr>
            <w:tcW w:w="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900" w:type="dxa"/>
            <w:vAlign w:val="bottom"/>
            <w:gridSpan w:val="3"/>
          </w:tcPr>
          <w:p>
            <w:pPr>
              <w:jc w:val="right"/>
              <w:ind w:right="2549"/>
              <w:spacing w:after="0"/>
              <w:rPr>
                <w:sz w:val="20"/>
                <w:szCs w:val="20"/>
                <w:color w:val="auto"/>
              </w:rPr>
            </w:pPr>
            <w:r>
              <w:rPr>
                <w:rFonts w:ascii="Times New Roman" w:cs="Times New Roman" w:eastAsia="Times New Roman" w:hAnsi="Times New Roman"/>
                <w:sz w:val="14"/>
                <w:szCs w:val="14"/>
                <w:b w:val="1"/>
                <w:bCs w:val="1"/>
                <w:color w:val="auto"/>
              </w:rPr>
              <w:t>94539</w:t>
            </w:r>
          </w:p>
        </w:tc>
      </w:tr>
      <w:tr>
        <w:trPr>
          <w:trHeight w:val="212"/>
        </w:trPr>
        <w:tc>
          <w:tcPr>
            <w:tcW w:w="7360" w:type="dxa"/>
            <w:vAlign w:val="bottom"/>
            <w:gridSpan w:val="3"/>
          </w:tcPr>
          <w:p>
            <w:pPr>
              <w:jc w:val="center"/>
              <w:ind w:right="164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jc w:val="center"/>
              <w:ind w:right="1809"/>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350"/>
        </w:trPr>
        <w:tc>
          <w:tcPr>
            <w:tcW w:w="3680" w:type="dxa"/>
            <w:vAlign w:val="bottom"/>
          </w:tcPr>
          <w:p>
            <w:pPr>
              <w:spacing w:after="0"/>
              <w:rPr>
                <w:sz w:val="24"/>
                <w:szCs w:val="24"/>
                <w:color w:val="auto"/>
              </w:rPr>
            </w:pPr>
          </w:p>
        </w:tc>
        <w:tc>
          <w:tcPr>
            <w:tcW w:w="7580" w:type="dxa"/>
            <w:vAlign w:val="bottom"/>
            <w:gridSpan w:val="5"/>
          </w:tcPr>
          <w:p>
            <w:pPr>
              <w:jc w:val="center"/>
              <w:ind w:right="3589"/>
              <w:spacing w:after="0"/>
              <w:rPr>
                <w:sz w:val="20"/>
                <w:szCs w:val="20"/>
                <w:color w:val="auto"/>
              </w:rPr>
            </w:pPr>
            <w:r>
              <w:rPr>
                <w:rFonts w:ascii="Times New Roman" w:cs="Times New Roman" w:eastAsia="Times New Roman" w:hAnsi="Times New Roman"/>
                <w:sz w:val="14"/>
                <w:szCs w:val="14"/>
                <w:i w:val="1"/>
                <w:iCs w:val="1"/>
                <w:color w:val="auto"/>
              </w:rPr>
              <w:t xml:space="preserve">Registrant’s telephone number, including area code: </w:t>
            </w:r>
            <w:r>
              <w:rPr>
                <w:rFonts w:ascii="Times New Roman" w:cs="Times New Roman" w:eastAsia="Times New Roman" w:hAnsi="Times New Roman"/>
                <w:sz w:val="14"/>
                <w:szCs w:val="14"/>
                <w:b w:val="1"/>
                <w:bCs w:val="1"/>
                <w:color w:val="auto"/>
              </w:rPr>
              <w:t>(510) 445-3700</w:t>
            </w:r>
          </w:p>
        </w:tc>
      </w:tr>
      <w:tr>
        <w:trPr>
          <w:trHeight w:val="255"/>
        </w:trPr>
        <w:tc>
          <w:tcPr>
            <w:tcW w:w="3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97"/>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00" w:type="dxa"/>
            <w:vAlign w:val="bottom"/>
          </w:tcPr>
          <w:p>
            <w:pPr>
              <w:spacing w:after="0"/>
              <w:rPr>
                <w:sz w:val="24"/>
                <w:szCs w:val="24"/>
                <w:color w:val="auto"/>
              </w:rPr>
            </w:pPr>
          </w:p>
        </w:tc>
        <w:tc>
          <w:tcPr>
            <w:tcW w:w="358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Trading Symbol</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2"/>
        </w:trPr>
        <w:tc>
          <w:tcPr>
            <w:tcW w:w="3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r>
      <w:tr>
        <w:trPr>
          <w:trHeight w:val="181"/>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$0.0001 par value</w:t>
            </w:r>
          </w:p>
        </w:tc>
        <w:tc>
          <w:tcPr>
            <w:tcW w:w="100" w:type="dxa"/>
            <w:vAlign w:val="bottom"/>
          </w:tcPr>
          <w:p>
            <w:pPr>
              <w:spacing w:after="0"/>
              <w:rPr>
                <w:sz w:val="15"/>
                <w:szCs w:val="15"/>
                <w:color w:val="auto"/>
              </w:rPr>
            </w:pPr>
          </w:p>
        </w:tc>
        <w:tc>
          <w:tcPr>
            <w:tcW w:w="35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ACMR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66"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9"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9"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920" w:type="dxa"/>
        <w:tblCellMar>
          <w:top w:w="0" w:type="dxa"/>
          <w:left w:w="0" w:type="dxa"/>
          <w:bottom w:w="0" w:type="dxa"/>
          <w:right w:w="0" w:type="dxa"/>
        </w:tblCellMar>
      </w:tblP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Accelerated filer</w:t>
            </w:r>
          </w:p>
        </w:tc>
        <w:tc>
          <w:tcPr>
            <w:tcW w:w="1220" w:type="dxa"/>
            <w:vAlign w:val="bottom"/>
          </w:tcPr>
          <w:p>
            <w:pPr>
              <w:ind w:left="1100"/>
              <w:spacing w:after="0"/>
              <w:rPr>
                <w:sz w:val="20"/>
                <w:szCs w:val="20"/>
                <w:color w:val="auto"/>
              </w:rPr>
            </w:pPr>
            <w:r>
              <w:rPr>
                <w:rFonts w:ascii="Wingdings" w:cs="Wingdings" w:eastAsia="Wingdings" w:hAnsi="Wingdings"/>
                <w:sz w:val="14"/>
                <w:szCs w:val="14"/>
                <w:b w:val="1"/>
                <w:bCs w:val="1"/>
                <w:color w:val="auto"/>
                <w:w w:val="79"/>
              </w:rPr>
              <w:t>o</w:t>
            </w:r>
          </w:p>
        </w:tc>
      </w:tr>
      <w:tr>
        <w:trPr>
          <w:trHeight w:val="19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00" w:type="dxa"/>
            <w:vAlign w:val="bottom"/>
          </w:tcPr>
          <w:p>
            <w:pPr>
              <w:ind w:left="500"/>
              <w:spacing w:after="0"/>
              <w:rPr>
                <w:sz w:val="20"/>
                <w:szCs w:val="20"/>
                <w:color w:val="auto"/>
              </w:rPr>
            </w:pPr>
            <w:r>
              <w:rPr>
                <w:rFonts w:ascii="Wingdings" w:cs="Wingdings" w:eastAsia="Wingdings" w:hAnsi="Wingdings"/>
                <w:sz w:val="14"/>
                <w:szCs w:val="14"/>
                <w:b w:val="1"/>
                <w:bCs w:val="1"/>
                <w:color w:val="auto"/>
              </w:rPr>
              <w:t>o</w:t>
            </w:r>
          </w:p>
        </w:tc>
        <w:tc>
          <w:tcPr>
            <w:tcW w:w="458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20" w:type="dxa"/>
            <w:vAlign w:val="bottom"/>
          </w:tcPr>
          <w:p>
            <w:pPr>
              <w:ind w:left="1100"/>
              <w:spacing w:after="0"/>
              <w:rPr>
                <w:sz w:val="20"/>
                <w:szCs w:val="20"/>
                <w:color w:val="auto"/>
              </w:rPr>
            </w:pPr>
            <w:r>
              <w:rPr>
                <w:rFonts w:ascii="Wingdings" w:cs="Wingdings" w:eastAsia="Wingdings" w:hAnsi="Wingdings"/>
                <w:sz w:val="14"/>
                <w:szCs w:val="14"/>
                <w:b w:val="1"/>
                <w:bCs w:val="1"/>
                <w:color w:val="auto"/>
                <w:w w:val="79"/>
              </w:rPr>
              <w:t>o</w:t>
            </w:r>
          </w:p>
        </w:tc>
      </w:tr>
      <w:tr>
        <w:trPr>
          <w:trHeight w:val="212"/>
        </w:trPr>
        <w:tc>
          <w:tcPr>
            <w:tcW w:w="17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58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20" w:type="dxa"/>
            <w:vAlign w:val="bottom"/>
          </w:tcPr>
          <w:p>
            <w:pPr>
              <w:ind w:left="1100"/>
              <w:spacing w:after="0"/>
              <w:rPr>
                <w:sz w:val="20"/>
                <w:szCs w:val="20"/>
                <w:color w:val="auto"/>
              </w:rPr>
            </w:pPr>
            <w:r>
              <w:rPr>
                <w:rFonts w:ascii="Wingdings" w:cs="Wingdings" w:eastAsia="Wingdings" w:hAnsi="Wingdings"/>
                <w:sz w:val="14"/>
                <w:szCs w:val="14"/>
                <w:b w:val="1"/>
                <w:bCs w:val="1"/>
                <w:color w:val="auto"/>
                <w:w w:val="79"/>
              </w:rPr>
              <w:t>o</w:t>
            </w:r>
          </w:p>
        </w:tc>
      </w:tr>
    </w:tbl>
    <w:p>
      <w:pPr>
        <w:spacing w:after="0" w:line="156"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8" w:lineRule="exact"/>
        <w:rPr>
          <w:sz w:val="24"/>
          <w:szCs w:val="24"/>
          <w:color w:val="auto"/>
        </w:rPr>
      </w:pPr>
    </w:p>
    <w:p>
      <w:pPr>
        <w:ind w:right="4080"/>
        <w:spacing w:after="0" w:line="23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the number of shares outstanding of each of the registrant’s classes of common stock, as of the latest practicable date.</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Outstanding</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Class A Common Stock, $0.0001 par value</w:t>
            </w: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57,449,013 shares outstanding as of August 2, 2024</w:t>
            </w:r>
          </w:p>
        </w:tc>
      </w:tr>
      <w:tr>
        <w:trPr>
          <w:trHeight w:val="212"/>
        </w:trPr>
        <w:tc>
          <w:tcPr>
            <w:tcW w:w="20" w:type="dxa"/>
            <w:vAlign w:val="bottom"/>
          </w:tcPr>
          <w:p>
            <w:pPr>
              <w:spacing w:after="0"/>
              <w:rPr>
                <w:sz w:val="18"/>
                <w:szCs w:val="18"/>
                <w:color w:val="auto"/>
              </w:rPr>
            </w:pPr>
          </w:p>
        </w:tc>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Class B Common Stock, $0.0001 par value</w:t>
            </w: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5,021,811 shares outstanding as of August 2, 2024</w:t>
            </w:r>
          </w:p>
        </w:tc>
      </w:tr>
      <w:tr>
        <w:trPr>
          <w:trHeight w:val="138"/>
        </w:trPr>
        <w:tc>
          <w:tcPr>
            <w:tcW w:w="20" w:type="dxa"/>
            <w:vAlign w:val="bottom"/>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790"/>
        </w:trPr>
        <w:tc>
          <w:tcPr>
            <w:tcW w:w="2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6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59"/>
        </w:trPr>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PART I.</w:t>
            </w:r>
          </w:p>
        </w:tc>
        <w:tc>
          <w:tcPr>
            <w:tcW w:w="660" w:type="dxa"/>
            <w:vAlign w:val="bottom"/>
            <w:shd w:val="clear" w:color="auto" w:fill="CCEEFF"/>
          </w:tcPr>
          <w:p>
            <w:pPr>
              <w:spacing w:after="0"/>
              <w:rPr>
                <w:sz w:val="13"/>
                <w:szCs w:val="13"/>
                <w:color w:val="auto"/>
              </w:rPr>
            </w:pPr>
          </w:p>
        </w:tc>
        <w:tc>
          <w:tcPr>
            <w:tcW w:w="9300" w:type="dxa"/>
            <w:vAlign w:val="bottom"/>
            <w:gridSpan w:val="1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FINANCIAL INFORMATION</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4</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660" w:type="dxa"/>
            <w:vAlign w:val="bottom"/>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62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Item</w:t>
            </w:r>
          </w:p>
        </w:tc>
        <w:tc>
          <w:tcPr>
            <w:tcW w:w="6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w:t>
            </w:r>
          </w:p>
        </w:tc>
        <w:tc>
          <w:tcPr>
            <w:tcW w:w="9300" w:type="dxa"/>
            <w:vAlign w:val="bottom"/>
            <w:gridSpan w:val="18"/>
          </w:tcPr>
          <w:p>
            <w:pPr>
              <w:spacing w:after="0" w:line="159"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4</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4820" w:type="dxa"/>
            <w:vAlign w:val="bottom"/>
            <w:tcBorders>
              <w:bottom w:val="single" w:sz="8" w:color="0000FF"/>
            </w:tcBorders>
            <w:gridSpan w:val="1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Condensed Consolidated Balance Sheets as of June 30, 2024 and December 31, 2023</w:t>
            </w:r>
          </w:p>
        </w:tc>
        <w:tc>
          <w:tcPr>
            <w:tcW w:w="4480" w:type="dxa"/>
            <w:vAlign w:val="bottom"/>
            <w:tcBorders>
              <w:bottom w:val="single" w:sz="8" w:color="CCEEFF"/>
            </w:tcBorders>
            <w:gridSpan w:val="5"/>
            <w:shd w:val="clear" w:color="auto" w:fill="CCEEFF"/>
          </w:tcPr>
          <w:p>
            <w:pPr>
              <w:spacing w:after="0"/>
              <w:rPr>
                <w:sz w:val="16"/>
                <w:szCs w:val="16"/>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4</w:t>
            </w: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00" w:type="dxa"/>
            <w:vAlign w:val="bottom"/>
            <w:gridSpan w:val="18"/>
          </w:tcPr>
          <w:p>
            <w:pPr>
              <w:spacing w:after="0" w:line="159"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 (Loss) for the Three and Six Months Ended June 30, 2024 and 2023</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5</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780" w:type="dxa"/>
            <w:vAlign w:val="bottom"/>
            <w:tcBorders>
              <w:bottom w:val="single" w:sz="8" w:color="0000FF"/>
            </w:tcBorders>
            <w:gridSpan w:val="16"/>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Condensed Consolidated Statements of Changes in Equity for the Three and Six Months Ended June 30, 2024 and 2023</w:t>
            </w:r>
          </w:p>
        </w:tc>
        <w:tc>
          <w:tcPr>
            <w:tcW w:w="2520" w:type="dxa"/>
            <w:vAlign w:val="bottom"/>
            <w:tcBorders>
              <w:bottom w:val="single" w:sz="8" w:color="CCEEFF"/>
            </w:tcBorders>
            <w:gridSpan w:val="2"/>
            <w:shd w:val="clear" w:color="auto" w:fill="CCEEFF"/>
          </w:tcPr>
          <w:p>
            <w:pPr>
              <w:spacing w:after="0"/>
              <w:rPr>
                <w:sz w:val="16"/>
                <w:szCs w:val="16"/>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6</w:t>
            </w: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00" w:type="dxa"/>
            <w:vAlign w:val="bottom"/>
            <w:gridSpan w:val="18"/>
          </w:tcPr>
          <w:p>
            <w:pPr>
              <w:spacing w:after="0" w:line="159" w:lineRule="exact"/>
              <w:rPr>
                <w:sz w:val="20"/>
                <w:szCs w:val="20"/>
                <w:color w:val="auto"/>
              </w:rPr>
            </w:pPr>
            <w:r>
              <w:rPr>
                <w:rFonts w:ascii="Times New Roman" w:cs="Times New Roman" w:eastAsia="Times New Roman" w:hAnsi="Times New Roman"/>
                <w:sz w:val="14"/>
                <w:szCs w:val="14"/>
                <w:color w:val="0000FF"/>
              </w:rPr>
              <w:t>Condensed Consolidated Statements of Cash Flows for the Six Months Ended June 30, 2024 and 2023</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8</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340" w:type="dxa"/>
            <w:vAlign w:val="bottom"/>
            <w:tcBorders>
              <w:bottom w:val="single" w:sz="8" w:color="0000FF"/>
            </w:tcBorders>
            <w:gridSpan w:val="1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Notes to the Condensed Consolidated Financial Statements</w:t>
            </w:r>
          </w:p>
        </w:tc>
        <w:tc>
          <w:tcPr>
            <w:tcW w:w="5960" w:type="dxa"/>
            <w:vAlign w:val="bottom"/>
            <w:tcBorders>
              <w:bottom w:val="single" w:sz="8" w:color="CCEEFF"/>
            </w:tcBorders>
            <w:gridSpan w:val="8"/>
            <w:shd w:val="clear" w:color="auto" w:fill="CCEEFF"/>
          </w:tcPr>
          <w:p>
            <w:pPr>
              <w:spacing w:after="0"/>
              <w:rPr>
                <w:sz w:val="16"/>
                <w:szCs w:val="16"/>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9</w:t>
            </w:r>
          </w:p>
        </w:tc>
      </w:tr>
      <w:tr>
        <w:trPr>
          <w:trHeight w:val="159"/>
        </w:trPr>
        <w:tc>
          <w:tcPr>
            <w:tcW w:w="20" w:type="dxa"/>
            <w:vAlign w:val="bottom"/>
          </w:tcPr>
          <w:p>
            <w:pPr>
              <w:spacing w:after="0"/>
              <w:rPr>
                <w:sz w:val="13"/>
                <w:szCs w:val="13"/>
                <w:color w:val="auto"/>
              </w:rPr>
            </w:pPr>
          </w:p>
        </w:tc>
        <w:tc>
          <w:tcPr>
            <w:tcW w:w="62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Item</w:t>
            </w:r>
          </w:p>
        </w:tc>
        <w:tc>
          <w:tcPr>
            <w:tcW w:w="6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2.</w:t>
            </w:r>
          </w:p>
        </w:tc>
        <w:tc>
          <w:tcPr>
            <w:tcW w:w="9300" w:type="dxa"/>
            <w:vAlign w:val="bottom"/>
            <w:gridSpan w:val="18"/>
          </w:tcPr>
          <w:p>
            <w:pPr>
              <w:spacing w:after="0" w:line="15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37</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Item</w:t>
            </w:r>
          </w:p>
        </w:tc>
        <w:tc>
          <w:tcPr>
            <w:tcW w:w="6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w:t>
            </w:r>
          </w:p>
        </w:tc>
        <w:tc>
          <w:tcPr>
            <w:tcW w:w="3440" w:type="dxa"/>
            <w:vAlign w:val="bottom"/>
            <w:tcBorders>
              <w:bottom w:val="single" w:sz="8" w:color="0000FF"/>
            </w:tcBorders>
            <w:gridSpan w:val="1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Risks</w:t>
            </w:r>
          </w:p>
        </w:tc>
        <w:tc>
          <w:tcPr>
            <w:tcW w:w="5860" w:type="dxa"/>
            <w:vAlign w:val="bottom"/>
            <w:tcBorders>
              <w:bottom w:val="single" w:sz="8" w:color="CCEEFF"/>
            </w:tcBorders>
            <w:gridSpan w:val="6"/>
            <w:shd w:val="clear" w:color="auto" w:fill="CCEEFF"/>
          </w:tcPr>
          <w:p>
            <w:pPr>
              <w:spacing w:after="0"/>
              <w:rPr>
                <w:sz w:val="16"/>
                <w:szCs w:val="16"/>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59</w:t>
            </w:r>
          </w:p>
        </w:tc>
      </w:tr>
      <w:tr>
        <w:trPr>
          <w:trHeight w:val="159"/>
        </w:trPr>
        <w:tc>
          <w:tcPr>
            <w:tcW w:w="20" w:type="dxa"/>
            <w:vAlign w:val="bottom"/>
          </w:tcPr>
          <w:p>
            <w:pPr>
              <w:spacing w:after="0"/>
              <w:rPr>
                <w:sz w:val="13"/>
                <w:szCs w:val="13"/>
                <w:color w:val="auto"/>
              </w:rPr>
            </w:pPr>
          </w:p>
        </w:tc>
        <w:tc>
          <w:tcPr>
            <w:tcW w:w="62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Item</w:t>
            </w:r>
          </w:p>
        </w:tc>
        <w:tc>
          <w:tcPr>
            <w:tcW w:w="6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4.</w:t>
            </w:r>
          </w:p>
        </w:tc>
        <w:tc>
          <w:tcPr>
            <w:tcW w:w="9300" w:type="dxa"/>
            <w:vAlign w:val="bottom"/>
            <w:gridSpan w:val="18"/>
          </w:tcPr>
          <w:p>
            <w:pPr>
              <w:spacing w:after="0" w:line="159" w:lineRule="exact"/>
              <w:rPr>
                <w:sz w:val="20"/>
                <w:szCs w:val="20"/>
                <w:color w:val="auto"/>
              </w:rPr>
            </w:pPr>
            <w:r>
              <w:rPr>
                <w:rFonts w:ascii="Times New Roman" w:cs="Times New Roman" w:eastAsia="Times New Roman" w:hAnsi="Times New Roman"/>
                <w:sz w:val="14"/>
                <w:szCs w:val="14"/>
                <w:color w:val="0000FF"/>
              </w:rPr>
              <w:t>Controls and Procedures</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59</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PART II.</w:t>
            </w:r>
          </w:p>
        </w:tc>
        <w:tc>
          <w:tcPr>
            <w:tcW w:w="6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0000FF"/>
            </w:tcBorders>
            <w:gridSpan w:val="6"/>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98"/>
              </w:rPr>
              <w:t>OTHER INFORMATION</w:t>
            </w:r>
          </w:p>
        </w:tc>
        <w:tc>
          <w:tcPr>
            <w:tcW w:w="7820" w:type="dxa"/>
            <w:vAlign w:val="bottom"/>
            <w:tcBorders>
              <w:bottom w:val="single" w:sz="8" w:color="CCEEFF"/>
            </w:tcBorders>
            <w:gridSpan w:val="12"/>
            <w:shd w:val="clear" w:color="auto" w:fill="CCEEFF"/>
          </w:tcPr>
          <w:p>
            <w:pPr>
              <w:spacing w:after="0"/>
              <w:rPr>
                <w:sz w:val="16"/>
                <w:szCs w:val="16"/>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60</w:t>
            </w:r>
          </w:p>
        </w:tc>
      </w:tr>
      <w:tr>
        <w:trPr>
          <w:trHeight w:val="159"/>
        </w:trPr>
        <w:tc>
          <w:tcPr>
            <w:tcW w:w="20" w:type="dxa"/>
            <w:vAlign w:val="bottom"/>
          </w:tcPr>
          <w:p>
            <w:pPr>
              <w:spacing w:after="0"/>
              <w:rPr>
                <w:sz w:val="13"/>
                <w:szCs w:val="13"/>
                <w:color w:val="auto"/>
              </w:rPr>
            </w:pPr>
          </w:p>
        </w:tc>
        <w:tc>
          <w:tcPr>
            <w:tcW w:w="62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Item</w:t>
            </w:r>
          </w:p>
        </w:tc>
        <w:tc>
          <w:tcPr>
            <w:tcW w:w="6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w:t>
            </w:r>
          </w:p>
        </w:tc>
        <w:tc>
          <w:tcPr>
            <w:tcW w:w="9300" w:type="dxa"/>
            <w:vAlign w:val="bottom"/>
            <w:gridSpan w:val="18"/>
          </w:tcPr>
          <w:p>
            <w:pPr>
              <w:spacing w:after="0" w:line="159" w:lineRule="exact"/>
              <w:rPr>
                <w:sz w:val="20"/>
                <w:szCs w:val="20"/>
                <w:color w:val="auto"/>
              </w:rPr>
            </w:pPr>
            <w:r>
              <w:rPr>
                <w:rFonts w:ascii="Times New Roman" w:cs="Times New Roman" w:eastAsia="Times New Roman" w:hAnsi="Times New Roman"/>
                <w:sz w:val="14"/>
                <w:szCs w:val="14"/>
                <w:color w:val="0000FF"/>
              </w:rPr>
              <w:t>Legal Proceedings</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60</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Item</w:t>
            </w:r>
          </w:p>
        </w:tc>
        <w:tc>
          <w:tcPr>
            <w:tcW w:w="6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1A.</w:t>
            </w:r>
          </w:p>
        </w:tc>
        <w:tc>
          <w:tcPr>
            <w:tcW w:w="9300" w:type="dxa"/>
            <w:vAlign w:val="bottom"/>
            <w:gridSpan w:val="1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Risk Factors</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60</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660" w:type="dxa"/>
            <w:vAlign w:val="bottom"/>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62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Item</w:t>
            </w:r>
          </w:p>
        </w:tc>
        <w:tc>
          <w:tcPr>
            <w:tcW w:w="6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2.</w:t>
            </w:r>
          </w:p>
        </w:tc>
        <w:tc>
          <w:tcPr>
            <w:tcW w:w="9300" w:type="dxa"/>
            <w:vAlign w:val="bottom"/>
            <w:gridSpan w:val="18"/>
          </w:tcPr>
          <w:p>
            <w:pPr>
              <w:spacing w:after="0" w:line="15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61</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Item</w:t>
            </w:r>
          </w:p>
        </w:tc>
        <w:tc>
          <w:tcPr>
            <w:tcW w:w="6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w:t>
            </w:r>
          </w:p>
        </w:tc>
        <w:tc>
          <w:tcPr>
            <w:tcW w:w="1820" w:type="dxa"/>
            <w:vAlign w:val="bottom"/>
            <w:tcBorders>
              <w:bottom w:val="single" w:sz="8" w:color="0000FF"/>
            </w:tcBorders>
            <w:gridSpan w:val="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99"/>
              </w:rPr>
              <w:t>Defaults Upon Senior Securities</w:t>
            </w:r>
          </w:p>
        </w:tc>
        <w:tc>
          <w:tcPr>
            <w:tcW w:w="7480" w:type="dxa"/>
            <w:vAlign w:val="bottom"/>
            <w:tcBorders>
              <w:bottom w:val="single" w:sz="8" w:color="CCEEFF"/>
            </w:tcBorders>
            <w:gridSpan w:val="10"/>
            <w:shd w:val="clear" w:color="auto" w:fill="CCEEFF"/>
          </w:tcPr>
          <w:p>
            <w:pPr>
              <w:spacing w:after="0"/>
              <w:rPr>
                <w:sz w:val="16"/>
                <w:szCs w:val="16"/>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0000FF"/>
              </w:rPr>
              <w:t>63</w:t>
            </w:r>
          </w:p>
        </w:tc>
      </w:tr>
      <w:tr>
        <w:trPr>
          <w:trHeight w:val="159"/>
        </w:trPr>
        <w:tc>
          <w:tcPr>
            <w:tcW w:w="20" w:type="dxa"/>
            <w:vAlign w:val="bottom"/>
          </w:tcPr>
          <w:p>
            <w:pPr>
              <w:spacing w:after="0"/>
              <w:rPr>
                <w:sz w:val="13"/>
                <w:szCs w:val="13"/>
                <w:color w:val="auto"/>
              </w:rPr>
            </w:pPr>
          </w:p>
        </w:tc>
        <w:tc>
          <w:tcPr>
            <w:tcW w:w="62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Item</w:t>
            </w:r>
          </w:p>
        </w:tc>
        <w:tc>
          <w:tcPr>
            <w:tcW w:w="6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4.</w:t>
            </w:r>
          </w:p>
        </w:tc>
        <w:tc>
          <w:tcPr>
            <w:tcW w:w="9300" w:type="dxa"/>
            <w:vAlign w:val="bottom"/>
            <w:gridSpan w:val="18"/>
          </w:tcPr>
          <w:p>
            <w:pPr>
              <w:spacing w:after="0" w:line="159" w:lineRule="exact"/>
              <w:rPr>
                <w:sz w:val="20"/>
                <w:szCs w:val="20"/>
                <w:color w:val="auto"/>
              </w:rPr>
            </w:pPr>
            <w:r>
              <w:rPr>
                <w:rFonts w:ascii="Times New Roman" w:cs="Times New Roman" w:eastAsia="Times New Roman" w:hAnsi="Times New Roman"/>
                <w:sz w:val="14"/>
                <w:szCs w:val="14"/>
                <w:color w:val="0000FF"/>
              </w:rPr>
              <w:t>Mine Safety Disclosures</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0000FF"/>
              </w:rPr>
              <w:t>63</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Item</w:t>
            </w:r>
          </w:p>
        </w:tc>
        <w:tc>
          <w:tcPr>
            <w:tcW w:w="6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5.</w:t>
            </w:r>
          </w:p>
        </w:tc>
        <w:tc>
          <w:tcPr>
            <w:tcW w:w="9300" w:type="dxa"/>
            <w:vAlign w:val="bottom"/>
            <w:gridSpan w:val="1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661DE8"/>
              </w:rPr>
              <w:t>Other Information</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61</w:t>
            </w:r>
          </w:p>
        </w:tc>
      </w:tr>
      <w:tr>
        <w:trPr>
          <w:trHeight w:val="159"/>
        </w:trPr>
        <w:tc>
          <w:tcPr>
            <w:tcW w:w="2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Item</w:t>
            </w:r>
          </w:p>
        </w:tc>
        <w:tc>
          <w:tcPr>
            <w:tcW w:w="660" w:type="dxa"/>
            <w:vAlign w:val="bottom"/>
            <w:tcBorders>
              <w:top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6.</w:t>
            </w:r>
          </w:p>
        </w:tc>
        <w:tc>
          <w:tcPr>
            <w:tcW w:w="1020" w:type="dxa"/>
            <w:vAlign w:val="bottom"/>
            <w:tcBorders>
              <w:top w:val="single" w:sz="8" w:color="661DE8"/>
            </w:tcBorders>
            <w:gridSpan w:val="3"/>
          </w:tcPr>
          <w:p>
            <w:pPr>
              <w:spacing w:after="0" w:line="159" w:lineRule="exact"/>
              <w:rPr>
                <w:sz w:val="20"/>
                <w:szCs w:val="20"/>
                <w:color w:val="auto"/>
              </w:rPr>
            </w:pPr>
            <w:r>
              <w:rPr>
                <w:rFonts w:ascii="Times New Roman" w:cs="Times New Roman" w:eastAsia="Times New Roman" w:hAnsi="Times New Roman"/>
                <w:sz w:val="14"/>
                <w:szCs w:val="14"/>
                <w:color w:val="0000FF"/>
              </w:rPr>
              <w:t>Exhibits</w:t>
            </w:r>
          </w:p>
        </w:tc>
        <w:tc>
          <w:tcPr>
            <w:tcW w:w="8280" w:type="dxa"/>
            <w:vAlign w:val="bottom"/>
            <w:tcBorders>
              <w:top w:val="single" w:sz="8" w:color="CCEEFF"/>
            </w:tcBorders>
            <w:gridSpan w:val="15"/>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63</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w w:val="98"/>
              </w:rPr>
              <w:t>Signatures</w:t>
            </w: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3051F2"/>
              </w:rPr>
              <w:t>64</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660" w:type="dxa"/>
            <w:vAlign w:val="bottom"/>
          </w:tcPr>
          <w:p>
            <w:pPr>
              <w:spacing w:after="0"/>
              <w:rPr>
                <w:sz w:val="2"/>
                <w:szCs w:val="2"/>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spacing w:after="0" w:line="19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We conduct a substantial majority of our product development, manufacturing, support and services in mainland China through ACM Shanghai. We are not a mainland China operating company, and we do not conduct our operations in mainland China through the use of a variable interest entity or any other structure designed for the purpose of avoiding mainland China legal restrictions on direct</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foreign investments in mainland China-based companies. For a description of certain matters relating to our operations in mainland China, including our corporate structure, the movement of cash throughout our organization, certain audit and regulatory matters, and risks associated therewith, please see “Item 2—Management’s Discussion and Analysis of Financial Condition and Results of Operations” in this report, the disclosure at the forefront of our Annual Report on Form 10-K for the fiscal year ended December 31, 2023, and the Risk Factors included therein, as referenced or updated by the disclosure included in “Part II. Item 1A—Risk Factors” in this report.</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SAPS, TEBO, ULTRA C, ULTRA Fn, Ultra ECP, Ultra ECP map, and Ultra ECP ap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 AND STATISTICAL DATA</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or Gartner, in “Forecast: Semiconductor Wafer Fab Equipment, Worldwide, 4Q23 Update” (December 2023),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7120" w:type="dxa"/>
            <w:vAlign w:val="bottom"/>
          </w:tcPr>
          <w:p>
            <w:pPr>
              <w:jc w:val="center"/>
              <w:ind w:right="4969"/>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7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7120" w:type="dxa"/>
            <w:vAlign w:val="bottom"/>
          </w:tcPr>
          <w:p>
            <w:pPr>
              <w:jc w:val="center"/>
              <w:ind w:left="3009"/>
              <w:spacing w:after="0"/>
              <w:rPr>
                <w:sz w:val="20"/>
                <w:szCs w:val="20"/>
                <w:color w:val="auto"/>
              </w:rPr>
            </w:pPr>
            <w:r>
              <w:rPr>
                <w:rFonts w:ascii="Times New Roman" w:cs="Times New Roman" w:eastAsia="Times New Roman" w:hAnsi="Times New Roman"/>
                <w:sz w:val="14"/>
                <w:szCs w:val="14"/>
                <w:b w:val="1"/>
                <w:bCs w:val="1"/>
                <w:color w:val="auto"/>
              </w:rPr>
              <w:t>ACM RESEARCH, INC.</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7120" w:type="dxa"/>
            <w:vAlign w:val="bottom"/>
          </w:tcPr>
          <w:p>
            <w:pPr>
              <w:jc w:val="center"/>
              <w:ind w:left="300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7120" w:type="dxa"/>
            <w:vAlign w:val="bottom"/>
          </w:tcPr>
          <w:p>
            <w:pPr>
              <w:jc w:val="center"/>
              <w:ind w:left="3029"/>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3"/>
        </w:trPr>
        <w:tc>
          <w:tcPr>
            <w:tcW w:w="5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3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7120" w:type="dxa"/>
            <w:vAlign w:val="bottom"/>
            <w:vMerge w:val="restart"/>
          </w:tcPr>
          <w:p>
            <w:pPr>
              <w:jc w:val="center"/>
              <w:ind w:right="46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7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242424"/>
              </w:rPr>
              <w:t>(Unaudited)</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 (note 2)</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324,031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182,090</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time deposits (note 2)</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80,524</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investments (note 15)</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21,312</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 (note 4)</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293,499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283,186</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40,065</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 net (note 5)</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602,927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545,395</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Advances to related party (note 16)</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20,023</w:t>
            </w: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1,343,162</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1,176,110</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net (note 6)</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228,731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201,848</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Land use right, net (note 7)</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8,367</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right-of-use assets, net (note 11)</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7,026</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time deposits (note 2)</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40,818</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tax assets (note 19)</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20,271</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investments (note 14)</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27,880</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long-term assets (note 8)</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6,050</w:t>
            </w:r>
          </w:p>
        </w:tc>
        <w:tc>
          <w:tcPr>
            <w:tcW w:w="0" w:type="dxa"/>
            <w:vAlign w:val="bottom"/>
          </w:tcPr>
          <w:p>
            <w:pPr>
              <w:spacing w:after="0"/>
              <w:rPr>
                <w:sz w:val="1"/>
                <w:szCs w:val="1"/>
                <w:color w:val="auto"/>
              </w:rPr>
            </w:pPr>
          </w:p>
        </w:tc>
      </w:tr>
      <w:tr>
        <w:trPr>
          <w:trHeight w:val="22"/>
        </w:trPr>
        <w:tc>
          <w:tcPr>
            <w:tcW w:w="54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4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shd w:val="clear" w:color="auto" w:fill="CCEEFF"/>
          </w:tcPr>
          <w:p>
            <w:pPr>
              <w:jc w:val="center"/>
              <w:ind w:right="4949"/>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1,667,575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1,490,908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bottom w:val="single" w:sz="8" w:color="CCEEFF"/>
            </w:tcBorders>
            <w:vMerge w:val="restart"/>
          </w:tcPr>
          <w:p>
            <w:pPr>
              <w:jc w:val="center"/>
              <w:ind w:right="469"/>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0" w:type="dxa"/>
            <w:vAlign w:val="bottom"/>
          </w:tcPr>
          <w:p>
            <w:pPr>
              <w:spacing w:after="0"/>
              <w:rPr>
                <w:sz w:val="11"/>
                <w:szCs w:val="11"/>
                <w:color w:val="auto"/>
              </w:rPr>
            </w:pPr>
          </w:p>
        </w:tc>
        <w:tc>
          <w:tcPr>
            <w:tcW w:w="7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borrowings (note 9)</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54,439</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31,335</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borrowings (note 12)</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6,783</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Related party accounts payable (note 16)</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11,407</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142,418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141,814</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Advances from customers (note 3)</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181,368</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 (note 3)</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taxes payable (note 19)</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6,401</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FIN-48 payable (note 19)</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12,149</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payables and accrued expenses (note 10)</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102,951</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liabilities (note 11)</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w:t>
            </w: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586,170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500,659</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borrowings (note 12)</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70,833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53,952</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Long-term operating lease liabilities (note 11)</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long-term liabilities (note 13)</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5,873</w:t>
            </w: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666,187</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564,746</w:t>
            </w:r>
          </w:p>
        </w:tc>
        <w:tc>
          <w:tcPr>
            <w:tcW w:w="0" w:type="dxa"/>
            <w:vAlign w:val="bottom"/>
          </w:tcPr>
          <w:p>
            <w:pPr>
              <w:spacing w:after="0"/>
              <w:rPr>
                <w:sz w:val="1"/>
                <w:szCs w:val="1"/>
                <w:color w:val="auto"/>
              </w:rPr>
            </w:pPr>
          </w:p>
        </w:tc>
      </w:tr>
      <w:tr>
        <w:trPr>
          <w:trHeight w:val="22"/>
        </w:trPr>
        <w:tc>
          <w:tcPr>
            <w:tcW w:w="7660" w:type="dxa"/>
            <w:vAlign w:val="bottom"/>
            <w:tcBorders>
              <w:bottom w:val="single" w:sz="8" w:color="CCEEFF"/>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21)</w:t>
            </w:r>
          </w:p>
        </w:tc>
        <w:tc>
          <w:tcPr>
            <w:tcW w:w="2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Class A Common stock (note 17)</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B Common stock (note 17)</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659,462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629,845</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198,470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156,827</w:t>
            </w:r>
          </w:p>
        </w:tc>
        <w:tc>
          <w:tcPr>
            <w:tcW w:w="0" w:type="dxa"/>
            <w:vAlign w:val="bottom"/>
          </w:tcPr>
          <w:p>
            <w:pPr>
              <w:spacing w:after="0"/>
              <w:rPr>
                <w:sz w:val="1"/>
                <w:szCs w:val="1"/>
                <w:color w:val="auto"/>
              </w:rPr>
            </w:pPr>
          </w:p>
        </w:tc>
      </w:tr>
      <w:tr>
        <w:trPr>
          <w:trHeight w:val="191"/>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Statutory surplus reserve (note 22)</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30,060</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(54,830)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(49,349)</w:t>
            </w:r>
          </w:p>
        </w:tc>
        <w:tc>
          <w:tcPr>
            <w:tcW w:w="0" w:type="dxa"/>
            <w:vAlign w:val="bottom"/>
          </w:tcPr>
          <w:p>
            <w:pPr>
              <w:spacing w:after="0"/>
              <w:rPr>
                <w:sz w:val="1"/>
                <w:szCs w:val="1"/>
                <w:color w:val="auto"/>
              </w:rPr>
            </w:pPr>
          </w:p>
        </w:tc>
      </w:tr>
      <w:tr>
        <w:trPr>
          <w:trHeight w:val="181"/>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 ACM Research, Inc. stockholders’ equity</w:t>
            </w: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833,169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767,390</w:t>
            </w:r>
          </w:p>
        </w:tc>
        <w:tc>
          <w:tcPr>
            <w:tcW w:w="0" w:type="dxa"/>
            <w:vAlign w:val="bottom"/>
          </w:tcPr>
          <w:p>
            <w:pPr>
              <w:spacing w:after="0"/>
              <w:rPr>
                <w:sz w:val="1"/>
                <w:szCs w:val="1"/>
                <w:color w:val="auto"/>
              </w:rPr>
            </w:pPr>
          </w:p>
        </w:tc>
      </w:tr>
      <w:tr>
        <w:trPr>
          <w:trHeight w:val="22"/>
        </w:trPr>
        <w:tc>
          <w:tcPr>
            <w:tcW w:w="7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168,219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158,772</w:t>
            </w:r>
          </w:p>
        </w:tc>
        <w:tc>
          <w:tcPr>
            <w:tcW w:w="0" w:type="dxa"/>
            <w:vAlign w:val="bottom"/>
          </w:tcPr>
          <w:p>
            <w:pPr>
              <w:spacing w:after="0"/>
              <w:rPr>
                <w:sz w:val="1"/>
                <w:szCs w:val="1"/>
                <w:color w:val="auto"/>
              </w:rPr>
            </w:pPr>
          </w:p>
        </w:tc>
      </w:tr>
      <w:tr>
        <w:trPr>
          <w:trHeight w:val="181"/>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1,001,388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926,162</w:t>
            </w:r>
          </w:p>
        </w:tc>
        <w:tc>
          <w:tcPr>
            <w:tcW w:w="0" w:type="dxa"/>
            <w:vAlign w:val="bottom"/>
          </w:tcPr>
          <w:p>
            <w:pPr>
              <w:spacing w:after="0"/>
              <w:rPr>
                <w:sz w:val="1"/>
                <w:szCs w:val="1"/>
                <w:color w:val="auto"/>
              </w:rPr>
            </w:pPr>
          </w:p>
        </w:tc>
      </w:tr>
      <w:tr>
        <w:trPr>
          <w:trHeight w:val="22"/>
        </w:trPr>
        <w:tc>
          <w:tcPr>
            <w:tcW w:w="54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4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1,667,575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1,490,908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300" w:top="258" w:right="679" w:bottom="826"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5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5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55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(note 3)</w:t>
            </w:r>
          </w:p>
        </w:tc>
        <w:tc>
          <w:tcPr>
            <w:tcW w:w="84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202,480</w:t>
            </w:r>
          </w:p>
        </w:tc>
        <w:tc>
          <w:tcPr>
            <w:tcW w:w="980" w:type="dxa"/>
            <w:vAlign w:val="bottom"/>
            <w:tcBorders>
              <w:bottom w:val="single" w:sz="8" w:color="CCEEFF"/>
            </w:tcBorders>
            <w:gridSpan w:val="2"/>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144,577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354,671</w:t>
            </w:r>
          </w:p>
        </w:tc>
        <w:tc>
          <w:tcPr>
            <w:tcW w:w="40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218,833</w:t>
            </w:r>
          </w:p>
        </w:tc>
      </w:tr>
      <w:tr>
        <w:trPr>
          <w:trHeight w:val="176"/>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revenue, including cost of revenue from related parties of $16.1 million and $31.3</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105,696</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75,938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178,766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110,208</w:t>
            </w:r>
          </w:p>
        </w:tc>
      </w:tr>
      <w:tr>
        <w:trPr>
          <w:trHeight w:val="170"/>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million for the three and six months ended June 30, 2024, respectively and $11.3 and $29.7</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4"/>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million for the three and six months ended June 30, 2023, respectively (note 16)</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
        </w:trPr>
        <w:tc>
          <w:tcPr>
            <w:tcW w:w="55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3"/>
        </w:trPr>
        <w:tc>
          <w:tcPr>
            <w:tcW w:w="55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96,784</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68,639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175,905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108,625</w:t>
            </w:r>
          </w:p>
        </w:tc>
      </w:tr>
      <w:tr>
        <w:trPr>
          <w:trHeight w:val="17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2"/>
        </w:trPr>
        <w:tc>
          <w:tcPr>
            <w:tcW w:w="5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17,135</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20,776</w:t>
            </w:r>
          </w:p>
        </w:tc>
      </w:tr>
      <w:tr>
        <w:trPr>
          <w:trHeight w:val="191"/>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25,968</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34,093</w:t>
            </w:r>
          </w:p>
        </w:tc>
      </w:tr>
      <w:tr>
        <w:trPr>
          <w:trHeight w:val="22"/>
        </w:trPr>
        <w:tc>
          <w:tcPr>
            <w:tcW w:w="5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16,088</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14,464</w:t>
            </w:r>
          </w:p>
        </w:tc>
      </w:tr>
      <w:tr>
        <w:trPr>
          <w:trHeight w:val="181"/>
        </w:trPr>
        <w:tc>
          <w:tcPr>
            <w:tcW w:w="554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59,191</w:t>
            </w: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38,209</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113,080</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69,333</w:t>
            </w:r>
          </w:p>
        </w:tc>
      </w:tr>
      <w:tr>
        <w:trPr>
          <w:trHeight w:val="22"/>
        </w:trPr>
        <w:tc>
          <w:tcPr>
            <w:tcW w:w="55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37,593</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39,292</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4,131</w:t>
            </w:r>
          </w:p>
        </w:tc>
      </w:tr>
      <w:tr>
        <w:trPr>
          <w:trHeight w:val="22"/>
        </w:trPr>
        <w:tc>
          <w:tcPr>
            <w:tcW w:w="5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 from sale of short-term investments (note 15)</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7,913</w:t>
            </w:r>
          </w:p>
        </w:tc>
      </w:tr>
      <w:tr>
        <w:trPr>
          <w:trHeight w:val="22"/>
        </w:trPr>
        <w:tc>
          <w:tcPr>
            <w:tcW w:w="5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(loss) on short-term investments (note 15)</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w:t>
            </w:r>
          </w:p>
        </w:tc>
      </w:tr>
      <w:tr>
        <w:trPr>
          <w:trHeight w:val="22"/>
        </w:trPr>
        <w:tc>
          <w:tcPr>
            <w:tcW w:w="5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equity method investments (note 15)</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w:t>
            </w:r>
          </w:p>
        </w:tc>
      </w:tr>
      <w:tr>
        <w:trPr>
          <w:trHeight w:val="181"/>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40,735</w:t>
            </w: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41,235</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67,196</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53,077</w:t>
            </w:r>
          </w:p>
        </w:tc>
      </w:tr>
      <w:tr>
        <w:trPr>
          <w:trHeight w:val="22"/>
        </w:trPr>
        <w:tc>
          <w:tcPr>
            <w:tcW w:w="5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(note 19)</w:t>
            </w:r>
          </w:p>
        </w:tc>
        <w:tc>
          <w:tcPr>
            <w:tcW w:w="840" w:type="dxa"/>
            <w:vAlign w:val="bottom"/>
            <w:tcBorders>
              <w:bottom w:val="single" w:sz="8" w:color="BFE4FF"/>
            </w:tcBorders>
            <w:shd w:val="clear" w:color="auto" w:fill="BFE4FF"/>
          </w:tcPr>
          <w:p>
            <w:pPr>
              <w:spacing w:after="0"/>
              <w:rPr>
                <w:sz w:val="18"/>
                <w:szCs w:val="18"/>
                <w:color w:val="auto"/>
              </w:rPr>
            </w:pPr>
          </w:p>
        </w:tc>
        <w:tc>
          <w:tcPr>
            <w:tcW w:w="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(9,336)</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BFE4FF"/>
            </w:tcBorders>
            <w:shd w:val="clear" w:color="auto" w:fill="BFE4FF"/>
          </w:tcPr>
          <w:p>
            <w:pPr>
              <w:spacing w:after="0"/>
              <w:rPr>
                <w:sz w:val="18"/>
                <w:szCs w:val="18"/>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(13,705)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(10,517)</w:t>
            </w:r>
          </w:p>
        </w:tc>
      </w:tr>
      <w:tr>
        <w:trPr>
          <w:trHeight w:val="181"/>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31,399</w:t>
            </w: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33,597</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53,491</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42,560</w:t>
            </w:r>
          </w:p>
        </w:tc>
      </w:tr>
      <w:tr>
        <w:trPr>
          <w:trHeight w:val="22"/>
        </w:trPr>
        <w:tc>
          <w:tcPr>
            <w:tcW w:w="5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w:t>
            </w:r>
          </w:p>
        </w:tc>
      </w:tr>
      <w:tr>
        <w:trPr>
          <w:trHeight w:val="203"/>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Net income attributable to ACM Research, Inc.</w:t>
            </w: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24,210</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26,825</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41,643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33,970</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9"/>
        </w:trPr>
        <w:tc>
          <w:tcPr>
            <w:tcW w:w="55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
        </w:trPr>
        <w:tc>
          <w:tcPr>
            <w:tcW w:w="5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31,399</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53,491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42,560</w:t>
            </w:r>
          </w:p>
        </w:tc>
      </w:tr>
      <w:tr>
        <w:trPr>
          <w:trHeight w:val="191"/>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(25,846)</w:t>
            </w:r>
          </w:p>
        </w:tc>
      </w:tr>
      <w:tr>
        <w:trPr>
          <w:trHeight w:val="22"/>
        </w:trPr>
        <w:tc>
          <w:tcPr>
            <w:tcW w:w="55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31,515</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16,714</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w:t>
            </w:r>
          </w:p>
        </w:tc>
      </w:tr>
      <w:tr>
        <w:trPr>
          <w:trHeight w:val="22"/>
        </w:trPr>
        <w:tc>
          <w:tcPr>
            <w:tcW w:w="55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Comprehensive income (loss) attributable to ACM Research, Inc.</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24,305</w:t>
            </w:r>
          </w:p>
        </w:tc>
        <w:tc>
          <w:tcPr>
            <w:tcW w:w="980" w:type="dxa"/>
            <w:vAlign w:val="bottom"/>
            <w:gridSpan w:val="2"/>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36,162</w:t>
            </w:r>
          </w:p>
        </w:tc>
        <w:tc>
          <w:tcPr>
            <w:tcW w:w="4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ACM Research, Inc. per share of common stock (note 2):</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212"/>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980" w:type="dxa"/>
            <w:vAlign w:val="bottom"/>
            <w:gridSpan w:val="2"/>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80" w:type="dxa"/>
            <w:vAlign w:val="bottom"/>
          </w:tcPr>
          <w:p>
            <w:pPr>
              <w:spacing w:after="0"/>
              <w:rPr>
                <w:sz w:val="18"/>
                <w:szCs w:val="18"/>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4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0.57</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5"/>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980" w:type="dxa"/>
            <w:vAlign w:val="bottom"/>
            <w:gridSpan w:val="2"/>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4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0.52</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61530" cy="242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p>
      <w:pPr>
        <w:spacing w:after="0" w:line="113" w:lineRule="exact"/>
        <w:rPr>
          <w:sz w:val="20"/>
          <w:szCs w:val="20"/>
          <w:color w:val="auto"/>
        </w:rPr>
      </w:pPr>
    </w:p>
    <w:p>
      <w:pPr>
        <w:ind w:left="140" w:hanging="126"/>
        <w:spacing w:after="0" w:line="287" w:lineRule="auto"/>
        <w:rPr>
          <w:sz w:val="20"/>
          <w:szCs w:val="20"/>
          <w:color w:val="auto"/>
        </w:rPr>
      </w:pPr>
      <w:r>
        <w:rPr>
          <w:rFonts w:ascii="Times New Roman" w:cs="Times New Roman" w:eastAsia="Times New Roman" w:hAnsi="Times New Roman"/>
          <w:sz w:val="14"/>
          <w:szCs w:val="14"/>
          <w:color w:val="auto"/>
        </w:rPr>
        <w:t>Weighted average shares of common stock outstanding used in computing per share amounts (note 2):</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Basic</w:t>
      </w:r>
    </w:p>
    <w:p>
      <w:pPr>
        <w:spacing w:after="0" w:line="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62,178,369</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59,898,149</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61,772,776</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59,817,903</w:t>
            </w: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3"/>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67,057,846</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64,929,638</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66,520,706</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64,968,900</w:t>
            </w: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-174625</wp:posOffset>
            </wp:positionV>
            <wp:extent cx="7161530" cy="161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260"/>
            <w:col w:w="5740"/>
          </w:cols>
          <w:pgMar w:left="300" w:top="258" w:right="319" w:bottom="1440" w:gutter="0" w:footer="0" w:header="0"/>
          <w:type w:val="continuous"/>
        </w:sectPr>
      </w:pP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520" w:type="dxa"/>
            <w:vAlign w:val="bottom"/>
            <w:gridSpan w:val="4"/>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Stock Class A</w:t>
            </w:r>
          </w:p>
        </w:tc>
        <w:tc>
          <w:tcPr>
            <w:tcW w:w="1520" w:type="dxa"/>
            <w:vAlign w:val="bottom"/>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Stock Class B</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Statutory</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Surplus</w:t>
            </w:r>
          </w:p>
        </w:tc>
        <w:tc>
          <w:tcPr>
            <w:tcW w:w="80" w:type="dxa"/>
            <w:vAlign w:val="bottom"/>
          </w:tcPr>
          <w:p>
            <w:pPr>
              <w:spacing w:after="0"/>
              <w:rPr>
                <w:sz w:val="12"/>
                <w:szCs w:val="12"/>
                <w:color w:val="auto"/>
              </w:rPr>
            </w:pPr>
          </w:p>
        </w:tc>
        <w:tc>
          <w:tcPr>
            <w:tcW w:w="1000" w:type="dxa"/>
            <w:vAlign w:val="bottom"/>
            <w:gridSpan w:val="2"/>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60" w:type="dxa"/>
            <w:vAlign w:val="bottom"/>
          </w:tcPr>
          <w:p>
            <w:pPr>
              <w:spacing w:after="0"/>
              <w:rPr>
                <w:sz w:val="12"/>
                <w:szCs w:val="1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Non-controlling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Reserve</w:t>
            </w:r>
          </w:p>
        </w:tc>
        <w:tc>
          <w:tcPr>
            <w:tcW w:w="80" w:type="dxa"/>
            <w:vAlign w:val="bottom"/>
          </w:tcPr>
          <w:p>
            <w:pPr>
              <w:spacing w:after="0"/>
              <w:rPr>
                <w:sz w:val="16"/>
                <w:szCs w:val="16"/>
                <w:color w:val="auto"/>
              </w:rPr>
            </w:pPr>
          </w:p>
        </w:tc>
        <w:tc>
          <w:tcPr>
            <w:tcW w:w="1000" w:type="dxa"/>
            <w:vAlign w:val="bottom"/>
            <w:gridSpan w:val="2"/>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9"/>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54,655,286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5,021,811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71"/>
              </w:rPr>
              <w:t>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604,089</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94,426</w:t>
            </w:r>
          </w:p>
        </w:tc>
        <w:tc>
          <w:tcPr>
            <w:tcW w:w="52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16,881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(40,546)</w:t>
            </w:r>
          </w:p>
        </w:tc>
        <w:tc>
          <w:tcPr>
            <w:tcW w:w="48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137,315</w:t>
            </w:r>
          </w:p>
        </w:tc>
        <w:tc>
          <w:tcPr>
            <w:tcW w:w="46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812,171</w:t>
            </w:r>
          </w:p>
        </w:tc>
        <w:tc>
          <w:tcPr>
            <w:tcW w:w="0" w:type="dxa"/>
            <w:vAlign w:val="bottom"/>
          </w:tcPr>
          <w:p>
            <w:pPr>
              <w:spacing w:after="0"/>
              <w:rPr>
                <w:sz w:val="1"/>
                <w:szCs w:val="1"/>
                <w:color w:val="auto"/>
              </w:rPr>
            </w:pPr>
          </w:p>
        </w:tc>
      </w:tr>
      <w:tr>
        <w:trPr>
          <w:trHeight w:val="15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Cumulative effect of change in</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accounting principle under ASC</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326, net of tax</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w:t>
            </w:r>
          </w:p>
        </w:tc>
        <w:tc>
          <w:tcPr>
            <w:tcW w:w="0" w:type="dxa"/>
            <w:vAlign w:val="bottom"/>
          </w:tcPr>
          <w:p>
            <w:pPr>
              <w:spacing w:after="0"/>
              <w:rPr>
                <w:sz w:val="1"/>
                <w:szCs w:val="1"/>
                <w:color w:val="auto"/>
              </w:rPr>
            </w:pPr>
          </w:p>
        </w:tc>
      </w:tr>
      <w:tr>
        <w:trPr>
          <w:trHeight w:val="199"/>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33,970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42,560</w:t>
            </w:r>
          </w:p>
        </w:tc>
        <w:tc>
          <w:tcPr>
            <w:tcW w:w="0" w:type="dxa"/>
            <w:vAlign w:val="bottom"/>
          </w:tcPr>
          <w:p>
            <w:pPr>
              <w:spacing w:after="0"/>
              <w:rPr>
                <w:sz w:val="1"/>
                <w:szCs w:val="1"/>
                <w:color w:val="auto"/>
              </w:rPr>
            </w:pPr>
          </w:p>
        </w:tc>
      </w:tr>
      <w:tr>
        <w:trPr>
          <w:trHeight w:val="15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(21,370)</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(4,476)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(25,846)</w:t>
            </w:r>
          </w:p>
        </w:tc>
        <w:tc>
          <w:tcPr>
            <w:tcW w:w="0" w:type="dxa"/>
            <w:vAlign w:val="bottom"/>
          </w:tcPr>
          <w:p>
            <w:pPr>
              <w:spacing w:after="0"/>
              <w:rPr>
                <w:sz w:val="1"/>
                <w:szCs w:val="1"/>
                <w:color w:val="auto"/>
              </w:rPr>
            </w:pPr>
          </w:p>
        </w:tc>
      </w:tr>
      <w:tr>
        <w:trPr>
          <w:trHeight w:val="199"/>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296,204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4,525</w:t>
            </w:r>
          </w:p>
        </w:tc>
        <w:tc>
          <w:tcPr>
            <w:tcW w:w="0" w:type="dxa"/>
            <w:vAlign w:val="bottom"/>
          </w:tcPr>
          <w:p>
            <w:pPr>
              <w:spacing w:after="0"/>
              <w:rPr>
                <w:sz w:val="1"/>
                <w:szCs w:val="1"/>
                <w:color w:val="auto"/>
              </w:rPr>
            </w:pPr>
          </w:p>
        </w:tc>
      </w:tr>
      <w:tr>
        <w:trPr>
          <w:trHeight w:val="183"/>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4,085</w:t>
            </w: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ACM Shanghai dividend</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(3,951)</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(3,951)</w:t>
            </w: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54,951,490</w:t>
            </w:r>
          </w:p>
        </w:tc>
        <w:tc>
          <w:tcPr>
            <w:tcW w:w="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5,021,811</w:t>
            </w:r>
          </w:p>
        </w:tc>
        <w:tc>
          <w:tcPr>
            <w:tcW w:w="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71"/>
              </w:rPr>
              <w:t>1</w:t>
            </w:r>
          </w:p>
        </w:tc>
        <w:tc>
          <w:tcPr>
            <w:tcW w:w="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608,865</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126,627</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16,881</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(61,916)</w:t>
            </w:r>
          </w:p>
        </w:tc>
        <w:tc>
          <w:tcPr>
            <w:tcW w:w="60" w:type="dxa"/>
            <w:vAlign w:val="bottom"/>
          </w:tcPr>
          <w:p>
            <w:pPr>
              <w:spacing w:after="0"/>
              <w:rPr>
                <w:sz w:val="16"/>
                <w:szCs w:val="16"/>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141,312</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831,775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520" w:type="dxa"/>
            <w:vAlign w:val="bottom"/>
            <w:gridSpan w:val="4"/>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Stock Class A</w:t>
            </w:r>
          </w:p>
        </w:tc>
        <w:tc>
          <w:tcPr>
            <w:tcW w:w="1520" w:type="dxa"/>
            <w:vAlign w:val="bottom"/>
            <w:gridSpan w:val="4"/>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Stock Class B</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gridSpan w:val="4"/>
            <w:vMerge w:val="restart"/>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tcPr>
          <w:p>
            <w:pPr>
              <w:jc w:val="center"/>
              <w:ind w:left="556"/>
              <w:spacing w:after="0"/>
              <w:rPr>
                <w:sz w:val="20"/>
                <w:szCs w:val="20"/>
                <w:color w:val="auto"/>
              </w:rPr>
            </w:pPr>
            <w:r>
              <w:rPr>
                <w:rFonts w:ascii="Times New Roman" w:cs="Times New Roman" w:eastAsia="Times New Roman" w:hAnsi="Times New Roman"/>
                <w:sz w:val="13"/>
                <w:szCs w:val="13"/>
                <w:b w:val="1"/>
                <w:bCs w:val="1"/>
                <w:color w:val="auto"/>
                <w:w w:val="98"/>
              </w:rPr>
              <w:t>Statutory</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320" w:type="dxa"/>
            <w:vAlign w:val="bottom"/>
          </w:tcPr>
          <w:p>
            <w:pPr>
              <w:spacing w:after="0"/>
              <w:rPr>
                <w:sz w:val="13"/>
                <w:szCs w:val="13"/>
                <w:color w:val="auto"/>
              </w:rPr>
            </w:pPr>
          </w:p>
        </w:tc>
        <w:tc>
          <w:tcPr>
            <w:tcW w:w="480" w:type="dxa"/>
            <w:vAlign w:val="bottom"/>
            <w:gridSpan w:val="2"/>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Paid-</w:t>
            </w:r>
          </w:p>
        </w:tc>
        <w:tc>
          <w:tcPr>
            <w:tcW w:w="900" w:type="dxa"/>
            <w:vAlign w:val="bottom"/>
            <w:gridSpan w:val="4"/>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Surplus</w:t>
            </w:r>
          </w:p>
        </w:tc>
        <w:tc>
          <w:tcPr>
            <w:tcW w:w="1260" w:type="dxa"/>
            <w:vAlign w:val="bottom"/>
            <w:gridSpan w:val="4"/>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800" w:type="dxa"/>
            <w:vAlign w:val="bottom"/>
            <w:gridSpan w:val="3"/>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5"/>
              </w:rPr>
              <w:t>controlling</w:t>
            </w:r>
          </w:p>
        </w:tc>
        <w:tc>
          <w:tcPr>
            <w:tcW w:w="300" w:type="dxa"/>
            <w:vAlign w:val="bottom"/>
          </w:tcPr>
          <w:p>
            <w:pPr>
              <w:spacing w:after="0"/>
              <w:rPr>
                <w:sz w:val="12"/>
                <w:szCs w:val="12"/>
                <w:color w:val="auto"/>
              </w:rPr>
            </w:pPr>
          </w:p>
        </w:tc>
        <w:tc>
          <w:tcPr>
            <w:tcW w:w="640" w:type="dxa"/>
            <w:vAlign w:val="bottom"/>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900" w:type="dxa"/>
            <w:vAlign w:val="bottom"/>
            <w:gridSpan w:val="4"/>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Reserve</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ind w:right="356"/>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0" w:type="dxa"/>
            <w:vAlign w:val="bottom"/>
            <w:gridSpan w:val="3"/>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300" w:type="dxa"/>
            <w:vAlign w:val="bottom"/>
          </w:tcPr>
          <w:p>
            <w:pPr>
              <w:spacing w:after="0"/>
              <w:rPr>
                <w:sz w:val="16"/>
                <w:szCs w:val="16"/>
                <w:color w:val="auto"/>
              </w:rPr>
            </w:pPr>
          </w:p>
        </w:tc>
        <w:tc>
          <w:tcPr>
            <w:tcW w:w="640" w:type="dxa"/>
            <w:vAlign w:val="bottom"/>
            <w:gridSpan w:val="4"/>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9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56,036,172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5,021,811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629,845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4"/>
              </w:rPr>
              <w:t>156,827</w:t>
            </w:r>
          </w:p>
        </w:tc>
        <w:tc>
          <w:tcPr>
            <w:tcW w:w="940" w:type="dxa"/>
            <w:vAlign w:val="bottom"/>
            <w:gridSpan w:val="4"/>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30,060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(49,349)</w:t>
            </w:r>
          </w:p>
        </w:tc>
        <w:tc>
          <w:tcPr>
            <w:tcW w:w="3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158,772</w:t>
            </w:r>
          </w:p>
        </w:tc>
        <w:tc>
          <w:tcPr>
            <w:tcW w:w="18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926,162</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tcPr>
          <w:p>
            <w:pPr>
              <w:spacing w:after="0"/>
              <w:rPr>
                <w:sz w:val="15"/>
                <w:szCs w:val="15"/>
                <w:color w:val="auto"/>
              </w:rPr>
            </w:pPr>
          </w:p>
        </w:tc>
        <w:tc>
          <w:tcPr>
            <w:tcW w:w="20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41,643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78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color w:val="auto"/>
              </w:rPr>
              <w:t>11,848</w:t>
            </w:r>
          </w:p>
        </w:tc>
        <w:tc>
          <w:tcPr>
            <w:tcW w:w="18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53,491</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7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(5,481)</w:t>
            </w:r>
          </w:p>
        </w:tc>
        <w:tc>
          <w:tcPr>
            <w:tcW w:w="3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(1,232)</w:t>
            </w:r>
          </w:p>
        </w:tc>
        <w:tc>
          <w:tcPr>
            <w:tcW w:w="18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(6,713)</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gridSpan w:val="3"/>
          </w:tcPr>
          <w:p>
            <w:pPr>
              <w:jc w:val="right"/>
              <w:ind w:right="56"/>
              <w:spacing w:after="0"/>
              <w:rPr>
                <w:sz w:val="20"/>
                <w:szCs w:val="20"/>
                <w:color w:val="auto"/>
              </w:rPr>
            </w:pPr>
            <w:r>
              <w:rPr>
                <w:rFonts w:ascii="Times New Roman" w:cs="Times New Roman" w:eastAsia="Times New Roman" w:hAnsi="Times New Roman"/>
                <w:sz w:val="13"/>
                <w:szCs w:val="13"/>
                <w:color w:val="auto"/>
              </w:rPr>
              <w:t>1,366,081</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5,645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78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color w:val="auto"/>
              </w:rPr>
              <w:t>792</w:t>
            </w:r>
          </w:p>
        </w:tc>
        <w:tc>
          <w:tcPr>
            <w:tcW w:w="18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6,437</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23,972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4,939</w:t>
            </w:r>
          </w:p>
        </w:tc>
        <w:tc>
          <w:tcPr>
            <w:tcW w:w="18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28,911</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ACM Shanghai dividend</w:t>
            </w: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color w:val="auto"/>
                <w:w w:val="94"/>
              </w:rPr>
              <w:t>(6,900)</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(6,900)</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57,402,253 $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5,021,811</w:t>
            </w:r>
          </w:p>
        </w:tc>
        <w:tc>
          <w:tcPr>
            <w:tcW w:w="14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659,462 $</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198,470 $</w:t>
            </w:r>
          </w:p>
        </w:tc>
        <w:tc>
          <w:tcPr>
            <w:tcW w:w="940" w:type="dxa"/>
            <w:vAlign w:val="bottom"/>
            <w:tcBorders>
              <w:bottom w:val="single" w:sz="8" w:color="auto"/>
            </w:tcBorders>
            <w:gridSpan w:val="4"/>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rPr>
              <w:t>30,060 $</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(54,830)</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168,219 $</w:t>
            </w: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1,001,388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2"/>
                <w:szCs w:val="12"/>
                <w:color w:val="auto"/>
              </w:rPr>
            </w:pPr>
          </w:p>
        </w:tc>
        <w:tc>
          <w:tcPr>
            <w:tcW w:w="1120" w:type="dxa"/>
            <w:vAlign w:val="bottom"/>
            <w:gridSpan w:val="3"/>
            <w:vMerge w:val="restart"/>
          </w:tcPr>
          <w:p>
            <w:pPr>
              <w:jc w:val="center"/>
              <w:ind w:left="516"/>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90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Statutory</w:t>
            </w:r>
          </w:p>
        </w:tc>
        <w:tc>
          <w:tcPr>
            <w:tcW w:w="100" w:type="dxa"/>
            <w:vAlign w:val="bottom"/>
          </w:tcPr>
          <w:p>
            <w:pPr>
              <w:spacing w:after="0"/>
              <w:rPr>
                <w:sz w:val="5"/>
                <w:szCs w:val="5"/>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900" w:type="dxa"/>
            <w:vAlign w:val="bottom"/>
          </w:tcPr>
          <w:p>
            <w:pPr>
              <w:spacing w:after="0"/>
              <w:rPr>
                <w:sz w:val="7"/>
                <w:szCs w:val="7"/>
                <w:color w:val="auto"/>
              </w:rPr>
            </w:pPr>
          </w:p>
        </w:tc>
        <w:tc>
          <w:tcPr>
            <w:tcW w:w="178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Stock Class A</w:t>
            </w:r>
          </w:p>
        </w:tc>
        <w:tc>
          <w:tcPr>
            <w:tcW w:w="176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Stock Class B</w:t>
            </w: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00" w:type="dxa"/>
            <w:vAlign w:val="bottom"/>
          </w:tcPr>
          <w:p>
            <w:pPr>
              <w:spacing w:after="0"/>
              <w:rPr>
                <w:sz w:val="7"/>
                <w:szCs w:val="7"/>
                <w:color w:val="auto"/>
              </w:rPr>
            </w:pPr>
          </w:p>
        </w:tc>
        <w:tc>
          <w:tcPr>
            <w:tcW w:w="1780" w:type="dxa"/>
            <w:vAlign w:val="bottom"/>
            <w:gridSpan w:val="5"/>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w:t>
            </w:r>
          </w:p>
        </w:tc>
        <w:tc>
          <w:tcPr>
            <w:tcW w:w="140" w:type="dxa"/>
            <w:vAlign w:val="bottom"/>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7"/>
                <w:szCs w:val="7"/>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Surplus</w:t>
            </w: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60" w:type="dxa"/>
            <w:vAlign w:val="bottom"/>
          </w:tcPr>
          <w:p>
            <w:pPr>
              <w:spacing w:after="0"/>
              <w:rPr>
                <w:sz w:val="7"/>
                <w:szCs w:val="7"/>
                <w:color w:val="auto"/>
              </w:rPr>
            </w:pPr>
          </w:p>
        </w:tc>
        <w:tc>
          <w:tcPr>
            <w:tcW w:w="740" w:type="dxa"/>
            <w:vAlign w:val="bottom"/>
            <w:vMerge w:val="restart"/>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900" w:type="dxa"/>
            <w:vAlign w:val="bottom"/>
          </w:tcPr>
          <w:p>
            <w:pPr>
              <w:spacing w:after="0"/>
              <w:rPr>
                <w:sz w:val="16"/>
                <w:szCs w:val="16"/>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 Capital</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Reserve</w:t>
            </w:r>
          </w:p>
        </w:tc>
        <w:tc>
          <w:tcPr>
            <w:tcW w:w="10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Income (loss)</w:t>
            </w: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Pr>
          <w:p>
            <w:pPr>
              <w:spacing w:after="0"/>
              <w:rPr>
                <w:sz w:val="16"/>
                <w:szCs w:val="16"/>
                <w:color w:val="auto"/>
              </w:rPr>
            </w:pPr>
          </w:p>
        </w:tc>
        <w:tc>
          <w:tcPr>
            <w:tcW w:w="74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9"/>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54,818,355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5,021,811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606,398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99,802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16,881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(32,768)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140,778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831,097</w:t>
            </w:r>
          </w:p>
        </w:tc>
        <w:tc>
          <w:tcPr>
            <w:tcW w:w="0" w:type="dxa"/>
            <w:vAlign w:val="bottom"/>
          </w:tcPr>
          <w:p>
            <w:pPr>
              <w:spacing w:after="0"/>
              <w:rPr>
                <w:sz w:val="1"/>
                <w:szCs w:val="1"/>
                <w:color w:val="auto"/>
              </w:rPr>
            </w:pPr>
          </w:p>
        </w:tc>
      </w:tr>
      <w:tr>
        <w:trPr>
          <w:trHeight w:val="183"/>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26,825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33,597</w:t>
            </w: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(29,148)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(35,269)</w:t>
            </w:r>
          </w:p>
        </w:tc>
        <w:tc>
          <w:tcPr>
            <w:tcW w:w="0" w:type="dxa"/>
            <w:vAlign w:val="bottom"/>
          </w:tcPr>
          <w:p>
            <w:pPr>
              <w:spacing w:after="0"/>
              <w:rPr>
                <w:sz w:val="1"/>
                <w:szCs w:val="1"/>
                <w:color w:val="auto"/>
              </w:rPr>
            </w:pPr>
          </w:p>
        </w:tc>
      </w:tr>
      <w:tr>
        <w:trPr>
          <w:trHeight w:val="183"/>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133,135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4,284</w:t>
            </w:r>
          </w:p>
        </w:tc>
        <w:tc>
          <w:tcPr>
            <w:tcW w:w="0" w:type="dxa"/>
            <w:vAlign w:val="bottom"/>
          </w:tcPr>
          <w:p>
            <w:pPr>
              <w:spacing w:after="0"/>
              <w:rPr>
                <w:sz w:val="1"/>
                <w:szCs w:val="1"/>
                <w:color w:val="auto"/>
              </w:rPr>
            </w:pPr>
          </w:p>
        </w:tc>
      </w:tr>
      <w:tr>
        <w:trPr>
          <w:trHeight w:val="19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183"/>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ACM Shanghai dividend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(3,951)</w:t>
            </w:r>
          </w:p>
        </w:tc>
        <w:tc>
          <w:tcPr>
            <w:tcW w:w="0" w:type="dxa"/>
            <w:vAlign w:val="bottom"/>
          </w:tcPr>
          <w:p>
            <w:pPr>
              <w:spacing w:after="0"/>
              <w:rPr>
                <w:sz w:val="1"/>
                <w:szCs w:val="1"/>
                <w:color w:val="auto"/>
              </w:rPr>
            </w:pPr>
          </w:p>
        </w:tc>
      </w:tr>
      <w:tr>
        <w:trPr>
          <w:trHeight w:val="214"/>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54,951,490</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5,021,811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608,865</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126,627</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16,881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(61,916)</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141,312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831,775</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900" w:type="dxa"/>
            <w:vAlign w:val="bottom"/>
          </w:tcPr>
          <w:p>
            <w:pPr>
              <w:spacing w:after="0"/>
              <w:rPr>
                <w:sz w:val="24"/>
                <w:szCs w:val="24"/>
                <w:color w:val="auto"/>
              </w:rPr>
            </w:pPr>
          </w:p>
        </w:tc>
        <w:tc>
          <w:tcPr>
            <w:tcW w:w="1120" w:type="dxa"/>
            <w:vAlign w:val="bottom"/>
            <w:gridSpan w:val="3"/>
            <w:vMerge w:val="restart"/>
          </w:tcPr>
          <w:p>
            <w:pPr>
              <w:jc w:val="center"/>
              <w:ind w:left="516"/>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Statutory</w:t>
            </w:r>
          </w:p>
        </w:tc>
        <w:tc>
          <w:tcPr>
            <w:tcW w:w="100" w:type="dxa"/>
            <w:vAlign w:val="bottom"/>
          </w:tcPr>
          <w:p>
            <w:pPr>
              <w:spacing w:after="0"/>
              <w:rPr>
                <w:sz w:val="4"/>
                <w:szCs w:val="4"/>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900" w:type="dxa"/>
            <w:vAlign w:val="bottom"/>
          </w:tcPr>
          <w:p>
            <w:pPr>
              <w:spacing w:after="0"/>
              <w:rPr>
                <w:sz w:val="8"/>
                <w:szCs w:val="8"/>
                <w:color w:val="auto"/>
              </w:rPr>
            </w:pPr>
          </w:p>
        </w:tc>
        <w:tc>
          <w:tcPr>
            <w:tcW w:w="178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Stock Class A</w:t>
            </w:r>
          </w:p>
        </w:tc>
        <w:tc>
          <w:tcPr>
            <w:tcW w:w="176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Stock Class B</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900" w:type="dxa"/>
            <w:vAlign w:val="bottom"/>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w:t>
            </w:r>
          </w:p>
        </w:tc>
        <w:tc>
          <w:tcPr>
            <w:tcW w:w="140" w:type="dxa"/>
            <w:vAlign w:val="bottom"/>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6"/>
                <w:szCs w:val="6"/>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Surplus</w:t>
            </w: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60" w:type="dxa"/>
            <w:vAlign w:val="bottom"/>
          </w:tcPr>
          <w:p>
            <w:pPr>
              <w:spacing w:after="0"/>
              <w:rPr>
                <w:sz w:val="6"/>
                <w:szCs w:val="6"/>
                <w:color w:val="auto"/>
              </w:rPr>
            </w:pPr>
          </w:p>
        </w:tc>
        <w:tc>
          <w:tcPr>
            <w:tcW w:w="740" w:type="dxa"/>
            <w:vAlign w:val="bottom"/>
            <w:vMerge w:val="restart"/>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2"/>
        </w:trPr>
        <w:tc>
          <w:tcPr>
            <w:tcW w:w="1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900" w:type="dxa"/>
            <w:vAlign w:val="bottom"/>
          </w:tcPr>
          <w:p>
            <w:pPr>
              <w:spacing w:after="0"/>
              <w:rPr>
                <w:sz w:val="16"/>
                <w:szCs w:val="16"/>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 Capital</w:t>
            </w:r>
          </w:p>
        </w:tc>
        <w:tc>
          <w:tcPr>
            <w:tcW w:w="14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Reserve</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Pr>
          <w:p>
            <w:pPr>
              <w:spacing w:after="0"/>
              <w:rPr>
                <w:sz w:val="16"/>
                <w:szCs w:val="16"/>
                <w:color w:val="auto"/>
              </w:rPr>
            </w:pPr>
          </w:p>
        </w:tc>
        <w:tc>
          <w:tcPr>
            <w:tcW w:w="74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9"/>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56,986,777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5,021,811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646,800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174,260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30,060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(54,925)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164,591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960,793</w:t>
            </w:r>
          </w:p>
        </w:tc>
        <w:tc>
          <w:tcPr>
            <w:tcW w:w="0" w:type="dxa"/>
            <w:vAlign w:val="bottom"/>
          </w:tcPr>
          <w:p>
            <w:pPr>
              <w:spacing w:after="0"/>
              <w:rPr>
                <w:sz w:val="1"/>
                <w:szCs w:val="1"/>
                <w:color w:val="auto"/>
              </w:rPr>
            </w:pPr>
          </w:p>
        </w:tc>
      </w:tr>
      <w:tr>
        <w:trPr>
          <w:trHeight w:val="183"/>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24,210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31,399</w:t>
            </w: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83"/>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415,476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w:t>
            </w:r>
          </w:p>
        </w:tc>
        <w:tc>
          <w:tcPr>
            <w:tcW w:w="0" w:type="dxa"/>
            <w:vAlign w:val="bottom"/>
          </w:tcPr>
          <w:p>
            <w:pPr>
              <w:spacing w:after="0"/>
              <w:rPr>
                <w:sz w:val="1"/>
                <w:szCs w:val="1"/>
                <w:color w:val="auto"/>
              </w:rPr>
            </w:pPr>
          </w:p>
        </w:tc>
      </w:tr>
      <w:tr>
        <w:trPr>
          <w:trHeight w:val="19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14,342</w:t>
            </w:r>
          </w:p>
        </w:tc>
        <w:tc>
          <w:tcPr>
            <w:tcW w:w="0" w:type="dxa"/>
            <w:vAlign w:val="bottom"/>
          </w:tcPr>
          <w:p>
            <w:pPr>
              <w:spacing w:after="0"/>
              <w:rPr>
                <w:sz w:val="1"/>
                <w:szCs w:val="1"/>
                <w:color w:val="auto"/>
              </w:rPr>
            </w:pPr>
          </w:p>
        </w:tc>
      </w:tr>
      <w:tr>
        <w:trPr>
          <w:trHeight w:val="183"/>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ACM Shanghai dividend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(6,900)</w:t>
            </w:r>
          </w:p>
        </w:tc>
        <w:tc>
          <w:tcPr>
            <w:tcW w:w="0" w:type="dxa"/>
            <w:vAlign w:val="bottom"/>
          </w:tcPr>
          <w:p>
            <w:pPr>
              <w:spacing w:after="0"/>
              <w:rPr>
                <w:sz w:val="1"/>
                <w:szCs w:val="1"/>
                <w:color w:val="auto"/>
              </w:rPr>
            </w:pPr>
          </w:p>
        </w:tc>
      </w:tr>
      <w:tr>
        <w:trPr>
          <w:trHeight w:val="214"/>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57,402,253</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5,021,811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659,462</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198,470</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30,060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(54,830)</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168,219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1,001,388</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(Unaudited)</w:t>
      </w:r>
    </w:p>
    <w:p>
      <w:pPr>
        <w:sectPr>
          <w:pgSz w:w="11900" w:h="16838" w:orient="portrait"/>
          <w:cols w:equalWidth="0" w:num="1">
            <w:col w:w="10159"/>
          </w:cols>
          <w:pgMar w:left="300" w:top="25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80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r>
      <w:tr>
        <w:trPr>
          <w:trHeight w:val="22"/>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6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53,491</w:t>
            </w:r>
          </w:p>
        </w:tc>
        <w:tc>
          <w:tcPr>
            <w:tcW w:w="460" w:type="dxa"/>
            <w:vAlign w:val="bottom"/>
          </w:tcPr>
          <w:p>
            <w:pPr>
              <w:spacing w:after="0"/>
              <w:rPr>
                <w:sz w:val="16"/>
                <w:szCs w:val="16"/>
                <w:color w:val="auto"/>
              </w:rPr>
            </w:pP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42,560</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from operations to net cash used in operating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r>
      <w:tr>
        <w:trPr>
          <w:trHeight w:val="191"/>
        </w:trPr>
        <w:tc>
          <w:tcPr>
            <w:tcW w:w="6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r>
      <w:tr>
        <w:trPr>
          <w:trHeight w:val="191"/>
        </w:trPr>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disposals of property, plant and equipment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 gain on short-term investments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w:t>
            </w:r>
          </w:p>
        </w:tc>
      </w:tr>
      <w:tr>
        <w:trPr>
          <w:trHeight w:val="191"/>
        </w:trPr>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(income) from equity method investments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w:t>
            </w:r>
          </w:p>
        </w:tc>
      </w:tr>
      <w:tr>
        <w:trPr>
          <w:trHeight w:val="191"/>
        </w:trPr>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Inventory provision</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r>
      <w:tr>
        <w:trPr>
          <w:trHeight w:val="191"/>
        </w:trPr>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28,911</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w:t>
            </w:r>
          </w:p>
        </w:tc>
      </w:tr>
      <w:tr>
        <w:trPr>
          <w:trHeight w:val="191"/>
        </w:trPr>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Dividends from unconsolidated affiliates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changes in operating assets and liabilities: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r>
      <w:tr>
        <w:trPr>
          <w:trHeight w:val="191"/>
        </w:trPr>
        <w:tc>
          <w:tcPr>
            <w:tcW w:w="6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(14,842)</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(28,630)</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receivables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(11,686)</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(8,252)</w:t>
            </w:r>
          </w:p>
        </w:tc>
      </w:tr>
      <w:tr>
        <w:trPr>
          <w:trHeight w:val="191"/>
        </w:trPr>
        <w:tc>
          <w:tcPr>
            <w:tcW w:w="6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Inventories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(64,889)</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(99,963)</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Advances to related party (note 16)</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w:t>
            </w:r>
          </w:p>
        </w:tc>
      </w:tr>
      <w:tr>
        <w:trPr>
          <w:trHeight w:val="191"/>
        </w:trPr>
        <w:tc>
          <w:tcPr>
            <w:tcW w:w="6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Prepaid expenses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(4,749)</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Related party accounts payable (note 16)</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6,605</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w:t>
            </w:r>
          </w:p>
        </w:tc>
      </w:tr>
      <w:tr>
        <w:trPr>
          <w:trHeight w:val="191"/>
        </w:trPr>
        <w:tc>
          <w:tcPr>
            <w:tcW w:w="6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9,963</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Advances from customers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26,333</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46,611</w:t>
            </w:r>
          </w:p>
        </w:tc>
      </w:tr>
      <w:tr>
        <w:trPr>
          <w:trHeight w:val="191"/>
        </w:trPr>
        <w:tc>
          <w:tcPr>
            <w:tcW w:w="6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Income taxes payable</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w:t>
            </w:r>
          </w:p>
        </w:tc>
      </w:tr>
      <w:tr>
        <w:trPr>
          <w:trHeight w:val="191"/>
        </w:trPr>
        <w:tc>
          <w:tcPr>
            <w:tcW w:w="6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FIN-48 payable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payables and accrued expenses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6,824</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10,004</w:t>
            </w:r>
          </w:p>
        </w:tc>
      </w:tr>
      <w:tr>
        <w:trPr>
          <w:trHeight w:val="191"/>
        </w:trPr>
        <w:tc>
          <w:tcPr>
            <w:tcW w:w="6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w:t>
            </w:r>
          </w:p>
        </w:tc>
      </w:tr>
      <w:tr>
        <w:trPr>
          <w:trHeight w:val="181"/>
        </w:trPr>
        <w:tc>
          <w:tcPr>
            <w:tcW w:w="66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9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51,942</w:t>
            </w:r>
          </w:p>
        </w:tc>
        <w:tc>
          <w:tcPr>
            <w:tcW w:w="4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(19,145)</w:t>
            </w:r>
          </w:p>
        </w:tc>
      </w:tr>
      <w:tr>
        <w:trPr>
          <w:trHeight w:val="22"/>
        </w:trPr>
        <w:tc>
          <w:tcPr>
            <w:tcW w:w="66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2"/>
        </w:trPr>
        <w:tc>
          <w:tcPr>
            <w:tcW w:w="6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12"/>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(38,512)</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(21,633)</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 (note 15)</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time deposits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(58,090)</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(13,840)</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maturity of time deposits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138,412</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62,048</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short-term investments (note 15)</w:t>
            </w:r>
          </w:p>
        </w:tc>
        <w:tc>
          <w:tcPr>
            <w:tcW w:w="9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17,709</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long-term investments (note 14)</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(7,366)</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w:t>
            </w:r>
          </w:p>
        </w:tc>
      </w:tr>
      <w:tr>
        <w:trPr>
          <w:trHeight w:val="22"/>
        </w:trPr>
        <w:tc>
          <w:tcPr>
            <w:tcW w:w="66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Net cash provided by investing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31,889</w:t>
            </w: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41,546</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short-term borrowings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23,936</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of short-term borrowings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32,277</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of long-term borrowings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6,437</w:t>
            </w: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4,525</w:t>
            </w:r>
          </w:p>
        </w:tc>
      </w:tr>
      <w:tr>
        <w:trPr>
          <w:trHeight w:val="181"/>
        </w:trPr>
        <w:tc>
          <w:tcPr>
            <w:tcW w:w="66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9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58,251</w:t>
            </w:r>
          </w:p>
        </w:tc>
        <w:tc>
          <w:tcPr>
            <w:tcW w:w="4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3,414</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2"/>
        </w:trPr>
        <w:tc>
          <w:tcPr>
            <w:tcW w:w="6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460" w:type="dxa"/>
            <w:vAlign w:val="bottom"/>
          </w:tcPr>
          <w:p>
            <w:pPr>
              <w:spacing w:after="0"/>
              <w:rPr>
                <w:sz w:val="16"/>
                <w:szCs w:val="16"/>
                <w:color w:val="auto"/>
              </w:rPr>
            </w:pP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(16,264)</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141,739</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9,551</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183,173</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248,451</w:t>
            </w:r>
          </w:p>
        </w:tc>
      </w:tr>
      <w:tr>
        <w:trPr>
          <w:trHeight w:val="22"/>
        </w:trPr>
        <w:tc>
          <w:tcPr>
            <w:tcW w:w="66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90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324,912</w:t>
            </w: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258,002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6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r>
      <w:tr>
        <w:trPr>
          <w:trHeight w:val="191"/>
        </w:trPr>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paid, net of capitalized interest</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460" w:type="dxa"/>
            <w:vAlign w:val="bottom"/>
          </w:tcPr>
          <w:p>
            <w:pPr>
              <w:spacing w:after="0"/>
              <w:rPr>
                <w:sz w:val="16"/>
                <w:szCs w:val="16"/>
                <w:color w:val="auto"/>
              </w:rPr>
            </w:pP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0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9,109</w:t>
            </w: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7,243</w:t>
            </w:r>
          </w:p>
        </w:tc>
      </w:tr>
      <w:tr>
        <w:trPr>
          <w:trHeight w:val="212"/>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in consolidated statements of cash flows: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r>
      <w:tr>
        <w:trPr>
          <w:trHeight w:val="191"/>
        </w:trPr>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324,031</w:t>
            </w:r>
          </w:p>
        </w:tc>
        <w:tc>
          <w:tcPr>
            <w:tcW w:w="460" w:type="dxa"/>
            <w:vAlign w:val="bottom"/>
          </w:tcPr>
          <w:p>
            <w:pPr>
              <w:spacing w:after="0"/>
              <w:rPr>
                <w:sz w:val="16"/>
                <w:szCs w:val="16"/>
                <w:color w:val="auto"/>
              </w:rPr>
            </w:pP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257,420</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cash</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r>
      <w:tr>
        <w:trPr>
          <w:trHeight w:val="181"/>
        </w:trPr>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90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324,912</w:t>
            </w:r>
          </w:p>
        </w:tc>
        <w:tc>
          <w:tcPr>
            <w:tcW w:w="460" w:type="dxa"/>
            <w:vAlign w:val="bottom"/>
          </w:tcPr>
          <w:p>
            <w:pPr>
              <w:spacing w:after="0"/>
              <w:rPr>
                <w:sz w:val="15"/>
                <w:szCs w:val="15"/>
                <w:color w:val="auto"/>
              </w:rPr>
            </w:pPr>
          </w:p>
        </w:tc>
        <w:tc>
          <w:tcPr>
            <w:tcW w:w="90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258,002</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04"/>
        </w:trPr>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9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Cashless exercise of stock options</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460" w:type="dxa"/>
            <w:vAlign w:val="bottom"/>
          </w:tcPr>
          <w:p>
            <w:pPr>
              <w:spacing w:after="0"/>
              <w:rPr>
                <w:sz w:val="16"/>
                <w:szCs w:val="16"/>
                <w:color w:val="auto"/>
              </w:rPr>
            </w:pP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short-term investments included in other receivables</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460" w:type="dxa"/>
            <w:vAlign w:val="bottom"/>
          </w:tcPr>
          <w:p>
            <w:pPr>
              <w:spacing w:after="0"/>
              <w:rPr>
                <w:sz w:val="16"/>
                <w:szCs w:val="16"/>
                <w:color w:val="auto"/>
              </w:rPr>
            </w:pP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 from inventory to property, plant and equipment</w:t>
            </w:r>
          </w:p>
        </w:tc>
        <w:tc>
          <w:tcPr>
            <w:tcW w:w="90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 of prepayment for property to property, plant, and equipment</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5,490</w:t>
            </w:r>
          </w:p>
        </w:tc>
        <w:tc>
          <w:tcPr>
            <w:tcW w:w="460" w:type="dxa"/>
            <w:vAlign w:val="bottom"/>
          </w:tcPr>
          <w:p>
            <w:pPr>
              <w:spacing w:after="0"/>
              <w:rPr>
                <w:sz w:val="16"/>
                <w:szCs w:val="16"/>
                <w:color w:val="auto"/>
              </w:rPr>
            </w:pP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r>
    </w:tbl>
    <w:p>
      <w:pPr>
        <w:spacing w:after="0" w:line="16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ectPr>
          <w:pgSz w:w="11900" w:h="16838" w:orient="portrait"/>
          <w:cols w:equalWidth="0" w:num="1">
            <w:col w:w="10159"/>
          </w:cols>
          <w:pgMar w:left="300" w:top="165" w:right="1440" w:bottom="20" w:gutter="0" w:footer="0" w:header="0"/>
        </w:sectPr>
      </w:pPr>
    </w:p>
    <w:p>
      <w:pPr>
        <w:spacing w:after="0" w:line="200" w:lineRule="exact"/>
        <w:rPr>
          <w:sz w:val="20"/>
          <w:szCs w:val="20"/>
          <w:color w:val="auto"/>
        </w:rPr>
      </w:pPr>
    </w:p>
    <w:p>
      <w:pPr>
        <w:spacing w:after="0" w:line="27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65" w:right="1440" w:bottom="2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DESCRIPTION OF BUSINESS</w:t>
      </w:r>
    </w:p>
    <w:p>
      <w:pPr>
        <w:spacing w:after="0" w:line="20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ACM Research, Inc. (“ACM” or “ACM Research”) and its subsidiaries (collectively with ACM, the “Company”) develop, manufacture and sell capital equipment to the global semiconductor industry.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direct or indirect interests in the following subsidiaries: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76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Effective interest held as at</w:t>
            </w:r>
          </w:p>
        </w:tc>
      </w:tr>
      <w:tr>
        <w:trPr>
          <w:trHeight w:val="196"/>
        </w:trPr>
        <w:tc>
          <w:tcPr>
            <w:tcW w:w="3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7"/>
                <w:szCs w:val="17"/>
                <w:color w:val="auto"/>
              </w:rPr>
            </w:pPr>
          </w:p>
        </w:tc>
        <w:tc>
          <w:tcPr>
            <w:tcW w:w="13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subsidiaries</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Place and date of incorporation</w:t>
            </w:r>
          </w:p>
        </w:tc>
        <w:tc>
          <w:tcPr>
            <w:tcW w:w="292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13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31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ACM Research (Shanghai), Inc. ("ACM Shanghai")</w:t>
            </w: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Mainland China, May 2005</w:t>
            </w:r>
          </w:p>
        </w:tc>
        <w:tc>
          <w:tcPr>
            <w:tcW w:w="29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Principal operating subsidiary</w:t>
            </w:r>
          </w:p>
        </w:tc>
        <w:tc>
          <w:tcPr>
            <w:tcW w:w="7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82.0 %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82.1 %</w:t>
            </w: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ACM Research (Wuxi), Inc. ("ACM Wuxi")</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Mainland China, July 2011</w:t>
            </w:r>
          </w:p>
        </w:tc>
        <w:tc>
          <w:tcPr>
            <w:tcW w:w="29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Sales and services</w:t>
            </w:r>
          </w:p>
        </w:tc>
        <w:tc>
          <w:tcPr>
            <w:tcW w:w="78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82.0 %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82.1 %</w:t>
            </w:r>
          </w:p>
        </w:tc>
      </w:tr>
      <w:tr>
        <w:trPr>
          <w:trHeight w:val="22"/>
        </w:trPr>
        <w:tc>
          <w:tcPr>
            <w:tcW w:w="3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CleanChip Technologies Limited ("CleanChip")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Hong Kong, June 2017</w:t>
            </w:r>
          </w:p>
        </w:tc>
        <w:tc>
          <w:tcPr>
            <w:tcW w:w="2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Trading partner between ACM</w:t>
            </w: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82.0 %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82.1 %</w:t>
            </w:r>
          </w:p>
        </w:tc>
      </w:tr>
      <w:tr>
        <w:trPr>
          <w:trHeight w:val="186"/>
        </w:trPr>
        <w:tc>
          <w:tcPr>
            <w:tcW w:w="312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spacing w:after="0"/>
              <w:rPr>
                <w:sz w:val="16"/>
                <w:szCs w:val="16"/>
                <w:color w:val="auto"/>
              </w:rPr>
            </w:pPr>
          </w:p>
        </w:tc>
        <w:tc>
          <w:tcPr>
            <w:tcW w:w="29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Shanghai and its customers</w:t>
            </w:r>
          </w:p>
        </w:tc>
        <w:tc>
          <w:tcPr>
            <w:tcW w:w="7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ACM Research Korea CO., LTD.</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Korea, December 2017</w:t>
            </w:r>
          </w:p>
        </w:tc>
        <w:tc>
          <w:tcPr>
            <w:tcW w:w="29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Sales, marketing, R&amp;D, production</w:t>
            </w:r>
          </w:p>
        </w:tc>
        <w:tc>
          <w:tcPr>
            <w:tcW w:w="78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82.0 %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82.1 %</w:t>
            </w:r>
          </w:p>
        </w:tc>
      </w:tr>
      <w:tr>
        <w:trPr>
          <w:trHeight w:val="22"/>
        </w:trPr>
        <w:tc>
          <w:tcPr>
            <w:tcW w:w="3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ACM Research ( Lingang), Inc. ("ACM Lingang") (1)</w:t>
            </w: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Mainland China, March 2019</w:t>
            </w:r>
          </w:p>
        </w:tc>
        <w:tc>
          <w:tcPr>
            <w:tcW w:w="29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Management of production activities</w:t>
            </w:r>
          </w:p>
        </w:tc>
        <w:tc>
          <w:tcPr>
            <w:tcW w:w="7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82.0 %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82.1 %</w:t>
            </w: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ACM Research (CA), Inc. ("ACM California")</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USA, April 2019</w:t>
            </w:r>
          </w:p>
        </w:tc>
        <w:tc>
          <w:tcPr>
            <w:tcW w:w="29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Procurement for ACM Shanghai</w:t>
            </w:r>
          </w:p>
        </w:tc>
        <w:tc>
          <w:tcPr>
            <w:tcW w:w="78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82.0 %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82.1 %</w:t>
            </w:r>
          </w:p>
        </w:tc>
      </w:tr>
      <w:tr>
        <w:trPr>
          <w:trHeight w:val="22"/>
        </w:trPr>
        <w:tc>
          <w:tcPr>
            <w:tcW w:w="3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ACM Research (Cayman), Inc.</w:t>
            </w: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Cayman Islands, April 2019</w:t>
            </w:r>
          </w:p>
        </w:tc>
        <w:tc>
          <w:tcPr>
            <w:tcW w:w="29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Administrative function (inactive)</w:t>
            </w:r>
          </w:p>
        </w:tc>
        <w:tc>
          <w:tcPr>
            <w:tcW w:w="7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8"/>
              </w:rPr>
              <w:t>100.0 %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ACM Research (Singapore) PTE. Ltd. ("ACM</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Singapore, August 2021</w:t>
            </w:r>
          </w:p>
        </w:tc>
        <w:tc>
          <w:tcPr>
            <w:tcW w:w="29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Sales, marketing, business</w:t>
            </w:r>
          </w:p>
        </w:tc>
        <w:tc>
          <w:tcPr>
            <w:tcW w:w="78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8"/>
              </w:rPr>
              <w:t>100.0 %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4"/>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2480" w:type="dxa"/>
            <w:vAlign w:val="bottom"/>
          </w:tcPr>
          <w:p>
            <w:pPr>
              <w:spacing w:after="0"/>
              <w:rPr>
                <w:sz w:val="16"/>
                <w:szCs w:val="16"/>
                <w:color w:val="auto"/>
              </w:rPr>
            </w:pPr>
          </w:p>
        </w:tc>
        <w:tc>
          <w:tcPr>
            <w:tcW w:w="2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development</w:t>
            </w: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
        </w:trPr>
        <w:tc>
          <w:tcPr>
            <w:tcW w:w="3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ACM Research (Beijing), Inc. ("ACM Beijing")</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Mainland China, February 2022</w:t>
            </w:r>
          </w:p>
        </w:tc>
        <w:tc>
          <w:tcPr>
            <w:tcW w:w="2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Sales, marketing, business</w:t>
            </w: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82.0 %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82.1 %</w:t>
            </w:r>
          </w:p>
        </w:tc>
      </w:tr>
      <w:tr>
        <w:trPr>
          <w:trHeight w:val="186"/>
        </w:trPr>
        <w:tc>
          <w:tcPr>
            <w:tcW w:w="312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spacing w:after="0"/>
              <w:rPr>
                <w:sz w:val="16"/>
                <w:szCs w:val="16"/>
                <w:color w:val="auto"/>
              </w:rPr>
            </w:pPr>
          </w:p>
        </w:tc>
        <w:tc>
          <w:tcPr>
            <w:tcW w:w="29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development</w:t>
            </w:r>
          </w:p>
        </w:tc>
        <w:tc>
          <w:tcPr>
            <w:tcW w:w="7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Hanguk ACM CO., LTD</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Korea, March 2022</w:t>
            </w:r>
          </w:p>
        </w:tc>
        <w:tc>
          <w:tcPr>
            <w:tcW w:w="29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Sales, services, business</w:t>
            </w:r>
          </w:p>
        </w:tc>
        <w:tc>
          <w:tcPr>
            <w:tcW w:w="78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8"/>
              </w:rPr>
              <w:t>100.0 %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4"/>
        </w:trPr>
        <w:tc>
          <w:tcPr>
            <w:tcW w:w="3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development</w:t>
            </w: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
        </w:trPr>
        <w:tc>
          <w:tcPr>
            <w:tcW w:w="3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Yusheng Micro Semiconductor (Shanghai) Co., Ltd.</w:t>
            </w: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Mainland China, June 2023</w:t>
            </w:r>
          </w:p>
        </w:tc>
        <w:tc>
          <w:tcPr>
            <w:tcW w:w="29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Business development</w:t>
            </w:r>
          </w:p>
        </w:tc>
        <w:tc>
          <w:tcPr>
            <w:tcW w:w="7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82.0 %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82.1 %</w:t>
            </w: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ACM-Wooil Microelectronics (Shanghai) Co., Ltd.</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Mainland China, June 2023</w:t>
            </w:r>
          </w:p>
        </w:tc>
        <w:tc>
          <w:tcPr>
            <w:tcW w:w="29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Component development and</w:t>
            </w:r>
          </w:p>
        </w:tc>
        <w:tc>
          <w:tcPr>
            <w:tcW w:w="78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59.3 %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59.4 %</w:t>
            </w:r>
          </w:p>
        </w:tc>
      </w:tr>
      <w:tr>
        <w:trPr>
          <w:trHeight w:val="184"/>
        </w:trPr>
        <w:tc>
          <w:tcPr>
            <w:tcW w:w="3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production</w:t>
            </w: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r>
    </w:tbl>
    <w:p>
      <w:pPr>
        <w:spacing w:after="0" w:line="81" w:lineRule="exact"/>
        <w:rPr>
          <w:sz w:val="20"/>
          <w:szCs w:val="20"/>
          <w:color w:val="auto"/>
        </w:rPr>
      </w:pPr>
    </w:p>
    <w:p>
      <w:pPr>
        <w:ind w:right="180" w:firstLine="5"/>
        <w:spacing w:after="0" w:line="287" w:lineRule="auto"/>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ACM Research (Lingang) Inc. is the English name referred to by its Chinese language name Shengwei Research (Shanghai), Inc., or ACM Shengwei in prior filings. ACM Research (Lingang), Inc. and Shengwei Research (Shanghai), Inc. refer to the same entity.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Basis of Presentation and Principles of Consolidation</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condensed consolidated financial statements include the accounts of ACM and its subsidiaries. ACM’s subsidiaries are those entities in which ACM, directly or indirectly, controls a majority of the voting power. All significant intercompany transactions and balances have been eliminated upon consolidation.</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of the Company have been prepared in accordance with U.S. generally accepted accounting principles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2023 included in ACM’s Annual Report on Form 10-K for the fiscal year ended December 31, 2023.</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June 30, 2024 and the results of operations for the three and six months ended June 30, 2024 are not necessarily indicative of the results to be expected for any future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Use of Estimates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the valuation and recognition of fair value of certain short-term investments and long-term investments, stock-based compensation arrangements, realization of deferred tax assets, assessment for impairment of long-lived assets and long-term investments, allowance for credit losses, inventory valuation, useful lives of property, plant and equipment and useful lives of intangible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evaluates these estimates and assumptions on a regular basis. Actual results could differ from those estimates and assumptions.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and Cash Equivalents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cash and cash equivalents, according to jurisdiction as of June 30, 2024 and December 31, 2023:</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66"/>
        </w:trPr>
        <w:tc>
          <w:tcPr>
            <w:tcW w:w="8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2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43,614</w:t>
            </w: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Mainland China</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70,418</w:t>
            </w:r>
          </w:p>
        </w:tc>
      </w:tr>
      <w:tr>
        <w:trPr>
          <w:trHeight w:val="22"/>
        </w:trPr>
        <w:tc>
          <w:tcPr>
            <w:tcW w:w="8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China Hong Kong</w:t>
            </w:r>
          </w:p>
        </w:tc>
        <w:tc>
          <w:tcPr>
            <w:tcW w:w="10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194,979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64,057</w:t>
            </w: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Korea</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w:t>
            </w:r>
          </w:p>
        </w:tc>
      </w:tr>
      <w:tr>
        <w:trPr>
          <w:trHeight w:val="22"/>
        </w:trPr>
        <w:tc>
          <w:tcPr>
            <w:tcW w:w="8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10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03"/>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top w:val="single" w:sz="8" w:color="auto"/>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324,031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182,090</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amounts in mainland China do not include short-term and long-term time deposits which totaled $41,839 and $121,342 at June 30, 2024 and December 31,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held in the U.S. exceeds the Federal Deposit Insurance Corporation insurance limits and is subject to risk of loss. No losses have been experienced to date.</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Cash amounts held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restrictions and limitations on its ability to transfer funds to ACM or among our other subsidiaries. However, cash held in mainland China does exceed applicable insurance limits and is subject to risk of loss, although no such losses have been experienced to date.</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ACM California periodically procures goods and services on behalf of ACM Shanghai and ACM Lingang. For these transactions, ACM Shanghai and ACM Lingang make cash payments to ACM California in accordance with applicable transfer pricing arrangements. For the three months ended June 30, 2024 and 2023, cash payments from ACM Shanghai and ACM Lingang to ACM California for the procurement of goods and services was $9,751 and $14,500, respectively. For the six months ended June 30, 2024 and 2023, cash payments from ACM Shanghai and ACM Lingang to ACM California for the procurement of goods and services was $14,399 and $25,431, respectively. ACM California periodically borrows funds for working capital advances from its direct parent, CleanChip. ACM California repays or renews these intercompany loans in accordance with their terms.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sales through CleanChip and ACM Research, a certain amount of sales or advanced payments from customers is repatriated back to ACM Shanghai in accordance with applicable transfer pricing arrangements in the ordinary course of business. ACM Research provides services to certain customers located in the U.S., Europe and other regions outside of mainland China to support the evaluation of first tools and provide support for tools under warranty on behalf of ACM Shanghai. For these transactions, ACM Shanghai makes cash payments to ACM Research in accordance with applicable transfer pricing arrangements.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held in Korea exceed the Korea Deposit Insurance Corporation insurance limits and is subject to risk of loss. No losses have been experienced to date. There is no additional restriction for the transfer of cash from bank accounts in the U.S., Korea, Singapore and Hong Kong.</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six months ended June 30, 2024 and 2023, with the exception of sales and services-related transfer-pricing payments in the ordinary course of business, no transfers, or distributions have been made between ACM Research and its subsidiaries, including ACM Shanghai, or to holders of ACM Research Class A common stock.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Time Deposits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Time deposits are deposited with banks in mainland China with fixed terms and interest rates which cannot be withdrawn before maturity, and are presented as short-term deposits and long-term deposits in the condensed consolidated financial statements based on their expected time of collection. They are also subject to the risk control regulatory standards described above upon maturity.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242424"/>
              </w:rPr>
              <w:t>At June 30, 2024 and December 31, 2023, time deposits consisted of the following:</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6"/>
        </w:trPr>
        <w:tc>
          <w:tcPr>
            <w:tcW w:w="8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4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 in China Merchant Bank which matured on January 29, 2024 with an annual interest rate of 2.85%</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29,797</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 in Bank of Ningbo which matured on February 17, 2024 with an annual interest rate of 2.85%</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44,630</w:t>
            </w:r>
          </w:p>
        </w:tc>
      </w:tr>
      <w:tr>
        <w:trPr>
          <w:trHeight w:val="22"/>
        </w:trPr>
        <w:tc>
          <w:tcPr>
            <w:tcW w:w="8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 in Shanghai Pudong Development Bank which was redeemed on June 20, 2024 with an annual interest rate of 3.10%</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7,322</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 in Shanghai Pudong Development Bank which was redeemed on May 28, 2024 with an annual interest rate of 3.10%</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7,307</w:t>
            </w:r>
          </w:p>
        </w:tc>
      </w:tr>
      <w:tr>
        <w:trPr>
          <w:trHeight w:val="22"/>
        </w:trPr>
        <w:tc>
          <w:tcPr>
            <w:tcW w:w="8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 in Shanghai Pudong Development Bank which was redeemed on March 7, 2024 with an annual interest rate of 3.10%</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4,376</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 in Shanghai Pudong Development Bank which was redeemed on March 22, 2024 with an annual interest rate of 3.10%</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4,373</w:t>
            </w:r>
          </w:p>
        </w:tc>
      </w:tr>
      <w:tr>
        <w:trPr>
          <w:trHeight w:val="22"/>
        </w:trPr>
        <w:tc>
          <w:tcPr>
            <w:tcW w:w="8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 in Shanghai Pudong Development Bank which was redeemed on January 29, 2024 with an annual interest rate of 3.10%</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 in China Industrial Bank which matures on January 30, 2026 with an annual interest rate of 3.15%</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14,656</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14,528</w:t>
            </w:r>
          </w:p>
        </w:tc>
      </w:tr>
      <w:tr>
        <w:trPr>
          <w:trHeight w:val="22"/>
        </w:trPr>
        <w:tc>
          <w:tcPr>
            <w:tcW w:w="8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 in China Everbright Bank which matured on January 5, 2024 with an annual interest rate of 5.38%</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 in China Everbright Bank which matured on May 22, 2024 with an annual interest rate of 5.28%</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3,018</w:t>
            </w:r>
          </w:p>
        </w:tc>
      </w:tr>
      <w:tr>
        <w:trPr>
          <w:trHeight w:val="22"/>
        </w:trPr>
        <w:tc>
          <w:tcPr>
            <w:tcW w:w="8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 in China Everbright Bank which matures on July 8, 2024 with an annual interest rate of 5.29%</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 in China Everbright Bank which matures on November 23, 2024 with an annual interest rate of 5.28%</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10,055</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 in Bank of Ningbo which matures on September 11, 2024 with an annual interest rate of 1.50%</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14,092</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140" w:type="dxa"/>
            <w:vAlign w:val="bottom"/>
          </w:tcPr>
          <w:p>
            <w:pPr>
              <w:spacing w:after="0"/>
              <w:rPr>
                <w:sz w:val="15"/>
                <w:szCs w:val="15"/>
                <w:color w:val="auto"/>
              </w:rPr>
            </w:pPr>
          </w:p>
        </w:tc>
        <w:tc>
          <w:tcPr>
            <w:tcW w:w="1080" w:type="dxa"/>
            <w:vAlign w:val="bottom"/>
            <w:tcBorders>
              <w:top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41,839</w:t>
            </w:r>
          </w:p>
        </w:tc>
        <w:tc>
          <w:tcPr>
            <w:tcW w:w="24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121,342</w:t>
            </w:r>
          </w:p>
        </w:tc>
      </w:tr>
      <w:tr>
        <w:trPr>
          <w:trHeight w:val="22"/>
        </w:trPr>
        <w:tc>
          <w:tcPr>
            <w:tcW w:w="8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three months ended June 30, 2024 and 2023, interest income related to time deposits was $622 and $937, respectively. For the six months ended June 30, 2024 and 2023, interest income related to time deposits was $1,246 and $1,912,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Financial Instruments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periodically invests in equity securities, and maintains an investment portfolio of various holdings, types, and maturities. For equity investments that do not have a readily determinable fair value, the Company classified them as long-term investments, and records them using either: 1) the measurement alternative which measures the equity investments at cost minus impairment, if any, plus or minus changes resulting from qualifying observable price changes; or 2) the equity method whereby the Company recognizes its proportional share of the income or loss from the equity method investment. The equity method is utilized when the equity investments are common stock or in substance common stock,</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and the Company does not have the ability to control the investee but is deemed to have the ability to exercise significant influence over the investee’s operating or financial policies. For equity investments that have a readily determinable fair value, the Company classified them as short-term investments, and records them at fair market value on a recurring basis based upon quoted market prices. Realized and unrealized gains and losses resulting from application of the measurement alternative, the impact of the application of the equity method to the Company’s equity investments, and recognition of changes in fair market value, as applicable, are recognized as non-operating income (expenses), net in the condensed consolidated statements of comprehensive income (loss).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fair value hierarchy has been established that prioritizes the inputs to valuation techniques used to measure fair value. The level of an asset or liability in the hierarchy is based on the lowest level of input that is significant to the fair value measurement. Assets and liabilities carried at fair value are classified and disclosed in one of the following three categories: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Valuations based on quoted prices in active markets for identical assets or liabilities with sufficient volume and frequency of transactions.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Level 2: Valuations based on observable inputs other than Level 1 prices such as quoted prices for similar assets or liabilities, quoted prices in markets that are not active for identical assets or liabilities, or model-derived valuations techniques for which all significant inputs are observable in the market or can be corroborated by observable market data for substantially the full term of the assets or liabilities.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Level 3: Valuations based on unobservable inputs to the valuation methodology that are significant to the measurement of fair value of assets or liabilities and based on non-binding, broker-provided price quotes and may not have been corroborated by observable market data.</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primary financial instruments include its cash, cash equivalents, short term and long term deposits, restricted cash, short-term and long-term investments, other receivables, accounts receivable, accounts payable, and short-term and long-term borrowings. The estimated fair value of cash and cash equivalents, short-term time deposits, accounts receivable, other receivables, accounts payable, and short-term borrowings approximates their carrying value due to the short period of time to their maturities.</w:t>
      </w:r>
    </w:p>
    <w:p>
      <w:pPr>
        <w:spacing w:after="0" w:line="15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w:t>
      </w:r>
    </w:p>
    <w:p>
      <w:pPr>
        <w:spacing w:after="0"/>
        <w:rPr>
          <w:sz w:val="20"/>
          <w:szCs w:val="20"/>
          <w:color w:val="auto"/>
        </w:rPr>
      </w:pPr>
      <w:r>
        <w:rPr>
          <w:rFonts w:ascii="Times New Roman" w:cs="Times New Roman" w:eastAsia="Times New Roman" w:hAnsi="Times New Roman"/>
          <w:sz w:val="14"/>
          <w:szCs w:val="14"/>
          <w:color w:val="auto"/>
        </w:rPr>
        <w:t>used for valuing financial instruments are not necessarily an indication of the risks associated with investment in those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and liabilities measured at fair value on a recurring basis: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335915</wp:posOffset>
            </wp:positionV>
            <wp:extent cx="51473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698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Quoted Prices in Active Markets</w:t>
            </w:r>
          </w:p>
        </w:tc>
        <w:tc>
          <w:tcPr>
            <w:tcW w:w="140" w:type="dxa"/>
            <w:vAlign w:val="bottom"/>
          </w:tcPr>
          <w:p>
            <w:pPr>
              <w:spacing w:after="0"/>
              <w:rPr>
                <w:sz w:val="14"/>
                <w:szCs w:val="1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Significant Other Observable</w:t>
            </w:r>
          </w:p>
        </w:tc>
        <w:tc>
          <w:tcPr>
            <w:tcW w:w="2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Identical Liabilities (Level 1)</w:t>
            </w:r>
          </w:p>
        </w:tc>
        <w:tc>
          <w:tcPr>
            <w:tcW w:w="140" w:type="dxa"/>
            <w:vAlign w:val="bottom"/>
          </w:tcPr>
          <w:p>
            <w:pPr>
              <w:spacing w:after="0"/>
              <w:rPr>
                <w:sz w:val="16"/>
                <w:szCs w:val="16"/>
                <w:color w:val="auto"/>
              </w:rPr>
            </w:pPr>
          </w:p>
        </w:tc>
        <w:tc>
          <w:tcPr>
            <w:tcW w:w="21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2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48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8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Borders>
              <w:bottom w:val="single" w:sz="8" w:color="CCEEFF"/>
            </w:tcBorders>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 $</w:t>
            </w:r>
          </w:p>
        </w:tc>
        <w:tc>
          <w:tcPr>
            <w:tcW w:w="2240" w:type="dxa"/>
            <w:vAlign w:val="bottom"/>
            <w:tcBorders>
              <w:bottom w:val="single" w:sz="8" w:color="CCEEFF"/>
            </w:tcBorders>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35,494</w:t>
            </w:r>
          </w:p>
        </w:tc>
        <w:tc>
          <w:tcPr>
            <w:tcW w:w="0" w:type="dxa"/>
            <w:vAlign w:val="bottom"/>
          </w:tcPr>
          <w:p>
            <w:pPr>
              <w:spacing w:after="0"/>
              <w:rPr>
                <w:sz w:val="1"/>
                <w:szCs w:val="1"/>
                <w:color w:val="auto"/>
              </w:rPr>
            </w:pPr>
          </w:p>
        </w:tc>
      </w:tr>
      <w:tr>
        <w:trPr>
          <w:trHeight w:val="191"/>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19,597</w:t>
            </w:r>
          </w:p>
        </w:tc>
        <w:tc>
          <w:tcPr>
            <w:tcW w:w="140" w:type="dxa"/>
            <w:vAlign w:val="bottom"/>
          </w:tcPr>
          <w:p>
            <w:pPr>
              <w:spacing w:after="0"/>
              <w:rPr>
                <w:sz w:val="16"/>
                <w:szCs w:val="16"/>
                <w:color w:val="auto"/>
              </w:rPr>
            </w:pPr>
          </w:p>
        </w:tc>
        <w:tc>
          <w:tcPr>
            <w:tcW w:w="214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19,597</w:t>
            </w:r>
          </w:p>
        </w:tc>
        <w:tc>
          <w:tcPr>
            <w:tcW w:w="0" w:type="dxa"/>
            <w:vAlign w:val="bottom"/>
          </w:tcPr>
          <w:p>
            <w:pPr>
              <w:spacing w:after="0"/>
              <w:rPr>
                <w:sz w:val="1"/>
                <w:szCs w:val="1"/>
                <w:color w:val="auto"/>
              </w:rPr>
            </w:pP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Borders>
              <w:bottom w:val="single" w:sz="8" w:color="CCEEFF"/>
            </w:tcBorders>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 $</w:t>
            </w:r>
          </w:p>
        </w:tc>
        <w:tc>
          <w:tcPr>
            <w:tcW w:w="2240" w:type="dxa"/>
            <w:vAlign w:val="bottom"/>
            <w:tcBorders>
              <w:bottom w:val="single" w:sz="8" w:color="CCEEFF"/>
            </w:tcBorders>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55,091</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 $</w:t>
            </w:r>
          </w:p>
        </w:tc>
        <w:tc>
          <w:tcPr>
            <w:tcW w:w="224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37,518</w:t>
            </w:r>
          </w:p>
        </w:tc>
        <w:tc>
          <w:tcPr>
            <w:tcW w:w="0" w:type="dxa"/>
            <w:vAlign w:val="bottom"/>
          </w:tcPr>
          <w:p>
            <w:pPr>
              <w:spacing w:after="0"/>
              <w:rPr>
                <w:sz w:val="1"/>
                <w:szCs w:val="1"/>
                <w:color w:val="auto"/>
              </w:rPr>
            </w:pPr>
          </w:p>
        </w:tc>
      </w:tr>
      <w:tr>
        <w:trPr>
          <w:trHeight w:val="22"/>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21,312</w:t>
            </w:r>
          </w:p>
        </w:tc>
        <w:tc>
          <w:tcPr>
            <w:tcW w:w="14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bottom w:val="single" w:sz="8" w:color="CCEEFF"/>
            </w:tcBorders>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21,312</w:t>
            </w: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58,830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Borders>
              <w:top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 $</w:t>
            </w:r>
          </w:p>
        </w:tc>
        <w:tc>
          <w:tcPr>
            <w:tcW w:w="2240" w:type="dxa"/>
            <w:vAlign w:val="bottom"/>
            <w:tcBorders>
              <w:top w:val="single" w:sz="8" w:color="auto"/>
            </w:tcBorders>
          </w:tcPr>
          <w:p>
            <w:pPr>
              <w:ind w:left="15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58,830</w:t>
            </w:r>
          </w:p>
        </w:tc>
        <w:tc>
          <w:tcPr>
            <w:tcW w:w="0" w:type="dxa"/>
            <w:vAlign w:val="bottom"/>
          </w:tcPr>
          <w:p>
            <w:pPr>
              <w:spacing w:after="0"/>
              <w:rPr>
                <w:sz w:val="1"/>
                <w:szCs w:val="1"/>
                <w:color w:val="auto"/>
              </w:rPr>
            </w:pPr>
          </w:p>
        </w:tc>
      </w:tr>
      <w:tr>
        <w:trPr>
          <w:trHeight w:val="22"/>
        </w:trPr>
        <w:tc>
          <w:tcPr>
            <w:tcW w:w="3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Assets and liabilities measured at fair value on a non-recurring basis:</w:t>
            </w: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87"/>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 Active Markets</w:t>
            </w:r>
          </w:p>
        </w:tc>
        <w:tc>
          <w:tcPr>
            <w:tcW w:w="120" w:type="dxa"/>
            <w:vAlign w:val="bottom"/>
          </w:tcPr>
          <w:p>
            <w:pPr>
              <w:spacing w:after="0"/>
              <w:rPr>
                <w:sz w:val="24"/>
                <w:szCs w:val="24"/>
                <w:color w:val="auto"/>
              </w:rPr>
            </w:pPr>
          </w:p>
        </w:tc>
        <w:tc>
          <w:tcPr>
            <w:tcW w:w="2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 Other Observable</w:t>
            </w:r>
          </w:p>
        </w:tc>
        <w:tc>
          <w:tcPr>
            <w:tcW w:w="160" w:type="dxa"/>
            <w:vAlign w:val="bottom"/>
          </w:tcPr>
          <w:p>
            <w:pPr>
              <w:spacing w:after="0"/>
              <w:rPr>
                <w:sz w:val="24"/>
                <w:szCs w:val="24"/>
                <w:color w:val="auto"/>
              </w:rPr>
            </w:pPr>
          </w:p>
        </w:tc>
        <w:tc>
          <w:tcPr>
            <w:tcW w:w="1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Identical Liabilities (Level 1)</w:t>
            </w:r>
          </w:p>
        </w:tc>
        <w:tc>
          <w:tcPr>
            <w:tcW w:w="120" w:type="dxa"/>
            <w:vAlign w:val="bottom"/>
          </w:tcPr>
          <w:p>
            <w:pPr>
              <w:spacing w:after="0"/>
              <w:rPr>
                <w:sz w:val="16"/>
                <w:szCs w:val="16"/>
                <w:color w:val="auto"/>
              </w:rPr>
            </w:pPr>
          </w:p>
        </w:tc>
        <w:tc>
          <w:tcPr>
            <w:tcW w:w="2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60" w:type="dxa"/>
            <w:vAlign w:val="bottom"/>
          </w:tcPr>
          <w:p>
            <w:pPr>
              <w:spacing w:after="0"/>
              <w:rPr>
                <w:sz w:val="16"/>
                <w:szCs w:val="16"/>
                <w:color w:val="auto"/>
              </w:rPr>
            </w:pPr>
          </w:p>
        </w:tc>
        <w:tc>
          <w:tcPr>
            <w:tcW w:w="1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60" w:type="dxa"/>
            <w:vAlign w:val="bottom"/>
          </w:tcPr>
          <w:p>
            <w:pPr>
              <w:spacing w:after="0"/>
              <w:rPr>
                <w:sz w:val="16"/>
                <w:szCs w:val="16"/>
                <w:color w:val="auto"/>
              </w:rPr>
            </w:pPr>
          </w:p>
        </w:tc>
        <w:tc>
          <w:tcPr>
            <w:tcW w:w="9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1"/>
        </w:trPr>
        <w:tc>
          <w:tcPr>
            <w:tcW w:w="2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accounted for using measurement</w:t>
            </w: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alternative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10,378</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10,378</w:t>
            </w:r>
          </w:p>
        </w:tc>
      </w:tr>
      <w:tr>
        <w:trPr>
          <w:trHeight w:val="191"/>
        </w:trPr>
        <w:tc>
          <w:tcPr>
            <w:tcW w:w="26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360" w:type="dxa"/>
            <w:vAlign w:val="bottom"/>
            <w:gridSpan w:val="2"/>
          </w:tcPr>
          <w:p>
            <w:pPr>
              <w:ind w:left="1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gridSpan w:val="2"/>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10,378</w:t>
            </w:r>
          </w:p>
        </w:tc>
        <w:tc>
          <w:tcPr>
            <w:tcW w:w="2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10,378</w:t>
            </w:r>
          </w:p>
        </w:tc>
      </w:tr>
      <w:tr>
        <w:trPr>
          <w:trHeight w:val="22"/>
        </w:trPr>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did not have any assets and liabilities measured at fair value on a non-recurring basis as of June 30, 2024, and the Company did not recognize any unrealized gains (upward adjustments) or unrealized losses (downward adjustments) resulting from observable price changes in orderly transactions for an identical or similar investment of the same issuer for its long-term investments accounted for using measurement alternatives during the three and six months ended June 30, 2024 and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12 for fair value information related to the Company’s outstanding long-term borrowings as of June 30, 2024 and December 31,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Basic and Diluted Net Income per Share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and diluted net income per share of common stock are calculated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26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31,399</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33,597</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53,491</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42,560</w:t>
            </w:r>
          </w:p>
        </w:tc>
        <w:tc>
          <w:tcPr>
            <w:tcW w:w="0" w:type="dxa"/>
            <w:vAlign w:val="bottom"/>
          </w:tcPr>
          <w:p>
            <w:pPr>
              <w:spacing w:after="0"/>
              <w:rPr>
                <w:sz w:val="1"/>
                <w:szCs w:val="1"/>
                <w:color w:val="auto"/>
              </w:rPr>
            </w:pPr>
          </w:p>
        </w:tc>
      </w:tr>
      <w:tr>
        <w:trPr>
          <w:trHeight w:val="176"/>
        </w:trPr>
        <w:tc>
          <w:tcPr>
            <w:tcW w:w="3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Less: Net income attributable to non-controlling</w:t>
            </w: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interests</w:t>
            </w:r>
          </w:p>
        </w:tc>
        <w:tc>
          <w:tcPr>
            <w:tcW w:w="1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11,848</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w:t>
            </w:r>
          </w:p>
        </w:tc>
        <w:tc>
          <w:tcPr>
            <w:tcW w:w="0" w:type="dxa"/>
            <w:vAlign w:val="bottom"/>
          </w:tcPr>
          <w:p>
            <w:pPr>
              <w:spacing w:after="0"/>
              <w:rPr>
                <w:sz w:val="1"/>
                <w:szCs w:val="1"/>
                <w:color w:val="auto"/>
              </w:rPr>
            </w:pPr>
          </w:p>
        </w:tc>
      </w:tr>
      <w:tr>
        <w:trPr>
          <w:trHeight w:val="22"/>
        </w:trPr>
        <w:tc>
          <w:tcPr>
            <w:tcW w:w="3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stockholders, basic</w:t>
            </w:r>
          </w:p>
        </w:tc>
        <w:tc>
          <w:tcPr>
            <w:tcW w:w="122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24,210</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26,825</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41,643</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400"/>
              <w:spacing w:after="0" w:line="158" w:lineRule="exact"/>
              <w:rPr>
                <w:sz w:val="20"/>
                <w:szCs w:val="20"/>
                <w:color w:val="auto"/>
              </w:rPr>
            </w:pPr>
            <w:r>
              <w:rPr>
                <w:rFonts w:ascii="Times New Roman" w:cs="Times New Roman" w:eastAsia="Times New Roman" w:hAnsi="Times New Roman"/>
                <w:sz w:val="14"/>
                <w:szCs w:val="14"/>
                <w:color w:val="auto"/>
              </w:rPr>
              <w:t>Less: Dilutive effect arising from stock-based</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2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awards by ACM Shanghai</w:t>
            </w:r>
          </w:p>
        </w:tc>
        <w:tc>
          <w:tcPr>
            <w:tcW w:w="1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22"/>
        </w:trPr>
        <w:tc>
          <w:tcPr>
            <w:tcW w:w="3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stockholders, diluted</w:t>
            </w:r>
          </w:p>
        </w:tc>
        <w:tc>
          <w:tcPr>
            <w:tcW w:w="1220" w:type="dxa"/>
            <w:vAlign w:val="bottom"/>
            <w:tcBorders>
              <w:bottom w:val="single" w:sz="8" w:color="CCEEFF"/>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23,685</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26,522</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40,723</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33,575</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1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62,178,369</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59,898,149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61,772,776</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59,817,903</w:t>
            </w:r>
          </w:p>
        </w:tc>
        <w:tc>
          <w:tcPr>
            <w:tcW w:w="0" w:type="dxa"/>
            <w:vAlign w:val="bottom"/>
          </w:tcPr>
          <w:p>
            <w:pPr>
              <w:spacing w:after="0"/>
              <w:rPr>
                <w:sz w:val="1"/>
                <w:szCs w:val="1"/>
                <w:color w:val="auto"/>
              </w:rPr>
            </w:pPr>
          </w:p>
        </w:tc>
      </w:tr>
      <w:tr>
        <w:trPr>
          <w:trHeight w:val="191"/>
        </w:trPr>
        <w:tc>
          <w:tcPr>
            <w:tcW w:w="3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4,879,477</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5,031,489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4,747,930</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5,150,997</w:t>
            </w:r>
          </w:p>
        </w:tc>
        <w:tc>
          <w:tcPr>
            <w:tcW w:w="0" w:type="dxa"/>
            <w:vAlign w:val="bottom"/>
          </w:tcPr>
          <w:p>
            <w:pPr>
              <w:spacing w:after="0"/>
              <w:rPr>
                <w:sz w:val="1"/>
                <w:szCs w:val="1"/>
                <w:color w:val="auto"/>
              </w:rPr>
            </w:pPr>
          </w:p>
        </w:tc>
      </w:tr>
      <w:tr>
        <w:trPr>
          <w:trHeight w:val="22"/>
        </w:trPr>
        <w:tc>
          <w:tcPr>
            <w:tcW w:w="3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2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Weighted average shares outstanding, diluted</w:t>
            </w:r>
          </w:p>
        </w:tc>
        <w:tc>
          <w:tcPr>
            <w:tcW w:w="1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67,057,846</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64,929,638</w:t>
            </w:r>
          </w:p>
        </w:tc>
        <w:tc>
          <w:tcPr>
            <w:tcW w:w="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66,520,706</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64,968,900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share of common stock:</w:t>
            </w:r>
          </w:p>
        </w:tc>
        <w:tc>
          <w:tcPr>
            <w:tcW w:w="1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220" w:type="dxa"/>
            <w:vAlign w:val="bottom"/>
            <w:tcBorders>
              <w:bottom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22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Basic and diluted net income per share of common stock is presented using the two-class method, which allocates undistributed earnings to common stock and any participating securities according to dividend rights and participation rights on a proportionate basis. Under the two-class method, basic net income per share of common stock is computed by dividing the sum of distributed and undistributed earnings attributable to common stockholders by the weighted average number of shares of common stock outstanding during the period. ACM Research did not have any participating securities outstanding during the three and six months ended June 30, 2024 and 2023.</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ACM Research has been authorized to issue Class A and Class B common stock since redomesticating in Delaware in November 2016. The two classes of common stock are substantially identical in all material respects, except for voting rights. Since ACM Research did not declare cash dividends during the six months ended June 30, 2024 or 2023, the net income per share of common stock attributable to each class is the same under the “two-class” method. As such, the two classes of common stock have been presented on a combined basis in the condensed consolidated statements of comprehensive income (loss) and in the above computation of net income per share of common stock.</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Diluted net income per share of common stock reflects the potential dilution from securities, such as stock options that could share in ACM Research’s earnings. Certain potential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702,850 and 714,850 stock options for the three and six months ended June 30, 2024, respectively, and 302,561 and 394,756 stock options for the three and six months ended June 30, 2023,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Concentration of Credit Risk</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credit risk consist principally of cash and cash equivalents, time deposits, and accounts receivable. The Company deposits and invests its cash and cash equivalents and time deposits with financial institutions that management believes are creditworthy.</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potentially subject to concentrations of credit risks in its revenue and accounts receivable. For the three months ended June 30, 2024 and 2023, four customers accounted for 57.9% and three customers accounted for 52.1% of revenue, respectively. For the six months ended June 30, 2024 and 2023, three customers accounted for 51.9% and one customer accounted for 17.5% of revenue, respectively.</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June 30, 2024 and December 31, 2023, four customers accounted for 55.9% and four customers accounted for 59.1%, respectively, of the Company’s accounts receivables. The Company believes that the receivable balances from these largest customers do not represent a significant credit risk based on past collection experience.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Recently issued accounting pronouncements not yet adopted</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Improvements to Reportable Segment Disclosures</w:t>
      </w:r>
      <w:r>
        <w:rPr>
          <w:rFonts w:ascii="Times New Roman" w:cs="Times New Roman" w:eastAsia="Times New Roman" w:hAnsi="Times New Roman"/>
          <w:sz w:val="14"/>
          <w:szCs w:val="14"/>
          <w:color w:val="auto"/>
        </w:rPr>
        <w:t>.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is currently evaluating the provisions of this ASU and expect to adopt it for the year ending December 31, 2024.</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xml:space="preserve"> (Topic 740). The ASU requires disaggregated information about a reporting entity’s effective tax rate reconciliation as well as additional information on income taxes paid. The ASU is effective on a prospective basis for annual periods beginning after December 15, 2024. Retrospective application is permitted. Early adoption is also permitted for annual financial statements that have not yet been issued or made available for issuance. The Company is currently evaluating the provisions of this ASU.</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 FROM CONTRACTS WITH CUSTOMERS</w:t>
      </w:r>
    </w:p>
    <w:p>
      <w:pPr>
        <w:spacing w:after="0" w:line="202"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The Company assesses revenues based upon the nature or type of goods or services it provides and the geographic location of the customer facility. The following tables present disaggregated revenue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4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3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1"/>
        </w:trPr>
        <w:tc>
          <w:tcPr>
            <w:tcW w:w="3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60" w:type="dxa"/>
            <w:vAlign w:val="bottom"/>
          </w:tcPr>
          <w:p>
            <w:pPr>
              <w:spacing w:after="0"/>
              <w:rPr>
                <w:sz w:val="15"/>
                <w:szCs w:val="15"/>
                <w:color w:val="auto"/>
              </w:rPr>
            </w:pP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6"/>
        </w:trPr>
        <w:tc>
          <w:tcPr>
            <w:tcW w:w="33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Single Wafer Cleaning, Tahoe and Semi-Critical</w:t>
            </w:r>
          </w:p>
        </w:tc>
        <w:tc>
          <w:tcPr>
            <w:tcW w:w="380" w:type="dxa"/>
            <w:vAlign w:val="bottom"/>
            <w:shd w:val="clear" w:color="auto" w:fill="CCEEFF"/>
          </w:tcPr>
          <w:p>
            <w:pPr>
              <w:jc w:val="right"/>
              <w:ind w:right="229"/>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153,221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69"/>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112,528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09"/>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262,691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69"/>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149,142</w:t>
            </w:r>
          </w:p>
        </w:tc>
        <w:tc>
          <w:tcPr>
            <w:tcW w:w="1360" w:type="dxa"/>
            <w:vAlign w:val="bottom"/>
          </w:tcPr>
          <w:p>
            <w:pPr>
              <w:spacing w:after="0"/>
              <w:rPr>
                <w:sz w:val="13"/>
                <w:szCs w:val="13"/>
                <w:color w:val="auto"/>
              </w:rPr>
            </w:pPr>
          </w:p>
        </w:tc>
      </w:tr>
      <w:tr>
        <w:trPr>
          <w:trHeight w:val="186"/>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Cleaning Equipment</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360" w:type="dxa"/>
            <w:vAlign w:val="bottom"/>
          </w:tcPr>
          <w:p>
            <w:pPr>
              <w:spacing w:after="0"/>
              <w:rPr>
                <w:sz w:val="16"/>
                <w:szCs w:val="16"/>
                <w:color w:val="auto"/>
              </w:rPr>
            </w:pPr>
          </w:p>
        </w:tc>
      </w:tr>
      <w:tr>
        <w:trPr>
          <w:trHeight w:val="17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ECP (front-end and packaging), Furnace and Other</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45,715</w:t>
            </w:r>
          </w:p>
        </w:tc>
        <w:tc>
          <w:tcPr>
            <w:tcW w:w="1360" w:type="dxa"/>
            <w:vAlign w:val="bottom"/>
          </w:tcPr>
          <w:p>
            <w:pPr>
              <w:spacing w:after="0"/>
              <w:rPr>
                <w:sz w:val="15"/>
                <w:szCs w:val="15"/>
                <w:color w:val="auto"/>
              </w:rPr>
            </w:pPr>
          </w:p>
        </w:tc>
      </w:tr>
      <w:tr>
        <w:trPr>
          <w:trHeight w:val="184"/>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Technologies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
        </w:trPr>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Packaging (excluding ECP), Services &amp;</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23,976</w:t>
            </w:r>
          </w:p>
        </w:tc>
        <w:tc>
          <w:tcPr>
            <w:tcW w:w="1360" w:type="dxa"/>
            <w:vAlign w:val="bottom"/>
          </w:tcPr>
          <w:p>
            <w:pPr>
              <w:spacing w:after="0"/>
              <w:rPr>
                <w:sz w:val="15"/>
                <w:szCs w:val="15"/>
                <w:color w:val="auto"/>
              </w:rPr>
            </w:pPr>
          </w:p>
        </w:tc>
      </w:tr>
      <w:tr>
        <w:trPr>
          <w:trHeight w:val="206"/>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Spares</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18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by Product Category</w:t>
            </w: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202,480</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144,577</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354,671</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218,833</w:t>
            </w:r>
          </w:p>
        </w:tc>
        <w:tc>
          <w:tcPr>
            <w:tcW w:w="1360" w:type="dxa"/>
            <w:vAlign w:val="bottom"/>
          </w:tcPr>
          <w:p>
            <w:pPr>
              <w:spacing w:after="0"/>
              <w:rPr>
                <w:sz w:val="15"/>
                <w:szCs w:val="15"/>
                <w:color w:val="auto"/>
              </w:rPr>
            </w:pPr>
          </w:p>
        </w:tc>
      </w:tr>
      <w:tr>
        <w:trPr>
          <w:trHeight w:val="22"/>
        </w:trPr>
        <w:tc>
          <w:tcPr>
            <w:tcW w:w="3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693"/>
        </w:trPr>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7"/>
        </w:trPr>
        <w:tc>
          <w:tcPr>
            <w:tcW w:w="33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60" w:type="dxa"/>
            <w:vAlign w:val="bottom"/>
          </w:tcPr>
          <w:p>
            <w:pPr>
              <w:spacing w:after="0"/>
              <w:rPr>
                <w:sz w:val="16"/>
                <w:szCs w:val="16"/>
                <w:color w:val="auto"/>
              </w:rPr>
            </w:pPr>
          </w:p>
        </w:tc>
      </w:tr>
      <w:tr>
        <w:trPr>
          <w:trHeight w:val="22"/>
        </w:trPr>
        <w:tc>
          <w:tcPr>
            <w:tcW w:w="2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2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2"/>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Mainland China</w:t>
            </w:r>
          </w:p>
        </w:tc>
        <w:tc>
          <w:tcPr>
            <w:tcW w:w="5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196,835</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134,767</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348,970</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207,226</w:t>
            </w:r>
          </w:p>
        </w:tc>
      </w:tr>
      <w:tr>
        <w:trPr>
          <w:trHeight w:val="191"/>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regions</w:t>
            </w:r>
          </w:p>
        </w:tc>
        <w:tc>
          <w:tcPr>
            <w:tcW w:w="5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5,645</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11,607</w:t>
            </w: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8"/>
        </w:trPr>
        <w:tc>
          <w:tcPr>
            <w:tcW w:w="26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202,480</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144,577</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354,671</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218,833</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76"/>
        </w:trPr>
        <w:tc>
          <w:tcPr>
            <w:tcW w:w="48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Below are the accounts receivables and contract liabilities balances as of:</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6"/>
        </w:trPr>
        <w:tc>
          <w:tcPr>
            <w:tcW w:w="2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2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2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5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293,499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283,186</w:t>
            </w:r>
          </w:p>
        </w:tc>
      </w:tr>
      <w:tr>
        <w:trPr>
          <w:trHeight w:val="191"/>
        </w:trPr>
        <w:tc>
          <w:tcPr>
            <w:tcW w:w="2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Advances from customers</w:t>
            </w: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205,609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181,368</w:t>
            </w:r>
          </w:p>
        </w:tc>
      </w:tr>
      <w:tr>
        <w:trPr>
          <w:trHeight w:val="22"/>
        </w:trPr>
        <w:tc>
          <w:tcPr>
            <w:tcW w:w="2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1"/>
        </w:trPr>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5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5,279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r>
      <w:tr>
        <w:trPr>
          <w:trHeight w:val="22"/>
        </w:trPr>
        <w:tc>
          <w:tcPr>
            <w:tcW w:w="2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six months ended June 30, 2024, advances from customers increased by $24.2 million, due to an increase of payments made by customers for first tools under evaluation, offset by a decrease in customer pre-payments for tools prior to delivery.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are revenues recognized from amounts included in contract liabilities at the beginning of the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14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1"/>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
        </w:trPr>
        <w:tc>
          <w:tcPr>
            <w:tcW w:w="4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6"/>
        </w:trPr>
        <w:tc>
          <w:tcPr>
            <w:tcW w:w="42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Revenue recognized from amounts included in contract liabilities at the</w:t>
            </w:r>
          </w:p>
        </w:tc>
        <w:tc>
          <w:tcPr>
            <w:tcW w:w="300" w:type="dxa"/>
            <w:vAlign w:val="bottom"/>
            <w:shd w:val="clear" w:color="auto" w:fill="CCEEFF"/>
          </w:tcPr>
          <w:p>
            <w:pPr>
              <w:jc w:val="right"/>
              <w:ind w:right="149"/>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56,995</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69"/>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30,673</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49"/>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86,183</w:t>
            </w:r>
          </w:p>
        </w:tc>
        <w:tc>
          <w:tcPr>
            <w:tcW w:w="520" w:type="dxa"/>
            <w:vAlign w:val="bottom"/>
            <w:gridSpan w:val="3"/>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45,885</w:t>
            </w:r>
          </w:p>
        </w:tc>
        <w:tc>
          <w:tcPr>
            <w:tcW w:w="1020" w:type="dxa"/>
            <w:vAlign w:val="bottom"/>
          </w:tcPr>
          <w:p>
            <w:pPr>
              <w:spacing w:after="0"/>
              <w:rPr>
                <w:sz w:val="13"/>
                <w:szCs w:val="13"/>
                <w:color w:val="auto"/>
              </w:rPr>
            </w:pPr>
          </w:p>
        </w:tc>
      </w:tr>
      <w:tr>
        <w:trPr>
          <w:trHeight w:val="18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the year</w:t>
            </w:r>
          </w:p>
        </w:tc>
        <w:tc>
          <w:tcPr>
            <w:tcW w:w="1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413"/>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4 – ACCOUNTS RECEIVABLE</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1"/>
        </w:trPr>
        <w:tc>
          <w:tcPr>
            <w:tcW w:w="57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At June 30, 2024 and December 31, 2023, accounts receivable consisted of the following:</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6"/>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4580" w:type="dxa"/>
            <w:vAlign w:val="bottom"/>
            <w:tcBorders>
              <w:bottom w:val="single" w:sz="8" w:color="CCEEFF"/>
            </w:tcBorders>
            <w:gridSpan w:val="2"/>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r>
      <w:tr>
        <w:trPr>
          <w:trHeight w:val="18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10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300,283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288,016</w:t>
            </w:r>
          </w:p>
        </w:tc>
      </w:tr>
      <w:tr>
        <w:trPr>
          <w:trHeight w:val="191"/>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(4,830)</w:t>
            </w:r>
          </w:p>
        </w:tc>
      </w:tr>
      <w:tr>
        <w:trPr>
          <w:trHeight w:val="22"/>
        </w:trPr>
        <w:tc>
          <w:tcPr>
            <w:tcW w:w="4580" w:type="dxa"/>
            <w:vAlign w:val="bottom"/>
            <w:tcBorders>
              <w:bottom w:val="single" w:sz="8" w:color="CCEEFF"/>
            </w:tcBorders>
            <w:gridSpan w:val="2"/>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r>
      <w:tr>
        <w:trPr>
          <w:trHeight w:val="228"/>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accounts receivable, net</w:t>
            </w:r>
          </w:p>
        </w:tc>
        <w:tc>
          <w:tcPr>
            <w:tcW w:w="1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293,499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283,186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$10.3 million increase in accounts receivable, net for the first six months of 2024 corresponds to a $135.8 million increase in revenue compared to the six months ended June 30,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The movement of the allowance for credit losses for the six months ended June 30, 2024 is as follows:</w:t>
            </w:r>
          </w:p>
        </w:tc>
        <w:tc>
          <w:tcPr>
            <w:tcW w:w="4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98"/>
        </w:trPr>
        <w:tc>
          <w:tcPr>
            <w:tcW w:w="6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6"/>
        </w:trPr>
        <w:tc>
          <w:tcPr>
            <w:tcW w:w="6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6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0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 before tax, as of December 31, 2023</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w:t>
            </w:r>
          </w:p>
        </w:tc>
      </w:tr>
      <w:tr>
        <w:trPr>
          <w:trHeight w:val="187"/>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w:t>
            </w:r>
          </w:p>
        </w:tc>
      </w:tr>
      <w:tr>
        <w:trPr>
          <w:trHeight w:val="23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 before tax, as of June 30, 2024</w:t>
            </w: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w:t>
            </w:r>
          </w:p>
        </w:tc>
      </w:tr>
      <w:tr>
        <w:trPr>
          <w:trHeight w:val="20"/>
        </w:trPr>
        <w:tc>
          <w:tcPr>
            <w:tcW w:w="6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assesses collectability by reviewing accounts receivable on a general basis where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5 – INVENTORIES</w:t>
            </w: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61"/>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auto"/>
              </w:rPr>
              <w:t>At June 30, 2024 and December 31, 2023, inventories consisted of the following:</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6"/>
        </w:trPr>
        <w:tc>
          <w:tcPr>
            <w:tcW w:w="8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248,443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235,062</w:t>
            </w: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81,438</w:t>
            </w:r>
          </w:p>
        </w:tc>
      </w:tr>
      <w:tr>
        <w:trPr>
          <w:trHeight w:val="22"/>
        </w:trPr>
        <w:tc>
          <w:tcPr>
            <w:tcW w:w="8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0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278,915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228,895</w:t>
            </w:r>
          </w:p>
        </w:tc>
      </w:tr>
      <w:tr>
        <w:trPr>
          <w:trHeight w:val="203"/>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inventory, net</w:t>
            </w:r>
          </w:p>
        </w:tc>
        <w:tc>
          <w:tcPr>
            <w:tcW w:w="1060" w:type="dxa"/>
            <w:vAlign w:val="bottom"/>
            <w:tcBorders>
              <w:top w:val="single" w:sz="8" w:color="auto"/>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602,927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545,395</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June 30, 2024 and December 31, 2023, the value of finished goods inventory of which were first-tools at customer physical locations for which customers were contractually obligated to take ownership upon acceptance totaled $167,356 and $123,390, respectively.</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$13,381 increase in raw materials at June 30, 2024 compared to December 31, 2023 was due to additional purchase of supplies to support a higher level of expected total shipments for the next several quarters, and to reduce the risk of supply chain delays to meet anticipated customer demand for the Company’s products.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$50,020 increase in finished goods inventory at June 30, 2024 compared to December 31, 2023 primarily reflects a higher value of first-tools under evaluation by existing or prospective customers, due to shipments made, net of customer acceptances during the period.</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products each require a certain degree of customization, and the substantial majority of the work-in-process inventory and finished goods inventory is built to meet a specific customer order for a repeat shipment or a first tool shipment. At the end of each period, the Company assesses the status of each item in work-in-process and finished goods inventory. The Company recognizes a loss or impairment if in management’s judgement the inventory cannot be sold or used for production, if it has been damaged or should be considered as obsolete, or if the net realizable value is lower than the cost.</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the end of each period, the Company also assesses the status of its raw materials. The Company recognizes a loss or impairment for any raw materials aged more than three years. The three-year aging is based on the Company’s assessment of technology change, its requirement to maintain stock for warranty coverage, and other factors.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three months ended June 30, 2024 and 2023, provision for inventory of $1,984 and $2,919 were recognized in cost of revenue, respectively. During the six months ended June 30, 2024 and 2023, provision for inventory of $3,009 and $3,224 were recognized in cost of revenue, respectively. Write-downs were due to an internal assessment that certain inventory could not be sold or used for production due to damage or obsolescence.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6 – PROPERTY, PLANT AND EQUIPMENT, NET</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40"/>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auto"/>
              </w:rPr>
              <w:t>At June 30, 2024 and December 31, 2023, property, plant and equipment consisted of the following:</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6"/>
        </w:trPr>
        <w:tc>
          <w:tcPr>
            <w:tcW w:w="8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2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Buildings and plants</w:t>
            </w: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82,579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83,109</w:t>
            </w: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Manufacturing equipment</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16,556</w:t>
            </w:r>
          </w:p>
        </w:tc>
      </w:tr>
      <w:tr>
        <w:trPr>
          <w:trHeight w:val="22"/>
        </w:trPr>
        <w:tc>
          <w:tcPr>
            <w:tcW w:w="8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10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w:t>
            </w: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Transportation equipment</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r>
      <w:tr>
        <w:trPr>
          <w:trHeight w:val="22"/>
        </w:trPr>
        <w:tc>
          <w:tcPr>
            <w:tcW w:w="8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w:t>
            </w:r>
          </w:p>
        </w:tc>
        <w:tc>
          <w:tcPr>
            <w:tcW w:w="10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7,889</w:t>
            </w:r>
          </w:p>
        </w:tc>
      </w:tr>
      <w:tr>
        <w:trPr>
          <w:trHeight w:val="18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cost</w:t>
            </w:r>
          </w:p>
        </w:tc>
        <w:tc>
          <w:tcPr>
            <w:tcW w:w="10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113,550</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112,911</w:t>
            </w:r>
          </w:p>
        </w:tc>
      </w:tr>
      <w:tr>
        <w:trPr>
          <w:trHeight w:val="22"/>
        </w:trPr>
        <w:tc>
          <w:tcPr>
            <w:tcW w:w="8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Total accumulated depreciation and amortization</w:t>
            </w:r>
          </w:p>
        </w:tc>
        <w:tc>
          <w:tcPr>
            <w:tcW w:w="10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(17,503)</w:t>
            </w: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106,440</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228,731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201,848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Depreciation expense for the three months ended June 30, 2024 and 2023 was $2,209 and $2,241, respectively, and $4,684 and $3,955 for the six months ended June 30, 2024 and 2023, respectively. Buildings and plants represent Lingang housing property owned by ACM Lingang at a value of RMB 249,746 ($35,039), and facilities for the new headquarters of ACM Shanghai ("Zhangjiang New Building") at a value of RMB 338,848 ($47,540), as of June 30, 2024. The Lingang housing property is pledged as security for loans from China Merchants Bank (Note 12).</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Construction in progress primarily reflects costs incurred related to the construction of ACM Shanghai’s Lingang development and production center, which is scheduled to begin initial production in the second half of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7 – LAND USE RIGHT, NET</w:t>
            </w: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40"/>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land use right is as follows:</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6"/>
        </w:trPr>
        <w:tc>
          <w:tcPr>
            <w:tcW w:w="8120" w:type="dxa"/>
            <w:vAlign w:val="bottom"/>
          </w:tcPr>
          <w:p>
            <w:pPr>
              <w:spacing w:after="0"/>
              <w:rPr>
                <w:sz w:val="24"/>
                <w:szCs w:val="24"/>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20" w:type="dxa"/>
            <w:vAlign w:val="bottom"/>
          </w:tcPr>
          <w:p>
            <w:pPr>
              <w:spacing w:after="0"/>
              <w:rPr>
                <w:sz w:val="16"/>
                <w:szCs w:val="16"/>
                <w:color w:val="auto"/>
              </w:rPr>
            </w:pPr>
          </w:p>
        </w:tc>
        <w:tc>
          <w:tcPr>
            <w:tcW w:w="11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use right purchase amount</w:t>
            </w:r>
          </w:p>
        </w:tc>
        <w:tc>
          <w:tcPr>
            <w:tcW w:w="1140" w:type="dxa"/>
            <w:vAlign w:val="bottom"/>
            <w:tcBorders>
              <w:bottom w:val="single" w:sz="8" w:color="CCEEFF"/>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8,996</w:t>
            </w: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use right, net</w:t>
            </w:r>
          </w:p>
        </w:tc>
        <w:tc>
          <w:tcPr>
            <w:tcW w:w="1140" w:type="dxa"/>
            <w:vAlign w:val="bottom"/>
            <w:tcBorders>
              <w:bottom w:val="single" w:sz="8" w:color="CCEEFF"/>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amortization for the three months ended June 30, 2024 and 2023 was $42 and $38, respectively, and the six months ended June 30, 2024 and 2023 was $85 and $88.</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annual amortization of land use right is as follows: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25"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1023" w:lineRule="exact"/>
        <w:rPr>
          <w:sz w:val="20"/>
          <w:szCs w:val="20"/>
          <w:color w:val="auto"/>
        </w:rPr>
      </w:pPr>
    </w:p>
    <w:p>
      <w:pPr>
        <w:sectPr>
          <w:pgSz w:w="11900" w:h="16838" w:orient="portrait"/>
          <w:cols w:equalWidth="0" w:num="2">
            <w:col w:w="3140" w:space="720"/>
            <w:col w:w="7420"/>
          </w:cols>
          <w:pgMar w:left="300" w:top="120" w:right="319" w:bottom="1440" w:gutter="0" w:footer="0" w:header="0"/>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ind w:left="410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2024</w:t>
            </w:r>
          </w:p>
        </w:tc>
        <w:tc>
          <w:tcPr>
            <w:tcW w:w="1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7,419</w:t>
            </w:r>
          </w:p>
        </w:tc>
        <w:tc>
          <w:tcPr>
            <w:tcW w:w="0" w:type="dxa"/>
            <w:vAlign w:val="bottom"/>
          </w:tcPr>
          <w:p>
            <w:pPr>
              <w:spacing w:after="0"/>
              <w:rPr>
                <w:sz w:val="1"/>
                <w:szCs w:val="1"/>
                <w:color w:val="auto"/>
              </w:rPr>
            </w:pP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8 – OTHER LONG-TERM ASSETS</w:t>
            </w:r>
          </w:p>
        </w:tc>
        <w:tc>
          <w:tcPr>
            <w:tcW w:w="1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1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auto"/>
              </w:rPr>
              <w:t>At June 30, 2024 and December 31, 2023, other long-term assets consisted of the following:</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20" w:type="dxa"/>
            <w:vAlign w:val="bottom"/>
          </w:tcPr>
          <w:p>
            <w:pPr>
              <w:spacing w:after="0"/>
              <w:rPr>
                <w:sz w:val="16"/>
                <w:szCs w:val="16"/>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Prepayments for property, plant and equipment</w:t>
            </w:r>
          </w:p>
        </w:tc>
        <w:tc>
          <w:tcPr>
            <w:tcW w:w="110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deposits</w:t>
            </w: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Security deposit for land use right</w:t>
            </w:r>
          </w:p>
        </w:tc>
        <w:tc>
          <w:tcPr>
            <w:tcW w:w="1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long-term assets</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SHORT-TERM BORROWINGS</w:t>
      </w:r>
    </w:p>
    <w:p>
      <w:pPr>
        <w:sectPr>
          <w:pgSz w:w="11900" w:h="16838" w:orient="portrait"/>
          <w:cols w:equalWidth="0" w:num="1">
            <w:col w:w="11280"/>
          </w:cols>
          <w:pgMar w:left="300" w:top="120" w:right="31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2024 and December 31, 2023, short-term borrowings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114540"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4540" cy="13462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Line of credit up to RMB 150,000 from China Everbright Bank,</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1)due on August 29, 2024 with an annual interest rate of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1454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4540" cy="13462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Line of credit up to RMB 40,000 from Bank of China,</w:t>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1)due on September 7, 2024 with an annual interest rate of 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1454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4540" cy="13462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Line of credit up to RMB 200,000 from China Merchants Bank,</w:t>
      </w:r>
    </w:p>
    <w:p>
      <w:pPr>
        <w:spacing w:after="0" w:line="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1)due on August 7,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2)due on August 8,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3)due on August 9,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4)due on August 14,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5)due on August 17,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6)due on August 20,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7)due on August 21,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8)due on August 22,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9)due on August 24,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10)due on August 27,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11)due on August 29,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12)due on August 30,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13)due on September 3,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14)due on September 5,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15)due on September 6,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16)due on September 10,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17)due on September 12, 2024 with an annual interest rate of 3.00%.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18)due on February 27, 2025 with an annual interest rate of 2.60%.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19)due on February 28, 2025 with an annual interest rate of 2.60%.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20)due on March 1, 2025 with an annual interest rate of 2.60%.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21)due on March 5, 2025 with an annual interest rate of 2.60%.</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22)due on March 8, 2025 with an annual interest rate of 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1454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4540" cy="13462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Line of credit up to RMB 120,000 from Bank of China,</w:t>
      </w:r>
    </w:p>
    <w:p>
      <w:pPr>
        <w:spacing w:after="0" w:line="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1)due on March 20, 2025 with an annual interest rate of 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14540"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4540" cy="13462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Line of credit up to KRW 500,000 from Industrial Bank of Korea,</w:t>
      </w:r>
    </w:p>
    <w:p>
      <w:pPr>
        <w:spacing w:after="0" w:line="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1)due on July 12, 2024 with an annual interest rate of 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14540"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4540" cy="13462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Line of credit up to KRW 2,000,000 from Industrial Bank of Korea,</w:t>
      </w:r>
    </w:p>
    <w:p>
      <w:pPr>
        <w:spacing w:after="0" w:line="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1)due on December 15, 2024 with an annual interest rate of 4.27%.</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12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4"/>
                <w:szCs w:val="14"/>
                <w:color w:val="auto"/>
              </w:rPr>
            </w:pPr>
          </w:p>
        </w:tc>
        <w:tc>
          <w:tcPr>
            <w:tcW w:w="12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300" w:type="dxa"/>
            <w:vAlign w:val="bottom"/>
          </w:tcPr>
          <w:p>
            <w:pPr>
              <w:spacing w:after="0"/>
              <w:rPr>
                <w:sz w:val="16"/>
                <w:szCs w:val="16"/>
                <w:color w:val="auto"/>
              </w:rPr>
            </w:pPr>
          </w:p>
        </w:tc>
        <w:tc>
          <w:tcPr>
            <w:tcW w:w="12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2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83"/>
        </w:trPr>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w:t>
            </w:r>
          </w:p>
        </w:tc>
      </w:tr>
      <w:tr>
        <w:trPr>
          <w:trHeight w:val="424"/>
        </w:trPr>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5,648</w:t>
            </w:r>
          </w:p>
        </w:tc>
      </w:tr>
      <w:tr>
        <w:trPr>
          <w:trHeight w:val="424"/>
        </w:trPr>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r>
      <w:tr>
        <w:trPr>
          <w:trHeight w:val="214"/>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24"/>
        </w:trPr>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16,848</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24"/>
        </w:trPr>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422"/>
        </w:trPr>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54,439</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31,335</w:t>
            </w: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20" w:space="720"/>
            <w:col w:w="3140"/>
          </w:cols>
          <w:pgMar w:left="300" w:top="120" w:right="319" w:bottom="1440" w:gutter="0" w:footer="0" w:header="0"/>
          <w:type w:val="continuous"/>
        </w:sectPr>
      </w:pPr>
    </w:p>
    <w:p>
      <w:pPr>
        <w:spacing w:after="0" w:line="29" w:lineRule="exact"/>
        <w:rPr>
          <w:sz w:val="20"/>
          <w:szCs w:val="20"/>
          <w:color w:val="auto"/>
        </w:rPr>
      </w:pPr>
    </w:p>
    <w:p>
      <w:pPr>
        <w:ind w:hanging="48"/>
        <w:spacing w:after="0" w:line="287" w:lineRule="auto"/>
        <w:rPr>
          <w:sz w:val="20"/>
          <w:szCs w:val="20"/>
          <w:color w:val="auto"/>
        </w:rPr>
      </w:pPr>
      <w:r>
        <w:rPr>
          <w:rFonts w:ascii="Times New Roman" w:cs="Times New Roman" w:eastAsia="Times New Roman" w:hAnsi="Times New Roman"/>
          <w:sz w:val="14"/>
          <w:szCs w:val="14"/>
          <w:color w:val="auto"/>
        </w:rPr>
        <w:t>or the three months ended June 30, 2024 and 2023, interest expense related to short-term borrowings amounted to $425 and $484, respectively, and for the six months ended June 30, 2024 and 2023, interest expense related to short-term borrowings amounted to $638 and $974, respectively.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10 – OTHER PAYABLES AND ACCRUED EXPENSES</w:t>
            </w: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1"/>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At June 30, 2024 and December 31, 2023, other payables and accrued expenses consisted of the following:</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6"/>
        </w:trPr>
        <w:tc>
          <w:tcPr>
            <w:tcW w:w="8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4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commissions</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17,814</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15,572</w:t>
            </w:r>
          </w:p>
        </w:tc>
      </w:tr>
      <w:tr>
        <w:trPr>
          <w:trHeight w:val="22"/>
        </w:trPr>
        <w:tc>
          <w:tcPr>
            <w:tcW w:w="8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warranty</w:t>
            </w:r>
          </w:p>
        </w:tc>
        <w:tc>
          <w:tcPr>
            <w:tcW w:w="10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9,834</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payroll</w:t>
            </w:r>
          </w:p>
        </w:tc>
        <w:tc>
          <w:tcPr>
            <w:tcW w:w="10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13,062</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14,840</w:t>
            </w:r>
          </w:p>
        </w:tc>
      </w:tr>
      <w:tr>
        <w:trPr>
          <w:trHeight w:val="22"/>
        </w:trPr>
        <w:tc>
          <w:tcPr>
            <w:tcW w:w="8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0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machine testing fees</w:t>
            </w:r>
          </w:p>
        </w:tc>
        <w:tc>
          <w:tcPr>
            <w:tcW w:w="10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r>
      <w:tr>
        <w:trPr>
          <w:trHeight w:val="22"/>
        </w:trPr>
        <w:tc>
          <w:tcPr>
            <w:tcW w:w="8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machine sales fees</w:t>
            </w:r>
          </w:p>
        </w:tc>
        <w:tc>
          <w:tcPr>
            <w:tcW w:w="10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6,411</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Lingang construction fees</w:t>
            </w:r>
          </w:p>
        </w:tc>
        <w:tc>
          <w:tcPr>
            <w:tcW w:w="10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33,447</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33,729</w:t>
            </w:r>
          </w:p>
        </w:tc>
      </w:tr>
      <w:tr>
        <w:trPr>
          <w:trHeight w:val="22"/>
        </w:trPr>
        <w:tc>
          <w:tcPr>
            <w:tcW w:w="8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10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30,639</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20,508</w:t>
            </w:r>
          </w:p>
        </w:tc>
      </w:tr>
      <w:tr>
        <w:trPr>
          <w:trHeight w:val="203"/>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Borders>
              <w:top w:val="single" w:sz="8" w:color="auto"/>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114,940</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102,951</w:t>
            </w:r>
          </w:p>
        </w:tc>
      </w:tr>
      <w:tr>
        <w:trPr>
          <w:trHeight w:val="20"/>
        </w:trPr>
        <w:tc>
          <w:tcPr>
            <w:tcW w:w="8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Warranties</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provides standard warranties on its products. The liability amount is based on actual historical warranty spending activity by type of product, customer, and geographic region, modified for any known differences such as the impact of product reliability improvements.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Changes in the Company’s accrued warranty were as follows: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2"/>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4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8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9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11,339</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rPr>
              <w:t>9,240</w:t>
            </w:r>
          </w:p>
        </w:tc>
        <w:tc>
          <w:tcPr>
            <w:tcW w:w="320" w:type="dxa"/>
            <w:vAlign w:val="bottom"/>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9,834</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rPr>
              <w:t>8,780</w:t>
            </w:r>
          </w:p>
        </w:tc>
      </w:tr>
      <w:tr>
        <w:trPr>
          <w:trHeight w:val="191"/>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260" w:type="dxa"/>
            <w:vAlign w:val="bottom"/>
          </w:tcPr>
          <w:p>
            <w:pPr>
              <w:spacing w:after="0"/>
              <w:rPr>
                <w:sz w:val="16"/>
                <w:szCs w:val="16"/>
                <w:color w:val="auto"/>
              </w:rPr>
            </w:pPr>
          </w:p>
        </w:tc>
        <w:tc>
          <w:tcPr>
            <w:tcW w:w="8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1,682</w:t>
            </w:r>
          </w:p>
        </w:tc>
        <w:tc>
          <w:tcPr>
            <w:tcW w:w="5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5,098</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2,510</w:t>
            </w:r>
          </w:p>
        </w:tc>
      </w:tr>
      <w:tr>
        <w:trPr>
          <w:trHeight w:val="22"/>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2"/>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Utilized</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(1,743)</w:t>
            </w:r>
          </w:p>
        </w:tc>
        <w:tc>
          <w:tcPr>
            <w:tcW w:w="32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7"/>
              </w:rPr>
              <w:t>(2,111)</w:t>
            </w:r>
          </w:p>
        </w:tc>
      </w:tr>
      <w:tr>
        <w:trPr>
          <w:trHeight w:val="20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center"/>
              <w:ind w:left="369"/>
              <w:spacing w:after="0"/>
              <w:rPr>
                <w:sz w:val="20"/>
                <w:szCs w:val="20"/>
                <w:color w:val="auto"/>
              </w:rPr>
            </w:pPr>
            <w:r>
              <w:rPr>
                <w:rFonts w:ascii="Times New Roman" w:cs="Times New Roman" w:eastAsia="Times New Roman" w:hAnsi="Times New Roman"/>
                <w:sz w:val="14"/>
                <w:szCs w:val="14"/>
                <w:color w:val="auto"/>
              </w:rPr>
              <w:t>9,179</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center"/>
              <w:ind w:left="389"/>
              <w:spacing w:after="0"/>
              <w:rPr>
                <w:sz w:val="20"/>
                <w:szCs w:val="20"/>
                <w:color w:val="auto"/>
              </w:rPr>
            </w:pPr>
            <w:r>
              <w:rPr>
                <w:rFonts w:ascii="Times New Roman" w:cs="Times New Roman" w:eastAsia="Times New Roman" w:hAnsi="Times New Roman"/>
                <w:sz w:val="14"/>
                <w:szCs w:val="14"/>
                <w:color w:val="auto"/>
              </w:rPr>
              <w:t>9,179</w:t>
            </w: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LEASES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leases space under non-cancelable operating leases for several offices and manufacturing locations. These leases do not have significant rent escalation holidays, concessions, leasehold improvement incentives, or other build-out clauses. Further, the leases do not contain contingent rent provisions.</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Most leases include one or more options to renew. The Company regularly evaluates the renewal options, and when they are reasonably certain of exercise, the Company includes the renewal period in its lease term.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expense were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lease cost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Short-term lease cost</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lease cost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25"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22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10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160" w:type="dxa"/>
            <w:vAlign w:val="bottom"/>
          </w:tcPr>
          <w:p>
            <w:pPr>
              <w:spacing w:after="0"/>
              <w:rPr>
                <w:sz w:val="15"/>
                <w:szCs w:val="15"/>
                <w:color w:val="auto"/>
              </w:rPr>
            </w:pPr>
          </w:p>
        </w:tc>
        <w:tc>
          <w:tcPr>
            <w:tcW w:w="9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8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9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2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r>
      <w:tr>
        <w:trPr>
          <w:trHeight w:val="212"/>
        </w:trPr>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2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-443865</wp:posOffset>
            </wp:positionV>
            <wp:extent cx="6205220" cy="141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05220" cy="14160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-167640</wp:posOffset>
            </wp:positionV>
            <wp:extent cx="6205220" cy="154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05220" cy="154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420"/>
          </w:cols>
          <w:pgMar w:left="300" w:top="120" w:right="319" w:bottom="1440" w:gutter="0" w:footer="0" w:header="0"/>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Pr>
          <w:p>
            <w:pPr>
              <w:spacing w:after="0"/>
              <w:rPr>
                <w:sz w:val="16"/>
                <w:szCs w:val="16"/>
                <w:color w:val="auto"/>
              </w:rPr>
            </w:pPr>
          </w:p>
        </w:tc>
        <w:tc>
          <w:tcPr>
            <w:tcW w:w="38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0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20" w:type="dxa"/>
            <w:vAlign w:val="bottom"/>
            <w:tcBorders>
              <w:bottom w:val="single" w:sz="8" w:color="CFF0FC"/>
            </w:tcBorders>
            <w:shd w:val="clear" w:color="auto" w:fill="CFF0FC"/>
          </w:tcPr>
          <w:p>
            <w:pPr>
              <w:jc w:val="right"/>
              <w:ind w:right="349"/>
              <w:spacing w:after="0"/>
              <w:rPr>
                <w:sz w:val="20"/>
                <w:szCs w:val="20"/>
                <w:color w:val="auto"/>
              </w:rPr>
            </w:pPr>
            <w:r>
              <w:rPr>
                <w:rFonts w:ascii="Times New Roman" w:cs="Times New Roman" w:eastAsia="Times New Roman" w:hAnsi="Times New Roman"/>
                <w:sz w:val="14"/>
                <w:szCs w:val="14"/>
                <w:color w:val="auto"/>
              </w:rPr>
              <w:t>Operating cash outflow from operating leases</w:t>
            </w:r>
          </w:p>
        </w:tc>
        <w:tc>
          <w:tcPr>
            <w:tcW w:w="400" w:type="dxa"/>
            <w:vAlign w:val="bottom"/>
            <w:tcBorders>
              <w:bottom w:val="single" w:sz="8" w:color="CFF0FC"/>
            </w:tcBorders>
            <w:shd w:val="clear" w:color="auto" w:fill="CFF0FC"/>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Operating lease right-of-use assets obtained in</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6,592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exchange for new operating lease liabilities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As of June 30, 2024, maturities of outstanding lease liabilities for all operating leases were as follows:</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gridSpan w:val="6"/>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
        </w:trPr>
        <w:tc>
          <w:tcPr>
            <w:tcW w:w="332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remainder of 2024</w:t>
            </w:r>
          </w:p>
        </w:tc>
        <w:tc>
          <w:tcPr>
            <w:tcW w:w="40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gridSpan w:val="2"/>
            <w:shd w:val="clear" w:color="auto" w:fill="CFF0FC"/>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2028 and thereafter</w:t>
            </w:r>
          </w:p>
        </w:tc>
        <w:tc>
          <w:tcPr>
            <w:tcW w:w="4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lease payments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6,820</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Less: Interest</w:t>
            </w:r>
          </w:p>
        </w:tc>
        <w:tc>
          <w:tcPr>
            <w:tcW w:w="40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The weighted average remaining lease terms and discount rates for all operating leases were as follows:</w:t>
            </w: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820" w:type="dxa"/>
            <w:vAlign w:val="bottom"/>
            <w:gridSpan w:val="7"/>
            <w:vMerge w:val="continue"/>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3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24"/>
                <w:szCs w:val="24"/>
                <w:color w:val="auto"/>
              </w:rPr>
            </w:pPr>
          </w:p>
        </w:tc>
        <w:tc>
          <w:tcPr>
            <w:tcW w:w="344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Remaining lease term and discount rate:</w:t>
            </w: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40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gridSpan w:val="2"/>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rPr>
              <w:t>3.29</w:t>
            </w:r>
          </w:p>
        </w:tc>
        <w:tc>
          <w:tcPr>
            <w:tcW w:w="1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3.44</w:t>
            </w: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gridSpan w:val="2"/>
          </w:tcPr>
          <w:p>
            <w:pPr>
              <w:jc w:val="right"/>
              <w:ind w:right="409"/>
              <w:spacing w:after="0"/>
              <w:rPr>
                <w:sz w:val="20"/>
                <w:szCs w:val="20"/>
                <w:color w:val="auto"/>
              </w:rPr>
            </w:pPr>
            <w:r>
              <w:rPr>
                <w:rFonts w:ascii="Times New Roman" w:cs="Times New Roman" w:eastAsia="Times New Roman" w:hAnsi="Times New Roman"/>
                <w:sz w:val="14"/>
                <w:szCs w:val="14"/>
                <w:color w:val="auto"/>
              </w:rPr>
              <w:t>3.84 %</w:t>
            </w:r>
          </w:p>
        </w:tc>
        <w:tc>
          <w:tcPr>
            <w:tcW w:w="1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3.91 %</w:t>
            </w: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2"/>
        </w:trPr>
        <w:tc>
          <w:tcPr>
            <w:tcW w:w="3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23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3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12 – LONG-TERM BORROWINGS</w:t>
            </w: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1"/>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At June 30, 2024 and December 31, 2023, long-term borrowings consisted of the following:</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6"/>
        </w:trPr>
        <w:tc>
          <w:tcPr>
            <w:tcW w:w="67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676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67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from China Merchants Bank</w:t>
            </w: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12,441</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13,362</w:t>
            </w:r>
          </w:p>
        </w:tc>
      </w:tr>
      <w:tr>
        <w:trPr>
          <w:trHeight w:val="19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from Bank of China</w:t>
            </w:r>
          </w:p>
        </w:tc>
        <w:tc>
          <w:tcPr>
            <w:tcW w:w="10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17,370</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w:t>
            </w:r>
          </w:p>
        </w:tc>
      </w:tr>
      <w:tr>
        <w:trPr>
          <w:trHeight w:val="22"/>
        </w:trPr>
        <w:tc>
          <w:tcPr>
            <w:tcW w:w="6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from Bank of Shanghai</w:t>
            </w:r>
          </w:p>
        </w:tc>
        <w:tc>
          <w:tcPr>
            <w:tcW w:w="10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14,040</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14,120</w:t>
            </w:r>
          </w:p>
        </w:tc>
      </w:tr>
      <w:tr>
        <w:trPr>
          <w:trHeight w:val="19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from China CITIC Bank</w:t>
            </w:r>
          </w:p>
        </w:tc>
        <w:tc>
          <w:tcPr>
            <w:tcW w:w="10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28,043</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28,240</w:t>
            </w:r>
          </w:p>
        </w:tc>
      </w:tr>
      <w:tr>
        <w:trPr>
          <w:trHeight w:val="22"/>
        </w:trPr>
        <w:tc>
          <w:tcPr>
            <w:tcW w:w="6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from China Everbright Bank</w:t>
            </w:r>
          </w:p>
        </w:tc>
        <w:tc>
          <w:tcPr>
            <w:tcW w:w="10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18,610</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10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(19,671)</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(6,783)</w:t>
            </w:r>
          </w:p>
        </w:tc>
      </w:tr>
      <w:tr>
        <w:trPr>
          <w:trHeight w:val="22"/>
        </w:trPr>
        <w:tc>
          <w:tcPr>
            <w:tcW w:w="67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70,833</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loan from China Merchants Bank is for the purpose of purchasing housing property in Lingang, Shanghai. The loan is repayable in 120 total installments with the last installment due in November 2030, with an annual interest rate of 3.95%. The loan is pledged by the property of ACM Lingang and guaranteed by ACM Shanghai.</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Two loans from Bank of China are for the purpose of funding ACM Shanghai project expenditures. The first loans bears interest at an annual rate of 2.6% and are repayable in 6 installments, with the last installments due in September 2024.</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second loan from Bank of China is for the purpose of funding ACM Shanghai's general corporate expenses and working capital. The loan bears interest at an annual rate of 2.62% and is payable in 6 installments, with the last installment due in June 2027.</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loan from Bank of Shanghai is for the purpose of funding ACM Shanghai project expenditures. The loan bears interest at an annual rate of 2.85%, and will be fully repaid in April 2025.</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first loan from China CITIC Bank is for the purpose of funding ACM Shanghai project expenditures. The loan bears interest at an annual rate of 3.1% and is repayable in 4 installments, with the last installment due in August 2025.</w:t>
      </w:r>
    </w:p>
    <w:p>
      <w:pPr>
        <w:spacing w:after="0" w:line="124" w:lineRule="exact"/>
        <w:rPr>
          <w:sz w:val="20"/>
          <w:szCs w:val="20"/>
          <w:color w:val="auto"/>
        </w:rPr>
      </w:pPr>
    </w:p>
    <w:p>
      <w:pPr>
        <w:jc w:val="both"/>
        <w:ind w:right="4560"/>
        <w:spacing w:after="0" w:line="270" w:lineRule="auto"/>
        <w:rPr>
          <w:sz w:val="20"/>
          <w:szCs w:val="20"/>
          <w:color w:val="auto"/>
        </w:rPr>
      </w:pPr>
      <w:r>
        <w:rPr>
          <w:rFonts w:ascii="Times New Roman" w:cs="Times New Roman" w:eastAsia="Times New Roman" w:hAnsi="Times New Roman"/>
          <w:sz w:val="14"/>
          <w:szCs w:val="14"/>
          <w:color w:val="auto"/>
        </w:rPr>
        <w:t>The second loan from China CITIC bank is for the purpose of funding ACM's general corporate expenses and working capital. The loan bears interest at an annual rate of 4.50% payable quarterly, and the principal amount is repayable in 4 installments, with the last installment due in December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loan from the China Everbright Bank is for the purpose of funding ACM's general corporate expenses and working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The loan bears interest at an annual floating rate of 2.60% and is payable in 6 installments, with the last installment due in June 2027.</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April 2024, ACM entered into a loan facility with the Agricultural Bank of China for the purpose of funding ACM's general corporate expenses and working capital. As of June 30, 2024, ACM has not made any borrowings from the loan facility.</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2024 and December 31, 2023, the total carrying amount of long-term loans was $90,504 and $60,735, compared with an estimated fair value of $84,672 and $56,462, respectively. The fair value of the long-term loans is estimated by discounting cash flows using interest rates currently available for debts with similar terms and maturities (Level 2 fair value measurement). Refer to Note 2 for an explanation of the fair value hierarchy structure.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0" w:type="dxa"/>
            <w:vAlign w:val="bottom"/>
          </w:tcPr>
          <w:p>
            <w:pPr>
              <w:jc w:val="center"/>
              <w:ind w:left="1409"/>
              <w:spacing w:after="0"/>
              <w:rPr>
                <w:sz w:val="20"/>
                <w:szCs w:val="20"/>
                <w:color w:val="auto"/>
              </w:rPr>
            </w:pPr>
            <w:r>
              <w:rPr>
                <w:rFonts w:ascii="Times New Roman" w:cs="Times New Roman" w:eastAsia="Times New Roman" w:hAnsi="Times New Roman"/>
                <w:sz w:val="14"/>
                <w:szCs w:val="14"/>
                <w:b w:val="1"/>
                <w:bCs w:val="1"/>
                <w:color w:val="auto"/>
              </w:rPr>
              <w:t>ACM RESEARCH, INC.</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9800" w:type="dxa"/>
            <w:vAlign w:val="bottom"/>
          </w:tcPr>
          <w:p>
            <w:pPr>
              <w:jc w:val="center"/>
              <w:ind w:left="140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6"/>
        </w:trPr>
        <w:tc>
          <w:tcPr>
            <w:tcW w:w="9800" w:type="dxa"/>
            <w:vAlign w:val="bottom"/>
          </w:tcPr>
          <w:p>
            <w:pPr>
              <w:jc w:val="center"/>
              <w:ind w:left="1409"/>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838"/>
        </w:trPr>
        <w:tc>
          <w:tcPr>
            <w:tcW w:w="9800" w:type="dxa"/>
            <w:vAlign w:val="bottom"/>
          </w:tcPr>
          <w:p>
            <w:pPr>
              <w:spacing w:after="0"/>
              <w:rPr>
                <w:sz w:val="20"/>
                <w:szCs w:val="20"/>
                <w:color w:val="auto"/>
              </w:rPr>
            </w:pPr>
            <w:r>
              <w:rPr>
                <w:rFonts w:ascii="Times New Roman" w:cs="Times New Roman" w:eastAsia="Times New Roman" w:hAnsi="Times New Roman"/>
                <w:sz w:val="14"/>
                <w:szCs w:val="14"/>
                <w:color w:val="auto"/>
              </w:rPr>
              <w:t>Scheduled principal payments for the outstanding long-term loan, including the current portion, as of June 30, 2024 are as follows: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2"/>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
        </w:trPr>
        <w:tc>
          <w:tcPr>
            <w:tcW w:w="9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9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remainder of 2024</w:t>
            </w:r>
          </w:p>
        </w:tc>
        <w:tc>
          <w:tcPr>
            <w:tcW w:w="560" w:type="dxa"/>
            <w:vAlign w:val="bottom"/>
            <w:tcBorders>
              <w:bottom w:val="single" w:sz="8" w:color="CFF0FC"/>
            </w:tcBorders>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4,690</w:t>
            </w:r>
          </w:p>
        </w:tc>
      </w:tr>
      <w:tr>
        <w:trPr>
          <w:trHeight w:val="191"/>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43,952</w:t>
            </w:r>
          </w:p>
        </w:tc>
      </w:tr>
      <w:tr>
        <w:trPr>
          <w:trHeight w:val="22"/>
        </w:trPr>
        <w:tc>
          <w:tcPr>
            <w:tcW w:w="9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9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1,989</w:t>
            </w:r>
          </w:p>
        </w:tc>
      </w:tr>
      <w:tr>
        <w:trPr>
          <w:trHeight w:val="191"/>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33,829</w:t>
            </w:r>
          </w:p>
        </w:tc>
      </w:tr>
      <w:tr>
        <w:trPr>
          <w:trHeight w:val="22"/>
        </w:trPr>
        <w:tc>
          <w:tcPr>
            <w:tcW w:w="9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9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1,994</w:t>
            </w:r>
          </w:p>
        </w:tc>
      </w:tr>
      <w:tr>
        <w:trPr>
          <w:trHeight w:val="191"/>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w:t>
            </w:r>
          </w:p>
        </w:tc>
      </w:tr>
      <w:tr>
        <w:trPr>
          <w:trHeight w:val="22"/>
        </w:trPr>
        <w:tc>
          <w:tcPr>
            <w:tcW w:w="98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98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90,504</w:t>
            </w:r>
          </w:p>
        </w:tc>
      </w:tr>
      <w:tr>
        <w:trPr>
          <w:trHeight w:val="20"/>
        </w:trPr>
        <w:tc>
          <w:tcPr>
            <w:tcW w:w="98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months ended June 30, 2024 and 2023, respectively, interest related to long-term borrowings of $507 and $181 was incurred and all of them were charged to interest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six months ended June 30, 2024 and 2023, respectively, interest related to long-term borrowings of $1,077 and $370 was incurred, and all of them were charged to interest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OTHER LONG-TERM LIABILITIES</w:t>
      </w:r>
    </w:p>
    <w:p>
      <w:pPr>
        <w:spacing w:after="0" w:line="202"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Other long-term liabilities represent government subsidies received from mainland China governmental authorities for development and commercialization of certain technology but not yet recognized. At June 30, 2024 and December 31, 2023, other long-term liabilities consisted of the following unearned government subsidies: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Subsidies commenced in 2020 and prior</w:t>
            </w:r>
          </w:p>
        </w:tc>
        <w:tc>
          <w:tcPr>
            <w:tcW w:w="1200" w:type="dxa"/>
            <w:vAlign w:val="bottom"/>
            <w:tcBorders>
              <w:bottom w:val="single" w:sz="8" w:color="CCEEFF"/>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Subsidies to SW Lingang R&amp;D development commenced in 2021</w:t>
            </w:r>
          </w:p>
        </w:tc>
        <w:tc>
          <w:tcPr>
            <w:tcW w:w="1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w:t>
            </w:r>
          </w:p>
        </w:tc>
      </w:tr>
      <w:tr>
        <w:trPr>
          <w:trHeight w:val="22"/>
        </w:trPr>
        <w:tc>
          <w:tcPr>
            <w:tcW w:w="7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2"/>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r>
      <w:tr>
        <w:trPr>
          <w:trHeight w:val="20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top w:val="single" w:sz="8" w:color="auto"/>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5,873</w:t>
            </w:r>
          </w:p>
        </w:tc>
      </w:tr>
      <w:tr>
        <w:trPr>
          <w:trHeight w:val="20"/>
        </w:trPr>
        <w:tc>
          <w:tcPr>
            <w:tcW w:w="7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LONG-TERM INVESTMENTS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January 12, 2024, ACM Shanghai entered into an investment agreement with Company C to invest RMB 12,500 ($1,760), which represented 5.0% of the Company C's total equity interest. Since there is no readily determinable fair value, the Company measures the investments at measurement alternative.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19, 2024, ACM Shanghai entered into a limited partnership agreement with Company D to invest RMB 30,000 ($4,230), which represented 16.7% of the partnership's total equity interest.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investment in the limited partnership with Company D is accounted for under the equity method in accordance with ASC323-30-S99-1.</w:t>
      </w:r>
    </w:p>
    <w:p>
      <w:pPr>
        <w:spacing w:after="0" w:line="168"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4"/>
          <w:szCs w:val="14"/>
          <w:color w:val="auto"/>
        </w:rPr>
        <w:t>On January 22, 2024, ACM Shanghai entered into an investment agreement with Company E to invest RMB 10,000 ($1,403</w:t>
      </w:r>
      <w:r>
        <w:rPr>
          <w:rFonts w:ascii="Arial" w:cs="Arial" w:eastAsia="Arial" w:hAnsi="Arial"/>
          <w:sz w:val="16"/>
          <w:szCs w:val="16"/>
          <w:color w:val="auto"/>
        </w:rPr>
        <w:t>)</w:t>
      </w:r>
      <w:r>
        <w:rPr>
          <w:rFonts w:ascii="Times New Roman" w:cs="Times New Roman" w:eastAsia="Times New Roman" w:hAnsi="Times New Roman"/>
          <w:sz w:val="14"/>
          <w:szCs w:val="14"/>
          <w:color w:val="auto"/>
        </w:rPr>
        <w:t xml:space="preserve"> which represented 0.6% of the Company E's total equity interest. The transaction was closed in April 2024. Since there is no readily determinable fair value, the Company measures the investments at measurement alternative.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Equity investee: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25"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Percent ownership by ACM</w:t>
      </w:r>
    </w:p>
    <w:p>
      <w:pPr>
        <w:spacing w:after="0" w:line="25" w:lineRule="exact"/>
        <w:rPr>
          <w:sz w:val="20"/>
          <w:szCs w:val="20"/>
          <w:color w:val="auto"/>
        </w:rPr>
      </w:pPr>
    </w:p>
    <w:p>
      <w:pPr>
        <w:ind w:left="140"/>
        <w:spacing w:after="0"/>
        <w:tabs>
          <w:tab w:leader="none" w:pos="2220" w:val="left"/>
          <w:tab w:leader="none" w:pos="4200" w:val="left"/>
          <w:tab w:leader="none" w:pos="5660" w:val="left"/>
        </w:tabs>
        <w:rPr>
          <w:sz w:val="20"/>
          <w:szCs w:val="20"/>
          <w:color w:val="auto"/>
        </w:rPr>
      </w:pPr>
      <w:r>
        <w:rPr>
          <w:rFonts w:ascii="Times New Roman" w:cs="Times New Roman" w:eastAsia="Times New Roman" w:hAnsi="Times New Roman"/>
          <w:sz w:val="14"/>
          <w:szCs w:val="14"/>
          <w:b w:val="1"/>
          <w:bCs w:val="1"/>
          <w:color w:val="auto"/>
        </w:rPr>
        <w:t>Initial investment dates</w:t>
      </w:r>
      <w:r>
        <w:rPr>
          <w:sz w:val="20"/>
          <w:szCs w:val="20"/>
          <w:color w:val="auto"/>
        </w:rPr>
        <w:tab/>
      </w:r>
      <w:r>
        <w:rPr>
          <w:rFonts w:ascii="Times New Roman" w:cs="Times New Roman" w:eastAsia="Times New Roman" w:hAnsi="Times New Roman"/>
          <w:sz w:val="14"/>
          <w:szCs w:val="14"/>
          <w:b w:val="1"/>
          <w:bCs w:val="1"/>
          <w:color w:val="auto"/>
        </w:rPr>
        <w:t>Investment entity</w:t>
      </w:r>
      <w:r>
        <w:rPr>
          <w:sz w:val="20"/>
          <w:szCs w:val="20"/>
          <w:color w:val="auto"/>
        </w:rPr>
        <w:tab/>
      </w:r>
      <w:r>
        <w:rPr>
          <w:rFonts w:ascii="Times New Roman" w:cs="Times New Roman" w:eastAsia="Times New Roman" w:hAnsi="Times New Roman"/>
          <w:sz w:val="14"/>
          <w:szCs w:val="14"/>
          <w:b w:val="1"/>
          <w:bCs w:val="1"/>
          <w:color w:val="auto"/>
        </w:rPr>
        <w:t>and subsidiaries</w:t>
      </w:r>
      <w:r>
        <w:rPr>
          <w:sz w:val="20"/>
          <w:szCs w:val="20"/>
          <w:color w:val="auto"/>
        </w:rPr>
        <w:tab/>
      </w:r>
      <w:r>
        <w:rPr>
          <w:rFonts w:ascii="Times New Roman" w:cs="Times New Roman" w:eastAsia="Times New Roman" w:hAnsi="Times New Roman"/>
          <w:sz w:val="14"/>
          <w:szCs w:val="14"/>
          <w:b w:val="1"/>
          <w:bCs w:val="1"/>
          <w:color w:val="auto"/>
        </w:rPr>
        <w:t>Investment purchase price</w:t>
      </w:r>
    </w:p>
    <w:p>
      <w:pPr>
        <w:spacing w:after="0" w:line="10" w:lineRule="exact"/>
        <w:rPr>
          <w:sz w:val="20"/>
          <w:szCs w:val="20"/>
          <w:color w:val="auto"/>
        </w:rPr>
      </w:pPr>
    </w:p>
    <w:p>
      <w:pPr>
        <w:sectPr>
          <w:pgSz w:w="11900" w:h="16838" w:orient="portrait"/>
          <w:cols w:equalWidth="0" w:num="2">
            <w:col w:w="3140" w:space="720"/>
            <w:col w:w="7420"/>
          </w:cols>
          <w:pgMar w:left="300" w:top="120" w:right="319" w:bottom="1440" w:gutter="0" w:footer="0" w:header="0"/>
        </w:sectPr>
      </w:pPr>
    </w:p>
    <w:tbl>
      <w:tblPr>
        <w:tblLayout w:type="fixed"/>
        <w:tblInd w:w="0" w:type="dxa"/>
        <w:tblCellMar>
          <w:top w:w="0" w:type="dxa"/>
          <w:left w:w="0" w:type="dxa"/>
          <w:bottom w:w="0" w:type="dxa"/>
          <w:right w:w="0" w:type="dxa"/>
        </w:tblCellMar>
      </w:tblPr>
      <w:tr>
        <w:trPr>
          <w:trHeight w:val="203"/>
        </w:trPr>
        <w:tc>
          <w:tcPr>
            <w:tcW w:w="40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Ninebell Co., Ltd. ("Ninebell")</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2017</w:t>
            </w:r>
          </w:p>
        </w:tc>
        <w:tc>
          <w:tcPr>
            <w:tcW w:w="2760" w:type="dxa"/>
            <w:vAlign w:val="bottom"/>
            <w:tcBorders>
              <w:top w:val="single" w:sz="8" w:color="auto"/>
              <w:bottom w:val="single" w:sz="8" w:color="CCEEFF"/>
            </w:tcBorders>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color w:val="auto"/>
              </w:rPr>
              <w:t>ACM</w:t>
            </w:r>
          </w:p>
        </w:tc>
        <w:tc>
          <w:tcPr>
            <w:tcW w:w="1080" w:type="dxa"/>
            <w:vAlign w:val="bottom"/>
            <w:tcBorders>
              <w:top w:val="single" w:sz="8" w:color="auto"/>
              <w:bottom w:val="single" w:sz="8" w:color="CCEEFF"/>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20.0%</w:t>
            </w:r>
          </w:p>
        </w:tc>
        <w:tc>
          <w:tcPr>
            <w:tcW w:w="48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Wooil Flucon Co. ("Wooil")</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2022</w:t>
            </w:r>
          </w:p>
        </w:tc>
        <w:tc>
          <w:tcPr>
            <w:tcW w:w="276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w w:val="99"/>
              </w:rPr>
              <w:t>ACM Singapore</w:t>
            </w:r>
          </w:p>
        </w:tc>
        <w:tc>
          <w:tcPr>
            <w:tcW w:w="10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20.0%</w:t>
            </w: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Hefei Shixi Chanheng Integrated Circuit Industry Venture Capital</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2019</w:t>
            </w:r>
          </w:p>
        </w:tc>
        <w:tc>
          <w:tcPr>
            <w:tcW w:w="2760" w:type="dxa"/>
            <w:vAlign w:val="bottom"/>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color w:val="auto"/>
              </w:rPr>
              <w:t>ACM Shanghai</w:t>
            </w:r>
          </w:p>
        </w:tc>
        <w:tc>
          <w:tcPr>
            <w:tcW w:w="108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9"/>
              </w:rPr>
              <w:t>10.0%</w:t>
            </w: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 30,000 ($4,200)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FundPartnership (LP) (“Hefei Shixi”)</w:t>
            </w:r>
          </w:p>
        </w:tc>
        <w:tc>
          <w:tcPr>
            <w:tcW w:w="138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Shengyi Semiconductor Technology Co., Ltd. ("Shengyi")</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2019</w:t>
            </w:r>
          </w:p>
        </w:tc>
        <w:tc>
          <w:tcPr>
            <w:tcW w:w="276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ACM Shanghai</w:t>
            </w:r>
          </w:p>
        </w:tc>
        <w:tc>
          <w:tcPr>
            <w:tcW w:w="10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14.0%</w:t>
            </w: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D</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February 2024</w:t>
            </w:r>
          </w:p>
        </w:tc>
        <w:tc>
          <w:tcPr>
            <w:tcW w:w="2760" w:type="dxa"/>
            <w:vAlign w:val="bottom"/>
            <w:tcBorders>
              <w:bottom w:val="single" w:sz="8" w:color="CCEEFF"/>
            </w:tcBorders>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color w:val="auto"/>
              </w:rPr>
              <w:t>ACM Shanghai</w:t>
            </w:r>
          </w:p>
        </w:tc>
        <w:tc>
          <w:tcPr>
            <w:tcW w:w="1080" w:type="dxa"/>
            <w:vAlign w:val="bottom"/>
            <w:tcBorders>
              <w:bottom w:val="single" w:sz="8" w:color="CCEEFF"/>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9"/>
              </w:rPr>
              <w:t>16.7%</w:t>
            </w:r>
          </w:p>
        </w:tc>
        <w:tc>
          <w:tcPr>
            <w:tcW w:w="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 30,000 ($4,230)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Investments accounted for using measurement alternative:</w:t>
            </w:r>
          </w:p>
        </w:tc>
        <w:tc>
          <w:tcPr>
            <w:tcW w:w="1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Waferworks (Shanghai) Co., Ltd. (“Waferworks”)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October 2021</w:t>
            </w:r>
          </w:p>
        </w:tc>
        <w:tc>
          <w:tcPr>
            <w:tcW w:w="2760" w:type="dxa"/>
            <w:vAlign w:val="bottom"/>
            <w:tcBorders>
              <w:bottom w:val="single" w:sz="8" w:color="CCEEFF"/>
            </w:tcBorders>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color w:val="auto"/>
              </w:rPr>
              <w:t>ACM Shanghai</w:t>
            </w:r>
          </w:p>
        </w:tc>
        <w:tc>
          <w:tcPr>
            <w:tcW w:w="1080" w:type="dxa"/>
            <w:vAlign w:val="bottom"/>
            <w:tcBorders>
              <w:bottom w:val="single" w:sz="8" w:color="CCEEFF"/>
            </w:tcBorders>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rPr>
              <w:t>0.3%</w:t>
            </w:r>
          </w:p>
        </w:tc>
        <w:tc>
          <w:tcPr>
            <w:tcW w:w="4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Shengyi</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2023</w:t>
            </w:r>
          </w:p>
        </w:tc>
        <w:tc>
          <w:tcPr>
            <w:tcW w:w="276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ACM Shanghai</w:t>
            </w:r>
          </w:p>
        </w:tc>
        <w:tc>
          <w:tcPr>
            <w:tcW w:w="10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RMB 6,100 ($860)</w:t>
            </w: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A</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2023</w:t>
            </w:r>
          </w:p>
        </w:tc>
        <w:tc>
          <w:tcPr>
            <w:tcW w:w="2760" w:type="dxa"/>
            <w:vAlign w:val="bottom"/>
            <w:tcBorders>
              <w:bottom w:val="single" w:sz="8" w:color="CCEEFF"/>
            </w:tcBorders>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color w:val="auto"/>
              </w:rPr>
              <w:t>ACM Shanghai</w:t>
            </w:r>
          </w:p>
        </w:tc>
        <w:tc>
          <w:tcPr>
            <w:tcW w:w="1080" w:type="dxa"/>
            <w:vAlign w:val="bottom"/>
            <w:tcBorders>
              <w:bottom w:val="single" w:sz="8" w:color="CCEEFF"/>
            </w:tcBorders>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rPr>
              <w:t>4.4%</w:t>
            </w:r>
          </w:p>
        </w:tc>
        <w:tc>
          <w:tcPr>
            <w:tcW w:w="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 30,000 ($4,200)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B</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2023</w:t>
            </w:r>
          </w:p>
        </w:tc>
        <w:tc>
          <w:tcPr>
            <w:tcW w:w="276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ACM Shanghai</w:t>
            </w:r>
          </w:p>
        </w:tc>
        <w:tc>
          <w:tcPr>
            <w:tcW w:w="10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1.4%</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RMB 6,600 ($930)</w:t>
            </w: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C</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February 2024</w:t>
            </w:r>
          </w:p>
        </w:tc>
        <w:tc>
          <w:tcPr>
            <w:tcW w:w="2760" w:type="dxa"/>
            <w:vAlign w:val="bottom"/>
            <w:tcBorders>
              <w:bottom w:val="single" w:sz="8" w:color="CCEEFF"/>
            </w:tcBorders>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color w:val="auto"/>
              </w:rPr>
              <w:t>ACM Shanghai</w:t>
            </w:r>
          </w:p>
        </w:tc>
        <w:tc>
          <w:tcPr>
            <w:tcW w:w="1080" w:type="dxa"/>
            <w:vAlign w:val="bottom"/>
            <w:tcBorders>
              <w:bottom w:val="single" w:sz="8" w:color="CCEEFF"/>
            </w:tcBorders>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rPr>
              <w:t>5.0%</w:t>
            </w:r>
          </w:p>
        </w:tc>
        <w:tc>
          <w:tcPr>
            <w:tcW w:w="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 12,500 ($1,760)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2024</w:t>
            </w:r>
          </w:p>
        </w:tc>
        <w:tc>
          <w:tcPr>
            <w:tcW w:w="276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ACM Shanghai</w:t>
            </w:r>
          </w:p>
        </w:tc>
        <w:tc>
          <w:tcPr>
            <w:tcW w:w="10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0.6%</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RMB 10,000 ($1,403)</w:t>
            </w: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8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Equity investee:</w:t>
            </w:r>
          </w:p>
        </w:tc>
        <w:tc>
          <w:tcPr>
            <w:tcW w:w="1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Ninebell</w:t>
            </w:r>
          </w:p>
        </w:tc>
        <w:tc>
          <w:tcPr>
            <w:tcW w:w="1380" w:type="dxa"/>
            <w:vAlign w:val="bottom"/>
            <w:tcBorders>
              <w:bottom w:val="single" w:sz="8" w:color="CCEEFF"/>
            </w:tcBorders>
            <w:shd w:val="clear" w:color="auto" w:fill="CCEEFF"/>
          </w:tcPr>
          <w:p>
            <w:pPr>
              <w:spacing w:after="0"/>
              <w:rPr>
                <w:sz w:val="15"/>
                <w:szCs w:val="15"/>
                <w:color w:val="auto"/>
              </w:rPr>
            </w:pPr>
          </w:p>
        </w:tc>
        <w:tc>
          <w:tcPr>
            <w:tcW w:w="27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Wooil</w:t>
            </w:r>
          </w:p>
        </w:tc>
        <w:tc>
          <w:tcPr>
            <w:tcW w:w="1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Shengyi</w:t>
            </w:r>
          </w:p>
        </w:tc>
        <w:tc>
          <w:tcPr>
            <w:tcW w:w="138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Hefei Shixi</w:t>
            </w:r>
          </w:p>
        </w:tc>
        <w:tc>
          <w:tcPr>
            <w:tcW w:w="1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6,469</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D</w:t>
            </w:r>
          </w:p>
        </w:tc>
        <w:tc>
          <w:tcPr>
            <w:tcW w:w="138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w:t>
            </w: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3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19,833</w:t>
            </w: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00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rPr>
              <w:t>Investments accounted for using measurement alternative:</w:t>
            </w:r>
          </w:p>
        </w:tc>
        <w:tc>
          <w:tcPr>
            <w:tcW w:w="1380" w:type="dxa"/>
            <w:vAlign w:val="bottom"/>
            <w:tcBorders>
              <w:bottom w:val="single" w:sz="8" w:color="CCEEFF"/>
            </w:tcBorders>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Waferworks</w:t>
            </w:r>
          </w:p>
        </w:tc>
        <w:tc>
          <w:tcPr>
            <w:tcW w:w="1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Shengyi</w:t>
            </w:r>
          </w:p>
        </w:tc>
        <w:tc>
          <w:tcPr>
            <w:tcW w:w="138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A</w:t>
            </w:r>
          </w:p>
        </w:tc>
        <w:tc>
          <w:tcPr>
            <w:tcW w:w="1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4,209</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B</w:t>
            </w:r>
          </w:p>
        </w:tc>
        <w:tc>
          <w:tcPr>
            <w:tcW w:w="138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C</w:t>
            </w:r>
          </w:p>
        </w:tc>
        <w:tc>
          <w:tcPr>
            <w:tcW w:w="1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8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E</w:t>
            </w:r>
          </w:p>
        </w:tc>
        <w:tc>
          <w:tcPr>
            <w:tcW w:w="138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Subtotal measurement alternative</w:t>
            </w:r>
          </w:p>
        </w:tc>
        <w:tc>
          <w:tcPr>
            <w:tcW w:w="1380" w:type="dxa"/>
            <w:vAlign w:val="bottom"/>
            <w:tcBorders>
              <w:bottom w:val="single" w:sz="8" w:color="CCEEFF"/>
            </w:tcBorders>
            <w:shd w:val="clear" w:color="auto" w:fill="CCEEFF"/>
          </w:tcPr>
          <w:p>
            <w:pPr>
              <w:spacing w:after="0"/>
              <w:rPr>
                <w:sz w:val="17"/>
                <w:szCs w:val="17"/>
                <w:color w:val="auto"/>
              </w:rPr>
            </w:pPr>
          </w:p>
        </w:tc>
        <w:tc>
          <w:tcPr>
            <w:tcW w:w="27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12,065</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31,898</w:t>
            </w: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27,880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vMerge w:val="restart"/>
          </w:tcPr>
          <w:p>
            <w:pPr>
              <w:jc w:val="right"/>
              <w:ind w:right="2349"/>
              <w:spacing w:after="0"/>
              <w:rPr>
                <w:sz w:val="20"/>
                <w:szCs w:val="20"/>
                <w:color w:val="auto"/>
              </w:rPr>
            </w:pPr>
            <w:r>
              <w:rPr>
                <w:rFonts w:ascii="Times New Roman" w:cs="Times New Roman" w:eastAsia="Times New Roman" w:hAnsi="Times New Roman"/>
                <w:sz w:val="14"/>
                <w:szCs w:val="14"/>
                <w:color w:val="auto"/>
              </w:rPr>
              <w:t>26</w:t>
            </w: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For the three months ended June 30, 2024 and 2023, the Company’s share of equity investees’ net income (loss) was $(695) and $3,920, respectively, and $(1,215) and $3,888 for the six months ended June 30, 2024 and 2023, respectively, which amounts were included in loss from equity method investments in the accompanying condensed consolidated statements of comprehensive income</w:t>
      </w:r>
    </w:p>
    <w:p>
      <w:pPr>
        <w:spacing w:after="0" w:line="1"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(loss). For the three months ended June 30, 2024 and 2023, the Company received $0 and $5,095 dividends from equity investee. For the six months ended June 30, 2024 and 2023, the Company received $600 and $5,095 dividends from equity investee.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SHORT-TERM INVESTMENTS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Pursuant to an Agreement entered into on September 19, 2022 (the ‘‘Agreement’’), ACM Shanghai became a limited partner of the Nuode Asset Fund Pujiang No. 783 Single Asset Management Plan (‘‘Nuode Asset Fund’’), a Chinese limited partnership formed by Nuode Asset Management Co., Ltd, a financial services firm based in Shanghai, China. Nuode Asset Fund was formed to establish a special fund with the purpose to participate in certain technology related investments in mainland China. Subsequent to the future purchase, any investment will be held by Nuode Asset Fund and restricted for a minimum period of nine months. The limited partners of the Nuode Asset Fund contributed a total RMB 160 million ($22,160) to the fund, of which ACM Shanghai contributed RMB 30 million ($4,196), or 18.75% of the contribution on September 27, 2022.</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December 2022, the Nuode Asset Fund purchased shares in the secondary stock offering of a publicly traded mainland China-stock listing. The number of shares owned by Nuode Asset Fund was apportioned to all of the limited partners in proportion to their respective capital contributions which is 18.75% in the case of ACM Shanghai. The investments were fully disposed during the six months ended June 30, 2024. The Company has not received the proceeds and a receivable of RMB 22,478 ($3,167) was recorded as of June 30, 2024.</w:t>
      </w:r>
    </w:p>
    <w:p>
      <w:pPr>
        <w:jc w:val="both"/>
        <w:spacing w:after="0" w:line="266" w:lineRule="auto"/>
        <w:rPr>
          <w:sz w:val="20"/>
          <w:szCs w:val="20"/>
          <w:color w:val="auto"/>
        </w:rPr>
      </w:pPr>
      <w:r>
        <w:rPr>
          <w:rFonts w:ascii="Times New Roman" w:cs="Times New Roman" w:eastAsia="Times New Roman" w:hAnsi="Times New Roman"/>
          <w:sz w:val="14"/>
          <w:szCs w:val="14"/>
          <w:color w:val="auto"/>
        </w:rPr>
        <w:t>Pursuant to a Share Purchase Agreement dated June 2023, ACM Shanghai acquired shares of Huahong Semiconductor Limited (“Huahong”) in July 2023 with amount of RMB 100 million ($13,930). The shares held by ACM Shanghai are restricted for sale for a minimum period of twelve months. Huahong completed its STAR IPO in August 2023.</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a Share Purchase Agreement dated August 2023, ACM Shanghai acquired shares of Zhongjuxin Limited Company (“Zhongjuxin”) in September 2023 with amount of RMB 30 million ($4,179). The shares held by ACM Shanghai are restricted for sale for a minimum period of twelve months. Zhongjuxin completed its STAR IPO in September 2023.</w:t>
      </w:r>
    </w:p>
    <w:p>
      <w:pPr>
        <w:spacing w:after="0" w:line="1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Pursuant to a Share Purchase Agreement dated January 2024, ACM Shanghai acquired shares of Shanghai Syncrystalline Silicon Materials Co., Ltd. (“Syncrystalline”) in February 2024 with amount of RMB 10 million ($1,409). The shares held by ACM Shanghai are restricted for sale for a minimum period of twelve months. Syncrystalline completed its STAR IPO in February 2024. As of June 30, 2024, the Company's total investment costs in Syncrystalline were RMB 20,000 ($2,818), including RMB 10 million ($1,409) invested by ACM Shanghai in 2021 and RMB 10 million ($1,409) invested by ACM Shanghai in February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2024 and December 31, 2023, the components of short-term investments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108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4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 listed in Shanghai Stock Exchange</w:t>
            </w:r>
          </w:p>
        </w:tc>
        <w:tc>
          <w:tcPr>
            <w:tcW w:w="10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r>
      <w:tr>
        <w:trPr>
          <w:trHeight w:val="191"/>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Cost</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21,045</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20,155</w:t>
            </w:r>
          </w:p>
        </w:tc>
      </w:tr>
      <w:tr>
        <w:trPr>
          <w:trHeight w:val="22"/>
        </w:trPr>
        <w:tc>
          <w:tcPr>
            <w:tcW w:w="8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1"/>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value</w:t>
            </w: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19,597</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21,312</w:t>
            </w:r>
          </w:p>
        </w:tc>
      </w:tr>
      <w:tr>
        <w:trPr>
          <w:trHeight w:val="22"/>
        </w:trPr>
        <w:tc>
          <w:tcPr>
            <w:tcW w:w="8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and six months ended June 30, 2024 and 2023, the net gains (losses) recognized on equity securities were as follows: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ectPr>
          <w:pgSz w:w="11900" w:h="16838" w:orient="portrait"/>
          <w:cols w:equalWidth="0" w:num="1">
            <w:col w:w="11280"/>
          </w:cols>
          <w:pgMar w:left="300" w:top="12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29845</wp:posOffset>
            </wp:positionV>
            <wp:extent cx="175831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58315" cy="6985"/>
                    </a:xfrm>
                    <a:prstGeom prst="rect">
                      <a:avLst/>
                    </a:prstGeom>
                    <a:noFill/>
                  </pic:spPr>
                </pic:pic>
              </a:graphicData>
            </a:graphic>
          </wp:anchor>
        </w:drawing>
      </w:r>
    </w:p>
    <w:p>
      <w:pPr>
        <w:spacing w:after="0" w:line="42" w:lineRule="exact"/>
        <w:rPr>
          <w:sz w:val="20"/>
          <w:szCs w:val="20"/>
          <w:color w:val="auto"/>
        </w:rPr>
      </w:pPr>
    </w:p>
    <w:p>
      <w:pPr>
        <w:ind w:left="6200"/>
        <w:spacing w:after="0"/>
        <w:tabs>
          <w:tab w:leader="none" w:pos="75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29845</wp:posOffset>
            </wp:positionV>
            <wp:extent cx="163068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30680" cy="6985"/>
                    </a:xfrm>
                    <a:prstGeom prst="rect">
                      <a:avLst/>
                    </a:prstGeom>
                    <a:noFill/>
                  </pic:spPr>
                </pic:pic>
              </a:graphicData>
            </a:graphic>
          </wp:anchor>
        </w:drawing>
      </w:r>
    </w:p>
    <w:p>
      <w:pPr>
        <w:spacing w:after="0" w:line="4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7" w:lineRule="exact"/>
        <w:rPr>
          <w:sz w:val="20"/>
          <w:szCs w:val="20"/>
          <w:color w:val="auto"/>
        </w:rPr>
      </w:pPr>
    </w:p>
    <w:p>
      <w:pPr>
        <w:sectPr>
          <w:pgSz w:w="11900" w:h="16838" w:orient="portrait"/>
          <w:cols w:equalWidth="0" w:num="2">
            <w:col w:w="8180" w:space="720"/>
            <w:col w:w="2380"/>
          </w:cols>
          <w:pgMar w:left="300" w:top="120" w:right="31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recognized during the reporting period on short-term investment still held</w:t>
            </w:r>
          </w:p>
        </w:tc>
        <w:tc>
          <w:tcPr>
            <w:tcW w:w="60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48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center"/>
              <w:ind w:left="309"/>
              <w:spacing w:after="0"/>
              <w:rPr>
                <w:sz w:val="20"/>
                <w:szCs w:val="20"/>
                <w:color w:val="auto"/>
              </w:rPr>
            </w:pPr>
            <w:r>
              <w:rPr>
                <w:rFonts w:ascii="Times New Roman" w:cs="Times New Roman" w:eastAsia="Times New Roman" w:hAnsi="Times New Roman"/>
                <w:sz w:val="14"/>
                <w:szCs w:val="14"/>
                <w:color w:val="auto"/>
                <w:w w:val="97"/>
              </w:rPr>
              <w:t>(2,455)</w:t>
            </w:r>
          </w:p>
        </w:tc>
        <w:tc>
          <w:tcPr>
            <w:tcW w:w="100" w:type="dxa"/>
            <w:vAlign w:val="bottom"/>
          </w:tcPr>
          <w:p>
            <w:pPr>
              <w:spacing w:after="0"/>
              <w:rPr>
                <w:sz w:val="15"/>
                <w:szCs w:val="15"/>
                <w:color w:val="auto"/>
              </w:rPr>
            </w:pPr>
          </w:p>
        </w:tc>
        <w:tc>
          <w:tcPr>
            <w:tcW w:w="4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4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color w:val="auto"/>
              </w:rPr>
              <w:t>(3,109)</w:t>
            </w:r>
          </w:p>
        </w:tc>
      </w:tr>
      <w:tr>
        <w:trPr>
          <w:trHeight w:val="184"/>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 June 30</w:t>
            </w: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
        </w:trPr>
        <w:tc>
          <w:tcPr>
            <w:tcW w:w="5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2"/>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recognized during the period on short-term sold during the period</w:t>
            </w: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w w:val="95"/>
              </w:rPr>
              <w:t>3,919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rPr>
              <w:t>7,913</w:t>
            </w:r>
          </w:p>
        </w:tc>
      </w:tr>
      <w:tr>
        <w:trPr>
          <w:trHeight w:val="181"/>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gain (loss) recognized at June 30 on short-term investment</w:t>
            </w:r>
          </w:p>
        </w:tc>
        <w:tc>
          <w:tcPr>
            <w:tcW w:w="60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48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color w:val="auto"/>
                <w:w w:val="95"/>
              </w:rPr>
              <w:t>1,464</w:t>
            </w:r>
          </w:p>
        </w:tc>
        <w:tc>
          <w:tcPr>
            <w:tcW w:w="100" w:type="dxa"/>
            <w:vAlign w:val="bottom"/>
          </w:tcPr>
          <w:p>
            <w:pPr>
              <w:spacing w:after="0"/>
              <w:rPr>
                <w:sz w:val="15"/>
                <w:szCs w:val="15"/>
                <w:color w:val="auto"/>
              </w:rPr>
            </w:pPr>
          </w:p>
        </w:tc>
        <w:tc>
          <w:tcPr>
            <w:tcW w:w="4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4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center"/>
              <w:ind w:left="309"/>
              <w:spacing w:after="0"/>
              <w:rPr>
                <w:sz w:val="20"/>
                <w:szCs w:val="20"/>
                <w:color w:val="auto"/>
              </w:rPr>
            </w:pPr>
            <w:r>
              <w:rPr>
                <w:rFonts w:ascii="Times New Roman" w:cs="Times New Roman" w:eastAsia="Times New Roman" w:hAnsi="Times New Roman"/>
                <w:sz w:val="14"/>
                <w:szCs w:val="14"/>
                <w:color w:val="auto"/>
              </w:rPr>
              <w:t>4,804</w:t>
            </w:r>
          </w:p>
        </w:tc>
      </w:tr>
      <w:tr>
        <w:trPr>
          <w:trHeight w:val="22"/>
        </w:trPr>
        <w:tc>
          <w:tcPr>
            <w:tcW w:w="5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and six months ended June 30, 2024, the Company did not receive proceeds from the sale of short-term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and six months ended June 30, 2023, the Company recognized $6,637 and $17,709 in proceeds from the sale of short-term investments, including a realized gain of $3,919 and $7,913.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RELATED PARTY BALANCES AND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Ninebell</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Ninebell is an equity investee of ACM (note 14) and is the Company’s principal supplier of robotic delivery system subassemblies used in our single-wafer cleaning equipment. The Company purchases equipment from Ninebell for production in the ordinary course of business. The Company pays for a portion of the equipment in advance and is obligated for the remaining amounts upon receipt of the product.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Shengyi</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Shengyi is an equity investee of ACM Shanghai (note 14) and is one of the Company’s component suppliers in mainland China. The Company purchases components from Shengyi for production in the ordinary course of business. The Company incurs a service fee related to installation and hook-up fees which is recorded within cost of revenue on the Company’s condensed consolidated statements of comprehensive income (loss). The Company pays for a portion of the raw materials in advance and is obligated for the remaining amounts upon receipt of the product.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related party outstanding balances are short-term in nature and are expected to be settled in cash.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reflect related party transactions in our condensed 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Advances to related party</w:t>
            </w:r>
          </w:p>
        </w:tc>
        <w:tc>
          <w:tcPr>
            <w:tcW w:w="5640" w:type="dxa"/>
            <w:vAlign w:val="bottom"/>
            <w:gridSpan w:val="2"/>
          </w:tcPr>
          <w:p>
            <w:pPr>
              <w:jc w:val="center"/>
              <w:ind w:left="49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580" w:type="dxa"/>
            <w:vAlign w:val="bottom"/>
            <w:tcBorders>
              <w:bottom w:val="single" w:sz="8" w:color="CFF0FC"/>
            </w:tcBorders>
          </w:tcPr>
          <w:p>
            <w:pPr>
              <w:spacing w:after="0" w:line="20" w:lineRule="exact"/>
              <w:rPr>
                <w:sz w:val="1"/>
                <w:szCs w:val="1"/>
                <w:color w:val="auto"/>
              </w:rPr>
            </w:pPr>
          </w:p>
        </w:tc>
        <w:tc>
          <w:tcPr>
            <w:tcW w:w="456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Ninebell</w:t>
            </w:r>
          </w:p>
        </w:tc>
        <w:tc>
          <w:tcPr>
            <w:tcW w:w="45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24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8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Accounts payable</w:t>
            </w:r>
          </w:p>
        </w:tc>
        <w:tc>
          <w:tcPr>
            <w:tcW w:w="5640" w:type="dxa"/>
            <w:vAlign w:val="bottom"/>
            <w:gridSpan w:val="2"/>
          </w:tcPr>
          <w:p>
            <w:pPr>
              <w:jc w:val="center"/>
              <w:ind w:left="49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580" w:type="dxa"/>
            <w:vAlign w:val="bottom"/>
            <w:tcBorders>
              <w:bottom w:val="single" w:sz="8" w:color="CFF0FC"/>
            </w:tcBorders>
          </w:tcPr>
          <w:p>
            <w:pPr>
              <w:spacing w:after="0" w:line="20" w:lineRule="exact"/>
              <w:rPr>
                <w:sz w:val="1"/>
                <w:szCs w:val="1"/>
                <w:color w:val="auto"/>
              </w:rPr>
            </w:pPr>
          </w:p>
        </w:tc>
        <w:tc>
          <w:tcPr>
            <w:tcW w:w="456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Ninebell</w:t>
            </w:r>
          </w:p>
        </w:tc>
        <w:tc>
          <w:tcPr>
            <w:tcW w:w="5640" w:type="dxa"/>
            <w:vAlign w:val="bottom"/>
            <w:tcBorders>
              <w:bottom w:val="single" w:sz="8" w:color="CFF0FC"/>
            </w:tcBorders>
            <w:gridSpan w:val="2"/>
            <w:shd w:val="clear" w:color="auto" w:fill="CFF0FC"/>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12,247</w:t>
            </w:r>
          </w:p>
        </w:tc>
        <w:tc>
          <w:tcPr>
            <w:tcW w:w="24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Shengyi</w:t>
            </w:r>
          </w:p>
        </w:tc>
        <w:tc>
          <w:tcPr>
            <w:tcW w:w="4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5,765</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580" w:type="dxa"/>
            <w:vAlign w:val="bottom"/>
            <w:tcBorders>
              <w:bottom w:val="single" w:sz="8" w:color="CFF0FC"/>
            </w:tcBorders>
          </w:tcPr>
          <w:p>
            <w:pPr>
              <w:spacing w:after="0" w:line="20" w:lineRule="exact"/>
              <w:rPr>
                <w:sz w:val="1"/>
                <w:szCs w:val="1"/>
                <w:color w:val="auto"/>
              </w:rPr>
            </w:pPr>
          </w:p>
        </w:tc>
        <w:tc>
          <w:tcPr>
            <w:tcW w:w="456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640" w:type="dxa"/>
            <w:vAlign w:val="bottom"/>
            <w:gridSpan w:val="2"/>
            <w:shd w:val="clear" w:color="auto" w:fill="CFF0FC"/>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4560" w:type="dxa"/>
            <w:vAlign w:val="bottom"/>
            <w:tcBorders>
              <w:top w:val="single" w:sz="8" w:color="CFF0FC"/>
              <w:bottom w:val="single" w:sz="8" w:color="CFF0FC"/>
            </w:tcBorders>
            <w:vMerge w:val="restart"/>
          </w:tcPr>
          <w:p>
            <w:pPr>
              <w:jc w:val="right"/>
              <w:ind w:right="2349"/>
              <w:spacing w:after="0"/>
              <w:rPr>
                <w:sz w:val="20"/>
                <w:szCs w:val="20"/>
                <w:color w:val="auto"/>
              </w:rPr>
            </w:pPr>
            <w:r>
              <w:rPr>
                <w:rFonts w:ascii="Times New Roman" w:cs="Times New Roman" w:eastAsia="Times New Roman" w:hAnsi="Times New Roman"/>
                <w:sz w:val="14"/>
                <w:szCs w:val="14"/>
                <w:color w:val="auto"/>
              </w:rPr>
              <w:t>28</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35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80" w:type="dxa"/>
            <w:vAlign w:val="bottom"/>
            <w:tcBorders>
              <w:bottom w:val="single" w:sz="8" w:color="9A9A9A"/>
            </w:tcBorders>
          </w:tcPr>
          <w:p>
            <w:pPr>
              <w:spacing w:after="0"/>
              <w:rPr>
                <w:sz w:val="7"/>
                <w:szCs w:val="7"/>
                <w:color w:val="auto"/>
              </w:rPr>
            </w:pPr>
          </w:p>
        </w:tc>
        <w:tc>
          <w:tcPr>
            <w:tcW w:w="45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82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of materials</w:t>
            </w: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00" w:type="dxa"/>
            <w:vAlign w:val="bottom"/>
            <w:vMerge w:val="continue"/>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Ninebell</w:t>
            </w:r>
          </w:p>
        </w:tc>
        <w:tc>
          <w:tcPr>
            <w:tcW w:w="112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13,778</w:t>
            </w:r>
          </w:p>
        </w:tc>
        <w:tc>
          <w:tcPr>
            <w:tcW w:w="114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10,604</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27,930</w:t>
            </w:r>
          </w:p>
        </w:tc>
        <w:tc>
          <w:tcPr>
            <w:tcW w:w="114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27,001</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Shengyi</w:t>
            </w:r>
          </w:p>
        </w:tc>
        <w:tc>
          <w:tcPr>
            <w:tcW w:w="1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1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0" w:type="dxa"/>
            <w:vAlign w:val="bottom"/>
          </w:tcPr>
          <w:p>
            <w:pPr>
              <w:spacing w:after="0"/>
              <w:rPr>
                <w:sz w:val="1"/>
                <w:szCs w:val="1"/>
                <w:color w:val="auto"/>
              </w:rPr>
            </w:pPr>
          </w:p>
        </w:tc>
      </w:tr>
      <w:tr>
        <w:trPr>
          <w:trHeight w:val="22"/>
        </w:trPr>
        <w:tc>
          <w:tcPr>
            <w:tcW w:w="44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16,127</w:t>
            </w:r>
          </w:p>
        </w:tc>
        <w:tc>
          <w:tcPr>
            <w:tcW w:w="114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11,310</w:t>
            </w: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31,271</w:t>
            </w:r>
          </w:p>
        </w:tc>
        <w:tc>
          <w:tcPr>
            <w:tcW w:w="114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7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20" w:type="dxa"/>
            <w:vAlign w:val="bottom"/>
            <w:gridSpan w:val="4"/>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 fee charged by</w:t>
            </w: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520" w:type="dxa"/>
            <w:vAlign w:val="bottom"/>
            <w:vMerge w:val="continue"/>
          </w:tcPr>
          <w:p>
            <w:pPr>
              <w:spacing w:after="0"/>
              <w:rPr>
                <w:sz w:val="15"/>
                <w:szCs w:val="15"/>
                <w:color w:val="auto"/>
              </w:rPr>
            </w:pPr>
          </w:p>
        </w:tc>
        <w:tc>
          <w:tcPr>
            <w:tcW w:w="11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452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Shengyi</w:t>
            </w:r>
          </w:p>
        </w:tc>
        <w:tc>
          <w:tcPr>
            <w:tcW w:w="1120" w:type="dxa"/>
            <w:vAlign w:val="bottom"/>
            <w:shd w:val="clear" w:color="auto" w:fill="CFF0FC"/>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452</w:t>
            </w:r>
          </w:p>
        </w:tc>
        <w:tc>
          <w:tcPr>
            <w:tcW w:w="40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22"/>
        </w:trPr>
        <w:tc>
          <w:tcPr>
            <w:tcW w:w="45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COMMON STOCK</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which is subject to approval from a majority of common stockholders.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June 30, 2024, ACM issued 415,476 shares of Class A common stock upon option exercises by employees and non-employees. During the six months ended June 30, 2024, ACM issued 1,366,081 shares of Class A common stock upon option exercises by employees and non-employees.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June 30, 2023, ACM issued 133,135 shares of Class A common stock upon option exercises by employees and non-employees. During the six months ended June 30, 2023, ACM issued 296,204 shares of Class A common stock upon option exercises by employees and non-employees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2024 and December 31, 2023, the number of shares of Class A common stock issued and outstanding was 57,402,253 and 56,036,172,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2024 and December 31, 2023, the number of shares of Class B common stock issued and outstanding was 5,021,811 and 5,021,811,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STOCK-BASED COMPENSATION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ACM’s stock-based compensation consists of employee and non-employee awards issued under its 1998 Stock Option Plan and its 2016 Omnibus Incentive Plan. The vesting condition may consist of a service period condition determined by the Board of Directors for a grant or certain performance conditions determined by the Board of Directors for a grant. The fair value of the stock options granted with a service period based condition and/or performance condition is estimated at the date of grant using the Black-Scholes option pricing model. The fair value of the stock options granted with a market based condition is estimated at the date of grant using the Monte Carlo simulation model.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Awards</w:t>
            </w: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40"/>
        </w:trPr>
        <w:tc>
          <w:tcPr>
            <w:tcW w:w="8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employee share option activities during the six months ended June 30, 2024:</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6"/>
        </w:trPr>
        <w:tc>
          <w:tcPr>
            <w:tcW w:w="4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0"/>
        </w:trPr>
        <w:tc>
          <w:tcPr>
            <w:tcW w:w="4680" w:type="dxa"/>
            <w:vAlign w:val="bottom"/>
          </w:tcPr>
          <w:p>
            <w:pPr>
              <w:spacing w:after="0"/>
              <w:rPr>
                <w:sz w:val="14"/>
                <w:szCs w:val="14"/>
                <w:color w:val="auto"/>
              </w:rPr>
            </w:pPr>
          </w:p>
        </w:tc>
        <w:tc>
          <w:tcPr>
            <w:tcW w:w="19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13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280" w:type="dxa"/>
            <w:vAlign w:val="bottom"/>
          </w:tcPr>
          <w:p>
            <w:pPr>
              <w:spacing w:after="0"/>
              <w:rPr>
                <w:sz w:val="14"/>
                <w:szCs w:val="14"/>
                <w:color w:val="auto"/>
              </w:rPr>
            </w:pPr>
          </w:p>
        </w:tc>
        <w:tc>
          <w:tcPr>
            <w:tcW w:w="128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86"/>
        </w:trPr>
        <w:tc>
          <w:tcPr>
            <w:tcW w:w="4680" w:type="dxa"/>
            <w:vAlign w:val="bottom"/>
          </w:tcPr>
          <w:p>
            <w:pPr>
              <w:spacing w:after="0"/>
              <w:rPr>
                <w:sz w:val="16"/>
                <w:szCs w:val="16"/>
                <w:color w:val="auto"/>
              </w:rPr>
            </w:pPr>
          </w:p>
        </w:tc>
        <w:tc>
          <w:tcPr>
            <w:tcW w:w="19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180" w:type="dxa"/>
            <w:vAlign w:val="bottom"/>
          </w:tcPr>
          <w:p>
            <w:pPr>
              <w:spacing w:after="0"/>
              <w:rPr>
                <w:sz w:val="16"/>
                <w:szCs w:val="16"/>
                <w:color w:val="auto"/>
              </w:rPr>
            </w:pPr>
          </w:p>
        </w:tc>
        <w:tc>
          <w:tcPr>
            <w:tcW w:w="13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156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Contractual Term</w:t>
            </w:r>
          </w:p>
        </w:tc>
      </w:tr>
      <w:tr>
        <w:trPr>
          <w:trHeight w:val="22"/>
        </w:trPr>
        <w:tc>
          <w:tcPr>
            <w:tcW w:w="4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December 31, 2023</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9,998,637</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5.15</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9.59</w:t>
            </w:r>
          </w:p>
        </w:tc>
        <w:tc>
          <w:tcPr>
            <w:tcW w:w="14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b w:val="1"/>
                <w:bCs w:val="1"/>
                <w:color w:val="auto"/>
              </w:rPr>
              <w:t>6.17 years</w:t>
            </w:r>
          </w:p>
        </w:tc>
      </w:tr>
      <w:tr>
        <w:trPr>
          <w:trHeight w:val="19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194,500</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280" w:type="dxa"/>
            <w:vAlign w:val="bottom"/>
          </w:tcPr>
          <w:p>
            <w:pPr>
              <w:spacing w:after="0"/>
              <w:rPr>
                <w:sz w:val="16"/>
                <w:szCs w:val="16"/>
                <w:color w:val="auto"/>
              </w:rPr>
            </w:pP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23.16</w:t>
            </w:r>
          </w:p>
        </w:tc>
        <w:tc>
          <w:tcPr>
            <w:tcW w:w="1420" w:type="dxa"/>
            <w:vAlign w:val="bottom"/>
          </w:tcPr>
          <w:p>
            <w:pPr>
              <w:spacing w:after="0"/>
              <w:rPr>
                <w:sz w:val="16"/>
                <w:szCs w:val="16"/>
                <w:color w:val="auto"/>
              </w:rPr>
            </w:pPr>
          </w:p>
        </w:tc>
      </w:tr>
      <w:tr>
        <w:trPr>
          <w:trHeight w:val="22"/>
        </w:trPr>
        <w:tc>
          <w:tcPr>
            <w:tcW w:w="4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(1,205,938)</w:t>
            </w:r>
          </w:p>
        </w:tc>
        <w:tc>
          <w:tcPr>
            <w:tcW w:w="18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8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4.83</w:t>
            </w:r>
          </w:p>
        </w:tc>
        <w:tc>
          <w:tcPr>
            <w:tcW w:w="1420" w:type="dxa"/>
            <w:vAlign w:val="bottom"/>
            <w:tcBorders>
              <w:bottom w:val="single" w:sz="8" w:color="CFF0FC"/>
            </w:tcBorders>
            <w:shd w:val="clear" w:color="auto" w:fill="CFF0FC"/>
          </w:tcPr>
          <w:p>
            <w:pPr>
              <w:spacing w:after="0"/>
              <w:rPr>
                <w:sz w:val="16"/>
                <w:szCs w:val="16"/>
                <w:color w:val="auto"/>
              </w:rPr>
            </w:pPr>
          </w:p>
        </w:tc>
      </w:tr>
      <w:tr>
        <w:trPr>
          <w:trHeight w:val="19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Forfeited/cancelled</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(43,735)</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280" w:type="dxa"/>
            <w:vAlign w:val="bottom"/>
          </w:tcPr>
          <w:p>
            <w:pPr>
              <w:spacing w:after="0"/>
              <w:rPr>
                <w:sz w:val="16"/>
                <w:szCs w:val="16"/>
                <w:color w:val="auto"/>
              </w:rPr>
            </w:pP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23.34</w:t>
            </w:r>
          </w:p>
        </w:tc>
        <w:tc>
          <w:tcPr>
            <w:tcW w:w="1420" w:type="dxa"/>
            <w:vAlign w:val="bottom"/>
          </w:tcPr>
          <w:p>
            <w:pPr>
              <w:spacing w:after="0"/>
              <w:rPr>
                <w:sz w:val="16"/>
                <w:szCs w:val="16"/>
                <w:color w:val="auto"/>
              </w:rPr>
            </w:pPr>
          </w:p>
        </w:tc>
      </w:tr>
      <w:tr>
        <w:trPr>
          <w:trHeight w:val="22"/>
        </w:trPr>
        <w:tc>
          <w:tcPr>
            <w:tcW w:w="4680" w:type="dxa"/>
            <w:vAlign w:val="bottom"/>
            <w:tcBorders>
              <w:bottom w:val="single" w:sz="8" w:color="CFF0FC"/>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28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CFF0FC"/>
            </w:tcBorders>
          </w:tcPr>
          <w:p>
            <w:pPr>
              <w:spacing w:after="0" w:line="20" w:lineRule="exact"/>
              <w:rPr>
                <w:sz w:val="1"/>
                <w:szCs w:val="1"/>
                <w:color w:val="auto"/>
              </w:rPr>
            </w:pPr>
          </w:p>
        </w:tc>
      </w:tr>
      <w:tr>
        <w:trPr>
          <w:trHeight w:val="228"/>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June 30, 2024</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8,943,464</w:t>
            </w:r>
          </w:p>
        </w:tc>
        <w:tc>
          <w:tcPr>
            <w:tcW w:w="180" w:type="dxa"/>
            <w:vAlign w:val="bottom"/>
            <w:tcBorders>
              <w:bottom w:val="single" w:sz="8" w:color="CFF0FC"/>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5.77</w:t>
            </w:r>
          </w:p>
        </w:tc>
        <w:tc>
          <w:tcPr>
            <w:tcW w:w="280" w:type="dxa"/>
            <w:vAlign w:val="bottom"/>
            <w:tcBorders>
              <w:bottom w:val="single" w:sz="8" w:color="CFF0FC"/>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10.33</w:t>
            </w:r>
          </w:p>
        </w:tc>
        <w:tc>
          <w:tcPr>
            <w:tcW w:w="142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4"/>
                <w:szCs w:val="14"/>
                <w:b w:val="1"/>
                <w:bCs w:val="1"/>
                <w:color w:val="auto"/>
              </w:rPr>
              <w:t>6.03 years</w:t>
            </w: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r>
      <w:tr>
        <w:trPr>
          <w:trHeight w:val="153"/>
        </w:trPr>
        <w:tc>
          <w:tcPr>
            <w:tcW w:w="46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Vested and exercisable at June 30, 2024</w:t>
            </w:r>
          </w:p>
        </w:tc>
        <w:tc>
          <w:tcPr>
            <w:tcW w:w="19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5,052,597</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20" w:type="dxa"/>
            <w:vAlign w:val="bottom"/>
          </w:tcPr>
          <w:p>
            <w:pPr>
              <w:spacing w:after="0"/>
              <w:rPr>
                <w:sz w:val="13"/>
                <w:szCs w:val="13"/>
                <w:color w:val="auto"/>
              </w:rPr>
            </w:pPr>
          </w:p>
        </w:tc>
      </w:tr>
    </w:tbl>
    <w:p>
      <w:pPr>
        <w:spacing w:after="0" w:line="2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June 30, 2024, $25,217 of total unrecognized employee stock-based compensation expense, net of estimated forfeitures, related to employee stock-based awards for ACM were expected to be recognized over a weighted-average period of 3.6 years, after June 30, 2024. Total recognized compensation cost may be adjusted for future changes in estimated forfeitures.</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aggregate intrinsic value of options exercised in the three and six months ended June 30, 2024 was $7,212 and $29,077. The aggregate intrinsic value of options outstanding and exercisable as of June 30, 2024 were $119,032 and $81,303,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options granted to employees is estimated on the grant date using the Black-Scholes valuation with following assumptions: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6"/>
        </w:trPr>
        <w:tc>
          <w:tcPr>
            <w:tcW w:w="75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share of common stock(1)</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$23.02-$31.92</w:t>
            </w:r>
          </w:p>
        </w:tc>
      </w:tr>
      <w:tr>
        <w:trPr>
          <w:trHeight w:val="191"/>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in years(2)</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5.81-6.25</w:t>
            </w:r>
          </w:p>
        </w:tc>
      </w:tr>
      <w:tr>
        <w:trPr>
          <w:trHeight w:val="22"/>
        </w:trPr>
        <w:tc>
          <w:tcPr>
            <w:tcW w:w="7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Volatility(3)</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84.87%-85.48%</w:t>
            </w:r>
          </w:p>
        </w:tc>
      </w:tr>
      <w:tr>
        <w:trPr>
          <w:trHeight w:val="191"/>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rate(4)</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4.23%-4.49%</w:t>
            </w:r>
          </w:p>
        </w:tc>
      </w:tr>
      <w:tr>
        <w:trPr>
          <w:trHeight w:val="22"/>
        </w:trPr>
        <w:tc>
          <w:tcPr>
            <w:tcW w:w="7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dividend(5)</w:t>
            </w: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r>
    </w:tbl>
    <w:p>
      <w:pPr>
        <w:spacing w:after="0" w:line="219" w:lineRule="exact"/>
        <w:rPr>
          <w:sz w:val="20"/>
          <w:szCs w:val="20"/>
          <w:color w:val="auto"/>
        </w:rPr>
      </w:pPr>
    </w:p>
    <w:p>
      <w:pPr>
        <w:ind w:left="380" w:hanging="375"/>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Class A common stock value was closing market price of the Class A common stock on the grant date.</w:t>
      </w:r>
    </w:p>
    <w:p>
      <w:pPr>
        <w:spacing w:after="0" w:line="23"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term of share options is based on the average of the vesting period and the contractual term for each grant.</w:t>
      </w:r>
    </w:p>
    <w:p>
      <w:pPr>
        <w:spacing w:after="0" w:line="8"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is calculated based on the historical volatility of ACM in the period equal to the expected term of each grant.</w:t>
      </w:r>
    </w:p>
    <w:p>
      <w:pPr>
        <w:spacing w:after="0" w:line="8"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Risk-free interest rate is based on the yields of U.S. Treasury securities with maturities similar to the expected term of the share options in effect at the time of grant.</w:t>
      </w:r>
    </w:p>
    <w:p>
      <w:pPr>
        <w:spacing w:after="0" w:line="8"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dividend is assumed to be 0% as ACM has no history or expectation of paying a dividend on its common stock.</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Awards</w:t>
            </w: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40"/>
        </w:trPr>
        <w:tc>
          <w:tcPr>
            <w:tcW w:w="8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non-employee share option activities during the six months ended June 30, 2024:</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4"/>
        </w:trPr>
        <w:tc>
          <w:tcPr>
            <w:tcW w:w="4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70"/>
        </w:trPr>
        <w:tc>
          <w:tcPr>
            <w:tcW w:w="4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4"/>
                <w:szCs w:val="14"/>
                <w:color w:val="auto"/>
              </w:rPr>
            </w:pPr>
          </w:p>
        </w:tc>
        <w:tc>
          <w:tcPr>
            <w:tcW w:w="136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70"/>
        </w:trPr>
        <w:tc>
          <w:tcPr>
            <w:tcW w:w="4680" w:type="dxa"/>
            <w:vAlign w:val="bottom"/>
          </w:tcPr>
          <w:p>
            <w:pPr>
              <w:spacing w:after="0"/>
              <w:rPr>
                <w:sz w:val="14"/>
                <w:szCs w:val="14"/>
                <w:color w:val="auto"/>
              </w:rPr>
            </w:pPr>
          </w:p>
        </w:tc>
        <w:tc>
          <w:tcPr>
            <w:tcW w:w="19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13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200" w:type="dxa"/>
            <w:vAlign w:val="bottom"/>
          </w:tcPr>
          <w:p>
            <w:pPr>
              <w:spacing w:after="0"/>
              <w:rPr>
                <w:sz w:val="14"/>
                <w:szCs w:val="14"/>
                <w:color w:val="auto"/>
              </w:rPr>
            </w:pPr>
          </w:p>
        </w:tc>
        <w:tc>
          <w:tcPr>
            <w:tcW w:w="136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86"/>
        </w:trPr>
        <w:tc>
          <w:tcPr>
            <w:tcW w:w="4680" w:type="dxa"/>
            <w:vAlign w:val="bottom"/>
          </w:tcPr>
          <w:p>
            <w:pPr>
              <w:spacing w:after="0"/>
              <w:rPr>
                <w:sz w:val="16"/>
                <w:szCs w:val="16"/>
                <w:color w:val="auto"/>
              </w:rPr>
            </w:pPr>
          </w:p>
        </w:tc>
        <w:tc>
          <w:tcPr>
            <w:tcW w:w="19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180" w:type="dxa"/>
            <w:vAlign w:val="bottom"/>
          </w:tcPr>
          <w:p>
            <w:pPr>
              <w:spacing w:after="0"/>
              <w:rPr>
                <w:sz w:val="16"/>
                <w:szCs w:val="16"/>
                <w:color w:val="auto"/>
              </w:rPr>
            </w:pPr>
          </w:p>
        </w:tc>
        <w:tc>
          <w:tcPr>
            <w:tcW w:w="13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200" w:type="dxa"/>
            <w:vAlign w:val="bottom"/>
          </w:tcPr>
          <w:p>
            <w:pPr>
              <w:spacing w:after="0"/>
              <w:rPr>
                <w:sz w:val="16"/>
                <w:szCs w:val="16"/>
                <w:color w:val="auto"/>
              </w:rPr>
            </w:pPr>
          </w:p>
        </w:tc>
        <w:tc>
          <w:tcPr>
            <w:tcW w:w="136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Contractual Term</w:t>
            </w:r>
          </w:p>
        </w:tc>
      </w:tr>
      <w:tr>
        <w:trPr>
          <w:trHeight w:val="22"/>
        </w:trPr>
        <w:tc>
          <w:tcPr>
            <w:tcW w:w="4680" w:type="dxa"/>
            <w:vAlign w:val="bottom"/>
            <w:tcBorders>
              <w:bottom w:val="single" w:sz="8" w:color="CFF0FC"/>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December 31, 2023</w:t>
            </w:r>
          </w:p>
        </w:tc>
        <w:tc>
          <w:tcPr>
            <w:tcW w:w="1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1,170,795</w:t>
            </w:r>
          </w:p>
        </w:tc>
        <w:tc>
          <w:tcPr>
            <w:tcW w:w="180" w:type="dxa"/>
            <w:vAlign w:val="bottom"/>
            <w:tcBorders>
              <w:bottom w:val="single" w:sz="8" w:color="CFF0FC"/>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0.42</w:t>
            </w:r>
          </w:p>
        </w:tc>
        <w:tc>
          <w:tcPr>
            <w:tcW w:w="200" w:type="dxa"/>
            <w:vAlign w:val="bottom"/>
            <w:tcBorders>
              <w:bottom w:val="single" w:sz="8" w:color="CFF0FC"/>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1.31</w:t>
            </w:r>
          </w:p>
        </w:tc>
        <w:tc>
          <w:tcPr>
            <w:tcW w:w="142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4"/>
                <w:szCs w:val="14"/>
                <w:b w:val="1"/>
                <w:bCs w:val="1"/>
                <w:color w:val="auto"/>
              </w:rPr>
              <w:t>2.66 years</w:t>
            </w:r>
          </w:p>
        </w:tc>
      </w:tr>
      <w:tr>
        <w:trPr>
          <w:trHeight w:val="19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(160,143)</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0.50</w:t>
            </w:r>
          </w:p>
        </w:tc>
        <w:tc>
          <w:tcPr>
            <w:tcW w:w="1420" w:type="dxa"/>
            <w:vAlign w:val="bottom"/>
          </w:tcPr>
          <w:p>
            <w:pPr>
              <w:spacing w:after="0"/>
              <w:rPr>
                <w:sz w:val="16"/>
                <w:szCs w:val="16"/>
                <w:color w:val="auto"/>
              </w:rPr>
            </w:pPr>
          </w:p>
        </w:tc>
      </w:tr>
      <w:tr>
        <w:trPr>
          <w:trHeight w:val="22"/>
        </w:trPr>
        <w:tc>
          <w:tcPr>
            <w:tcW w:w="4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2"/>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Forfeited/cancelled</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2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0.50</w:t>
            </w:r>
          </w:p>
        </w:tc>
        <w:tc>
          <w:tcPr>
            <w:tcW w:w="1420" w:type="dxa"/>
            <w:vAlign w:val="bottom"/>
            <w:tcBorders>
              <w:bottom w:val="single" w:sz="8" w:color="CFF0FC"/>
            </w:tcBorders>
            <w:shd w:val="clear" w:color="auto" w:fill="CFF0FC"/>
          </w:tcPr>
          <w:p>
            <w:pPr>
              <w:spacing w:after="0"/>
              <w:rPr>
                <w:sz w:val="18"/>
                <w:szCs w:val="18"/>
                <w:color w:val="auto"/>
              </w:rPr>
            </w:pPr>
          </w:p>
        </w:tc>
      </w:tr>
      <w:tr>
        <w:trPr>
          <w:trHeight w:val="203"/>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June 30, 2024</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1,007,464</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0.45</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1.44</w:t>
            </w:r>
          </w:p>
        </w:tc>
        <w:tc>
          <w:tcPr>
            <w:tcW w:w="14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2.34 years</w:t>
            </w:r>
          </w:p>
        </w:tc>
      </w:tr>
      <w:tr>
        <w:trPr>
          <w:trHeight w:val="20"/>
        </w:trPr>
        <w:tc>
          <w:tcPr>
            <w:tcW w:w="4680" w:type="dxa"/>
            <w:vAlign w:val="bottom"/>
            <w:tcBorders>
              <w:bottom w:val="single" w:sz="8" w:color="CFF0FC"/>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CFF0FC"/>
            </w:tcBorders>
          </w:tcPr>
          <w:p>
            <w:pPr>
              <w:spacing w:after="0" w:line="20" w:lineRule="exact"/>
              <w:rPr>
                <w:sz w:val="1"/>
                <w:szCs w:val="1"/>
                <w:color w:val="auto"/>
              </w:rPr>
            </w:pPr>
          </w:p>
        </w:tc>
      </w:tr>
      <w:tr>
        <w:trPr>
          <w:trHeight w:val="17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Vested and exercisable at June 30, 2024</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1,007,464</w:t>
            </w: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22"/>
        </w:trPr>
        <w:tc>
          <w:tcPr>
            <w:tcW w:w="468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r>
    </w:tbl>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June 30, 2024 $0 of total unrecognized non-employee stock-based compensation expense, net of estimated forfeitures, related to stock-based awards were expected to be recognized over a weighted-average period of 0 years, after June 30, 2024. Total recognized compensation cost may be adjusted for future changes in estimated forfeitures.</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aggregate intrinsic value of options exercised in the three and six months ended June 30, 2024 was $1,511 and $4,267, respectively. The aggregate intrinsic value of options outstanding and exercisable as of June 30, 2024 was $21,778.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ACM Shanghai 2019 Option Grants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January 2020, ACM Shanghai adopted a 2019 Stock Option Incentive Plan (the “2019 Subsidiary Stock Option Plan”) that provides for, among other incentives, the granting to officers, directors, and employees of options to purchase shares of ACM Shanghai’s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stock option activities of the ACM Shanghai 2019 Subsidiary Stock Option Plan during the six months ended June 30,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70"/>
        </w:trPr>
        <w:tc>
          <w:tcPr>
            <w:tcW w:w="45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11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4"/>
                <w:szCs w:val="14"/>
                <w:color w:val="auto"/>
              </w:rPr>
            </w:pPr>
          </w:p>
        </w:tc>
        <w:tc>
          <w:tcPr>
            <w:tcW w:w="11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70"/>
        </w:trPr>
        <w:tc>
          <w:tcPr>
            <w:tcW w:w="45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Shares in</w:t>
            </w:r>
          </w:p>
        </w:tc>
        <w:tc>
          <w:tcPr>
            <w:tcW w:w="140" w:type="dxa"/>
            <w:vAlign w:val="bottom"/>
          </w:tcPr>
          <w:p>
            <w:pPr>
              <w:spacing w:after="0"/>
              <w:rPr>
                <w:sz w:val="14"/>
                <w:szCs w:val="14"/>
                <w:color w:val="auto"/>
              </w:rPr>
            </w:pPr>
          </w:p>
        </w:tc>
        <w:tc>
          <w:tcPr>
            <w:tcW w:w="11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180" w:type="dxa"/>
            <w:vAlign w:val="bottom"/>
          </w:tcPr>
          <w:p>
            <w:pPr>
              <w:spacing w:after="0"/>
              <w:rPr>
                <w:sz w:val="14"/>
                <w:szCs w:val="14"/>
                <w:color w:val="auto"/>
              </w:rPr>
            </w:pPr>
          </w:p>
        </w:tc>
        <w:tc>
          <w:tcPr>
            <w:tcW w:w="11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86"/>
        </w:trPr>
        <w:tc>
          <w:tcPr>
            <w:tcW w:w="45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ACM Shanghai</w:t>
            </w:r>
          </w:p>
        </w:tc>
        <w:tc>
          <w:tcPr>
            <w:tcW w:w="140" w:type="dxa"/>
            <w:vAlign w:val="bottom"/>
          </w:tcPr>
          <w:p>
            <w:pPr>
              <w:spacing w:after="0"/>
              <w:rPr>
                <w:sz w:val="16"/>
                <w:szCs w:val="16"/>
                <w:color w:val="auto"/>
              </w:rPr>
            </w:pPr>
          </w:p>
        </w:tc>
        <w:tc>
          <w:tcPr>
            <w:tcW w:w="11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180" w:type="dxa"/>
            <w:vAlign w:val="bottom"/>
          </w:tcPr>
          <w:p>
            <w:pPr>
              <w:spacing w:after="0"/>
              <w:rPr>
                <w:sz w:val="16"/>
                <w:szCs w:val="16"/>
                <w:color w:val="auto"/>
              </w:rPr>
            </w:pPr>
          </w:p>
        </w:tc>
        <w:tc>
          <w:tcPr>
            <w:tcW w:w="118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Contractual Term</w:t>
            </w: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December 31, 2023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3,134,883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1.85</w:t>
            </w:r>
          </w:p>
        </w:tc>
        <w:tc>
          <w:tcPr>
            <w:tcW w:w="1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0.85 years</w:t>
            </w:r>
          </w:p>
        </w:tc>
      </w:tr>
      <w:tr>
        <w:trPr>
          <w:trHeight w:val="191"/>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(446,154)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1.85</w:t>
            </w:r>
          </w:p>
        </w:tc>
        <w:tc>
          <w:tcPr>
            <w:tcW w:w="1280" w:type="dxa"/>
            <w:vAlign w:val="bottom"/>
          </w:tcPr>
          <w:p>
            <w:pPr>
              <w:spacing w:after="0"/>
              <w:rPr>
                <w:sz w:val="16"/>
                <w:szCs w:val="16"/>
                <w:color w:val="auto"/>
              </w:rPr>
            </w:pPr>
          </w:p>
        </w:tc>
      </w:tr>
      <w:tr>
        <w:trPr>
          <w:trHeight w:val="21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Forfeited/cancelled</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(92,308)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1.85</w:t>
            </w:r>
          </w:p>
        </w:tc>
        <w:tc>
          <w:tcPr>
            <w:tcW w:w="1280" w:type="dxa"/>
            <w:vAlign w:val="bottom"/>
          </w:tcPr>
          <w:p>
            <w:pPr>
              <w:spacing w:after="0"/>
              <w:rPr>
                <w:sz w:val="18"/>
                <w:szCs w:val="18"/>
                <w:color w:val="auto"/>
              </w:rPr>
            </w:pPr>
          </w:p>
        </w:tc>
      </w:tr>
      <w:tr>
        <w:trPr>
          <w:trHeight w:val="22"/>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June 30, 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2,596,421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0.24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1.85</w:t>
            </w:r>
          </w:p>
        </w:tc>
        <w:tc>
          <w:tcPr>
            <w:tcW w:w="12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0.51 years</w:t>
            </w: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and exercisable at June 30,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2,596,421</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27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aggregate intrinsic value of options exercised in the three and six months ended June 30, 2024 was both $5,198. The aggregate intrinsic value of options outstanding and exercisable as of June 30, 2024 was $26,124.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ACM Shanghai 2023 Option Grants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June 2023, ACM Shanghai adopted a 2023 Stock Option Incentive Plan (the "2023 Subsidiary Stock Option Plan”) that provides for, among other incentives, the granting to officers, directors, and employees of options to purchase shares of ACM Shanghai’s common stock. The vesting conditions consist of service periods conditions and performance conditions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related to certain sales and research and development progress targets determined by the Board of Directors of ACM Shanghai.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ACM Shanghai 2023 Subsidiary Stock Option Plan’s stock option activities during the three months ended June 30, 2024: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0"/>
        </w:trPr>
        <w:tc>
          <w:tcPr>
            <w:tcW w:w="5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4"/>
                <w:szCs w:val="14"/>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0"/>
        </w:trPr>
        <w:tc>
          <w:tcPr>
            <w:tcW w:w="5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in ACM</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200" w:type="dxa"/>
            <w:vAlign w:val="bottom"/>
          </w:tcPr>
          <w:p>
            <w:pPr>
              <w:spacing w:after="0"/>
              <w:rPr>
                <w:sz w:val="14"/>
                <w:szCs w:val="14"/>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86"/>
        </w:trPr>
        <w:tc>
          <w:tcPr>
            <w:tcW w:w="50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Shanghai</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200" w:type="dxa"/>
            <w:vAlign w:val="bottom"/>
          </w:tcPr>
          <w:p>
            <w:pPr>
              <w:spacing w:after="0"/>
              <w:rPr>
                <w:sz w:val="16"/>
                <w:szCs w:val="16"/>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r>
      <w:tr>
        <w:trPr>
          <w:trHeight w:val="22"/>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10,575,500</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7.06</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b w:val="1"/>
                <w:bCs w:val="1"/>
                <w:color w:val="auto"/>
              </w:rPr>
              <w:t>3.09 years</w:t>
            </w:r>
          </w:p>
        </w:tc>
      </w:tr>
      <w:tr>
        <w:trPr>
          <w:trHeight w:val="191"/>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242424"/>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1,391,000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24242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6.04</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242424"/>
                <w:w w:val="85"/>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42424"/>
              </w:rPr>
              <w:t>7.00</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
        </w:trPr>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42424"/>
              </w:rPr>
              <w:t>Forfeited/cancelled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(201,065)</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24242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9.09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242424"/>
                <w:w w:val="85"/>
              </w:rPr>
              <w:t>$</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7.06</w:t>
            </w: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June 30,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11,765,435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9.01</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7.00</w:t>
            </w:r>
          </w:p>
        </w:tc>
        <w:tc>
          <w:tcPr>
            <w:tcW w:w="80" w:type="dxa"/>
            <w:vAlign w:val="bottom"/>
          </w:tcPr>
          <w:p>
            <w:pPr>
              <w:spacing w:after="0"/>
              <w:rPr>
                <w:sz w:val="17"/>
                <w:szCs w:val="17"/>
                <w:color w:val="auto"/>
              </w:rPr>
            </w:pPr>
          </w:p>
        </w:tc>
        <w:tc>
          <w:tcPr>
            <w:tcW w:w="150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2.70 years</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exercisable at June 30,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435"/>
        </w:trPr>
        <w:tc>
          <w:tcPr>
            <w:tcW w:w="81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fair value of options granted to employees is estimated on the grant date using the Black-Scholes valuation with following assumptions: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6"/>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6"/>
                <w:szCs w:val="16"/>
                <w:color w:val="auto"/>
              </w:rPr>
            </w:pPr>
          </w:p>
        </w:tc>
      </w:tr>
      <w:tr>
        <w:trPr>
          <w:trHeight w:val="22"/>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share of common stock (1)</w:t>
            </w: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center"/>
              <w:ind w:right="189"/>
              <w:spacing w:after="0"/>
              <w:rPr>
                <w:sz w:val="20"/>
                <w:szCs w:val="20"/>
                <w:color w:val="auto"/>
              </w:rPr>
            </w:pPr>
            <w:r>
              <w:rPr>
                <w:rFonts w:ascii="Times New Roman" w:cs="Times New Roman" w:eastAsia="Times New Roman" w:hAnsi="Times New Roman"/>
                <w:sz w:val="14"/>
                <w:szCs w:val="14"/>
                <w:color w:val="auto"/>
              </w:rPr>
              <w:t>$4.93-$6.89</w:t>
            </w:r>
          </w:p>
        </w:tc>
        <w:tc>
          <w:tcPr>
            <w:tcW w:w="60" w:type="dxa"/>
            <w:vAlign w:val="bottom"/>
          </w:tcPr>
          <w:p>
            <w:pPr>
              <w:spacing w:after="0"/>
              <w:rPr>
                <w:sz w:val="15"/>
                <w:szCs w:val="15"/>
                <w:color w:val="auto"/>
              </w:rPr>
            </w:pPr>
          </w:p>
        </w:tc>
      </w:tr>
      <w:tr>
        <w:trPr>
          <w:trHeight w:val="191"/>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in years (2)</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1.50-4.50</w:t>
            </w:r>
          </w:p>
        </w:tc>
        <w:tc>
          <w:tcPr>
            <w:tcW w:w="60" w:type="dxa"/>
            <w:vAlign w:val="bottom"/>
          </w:tcPr>
          <w:p>
            <w:pPr>
              <w:spacing w:after="0"/>
              <w:rPr>
                <w:sz w:val="16"/>
                <w:szCs w:val="16"/>
                <w:color w:val="auto"/>
              </w:rPr>
            </w:pPr>
          </w:p>
        </w:tc>
      </w:tr>
      <w:tr>
        <w:trPr>
          <w:trHeight w:val="22"/>
        </w:trPr>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 (3)</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color w:val="auto"/>
              </w:rPr>
              <w:t>45.92%-56.18%</w:t>
            </w:r>
          </w:p>
        </w:tc>
        <w:tc>
          <w:tcPr>
            <w:tcW w:w="60" w:type="dxa"/>
            <w:vAlign w:val="bottom"/>
          </w:tcPr>
          <w:p>
            <w:pPr>
              <w:spacing w:after="0"/>
              <w:rPr>
                <w:sz w:val="16"/>
                <w:szCs w:val="16"/>
                <w:color w:val="auto"/>
              </w:rPr>
            </w:pPr>
          </w:p>
        </w:tc>
      </w:tr>
      <w:tr>
        <w:trPr>
          <w:trHeight w:val="191"/>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 (4)</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1.50%-2.75%</w:t>
            </w:r>
          </w:p>
        </w:tc>
        <w:tc>
          <w:tcPr>
            <w:tcW w:w="60" w:type="dxa"/>
            <w:vAlign w:val="bottom"/>
          </w:tcPr>
          <w:p>
            <w:pPr>
              <w:spacing w:after="0"/>
              <w:rPr>
                <w:sz w:val="16"/>
                <w:szCs w:val="16"/>
                <w:color w:val="auto"/>
              </w:rPr>
            </w:pPr>
          </w:p>
        </w:tc>
      </w:tr>
      <w:tr>
        <w:trPr>
          <w:trHeight w:val="22"/>
        </w:trPr>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1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(5)</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189"/>
              <w:spacing w:after="0"/>
              <w:rPr>
                <w:sz w:val="20"/>
                <w:szCs w:val="20"/>
                <w:color w:val="auto"/>
              </w:rPr>
            </w:pPr>
            <w:r>
              <w:rPr>
                <w:rFonts w:ascii="Arial" w:cs="Arial" w:eastAsia="Arial" w:hAnsi="Arial"/>
                <w:sz w:val="14"/>
                <w:szCs w:val="14"/>
                <w:color w:val="auto"/>
                <w:w w:val="98"/>
              </w:rPr>
              <w:t>—%</w:t>
            </w:r>
          </w:p>
        </w:tc>
        <w:tc>
          <w:tcPr>
            <w:tcW w:w="60" w:type="dxa"/>
            <w:vAlign w:val="bottom"/>
          </w:tcPr>
          <w:p>
            <w:pPr>
              <w:spacing w:after="0"/>
              <w:rPr>
                <w:sz w:val="18"/>
                <w:szCs w:val="18"/>
                <w:color w:val="auto"/>
              </w:rPr>
            </w:pPr>
          </w:p>
        </w:tc>
      </w:tr>
    </w:tbl>
    <w:p>
      <w:pPr>
        <w:spacing w:after="0" w:line="240" w:lineRule="exact"/>
        <w:rPr>
          <w:sz w:val="20"/>
          <w:szCs w:val="20"/>
          <w:color w:val="auto"/>
        </w:rPr>
      </w:pPr>
    </w:p>
    <w:p>
      <w:pPr>
        <w:ind w:left="200" w:hanging="195"/>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Equal to closing value on the grant date.</w:t>
      </w:r>
    </w:p>
    <w:p>
      <w:pPr>
        <w:spacing w:after="0" w:line="23"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term of share options is based on the average of the vesting period and the contractual term for each grant.</w:t>
      </w:r>
    </w:p>
    <w:p>
      <w:pPr>
        <w:spacing w:after="0" w:line="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is calculated based on the historical volatility of ACM Shanghai in the period equal to the expected term of each grant.</w:t>
      </w:r>
    </w:p>
    <w:p>
      <w:pPr>
        <w:spacing w:after="0" w:line="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Risk-free interest rate is based on the yields of RMB deposit in mainland China with maturities similar to the expected term of the share options in effect at the time of grant.</w:t>
      </w:r>
    </w:p>
    <w:p>
      <w:pPr>
        <w:spacing w:after="0" w:line="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dividend is assumed to be 0% as the impact is adjusted on the value of share of common stock.</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June 30, 2024, $60,798 of total unrecognized non-employee stock-based compensation expense, net of estimated forfeitures, related to ACM Shanghai stock-based awards were expected to be recognized over a weighted-average period of 1.7 years. Total recognized compensation cost may be adjusted for future changes in estimated forfeitures.</w:t>
      </w:r>
    </w:p>
    <w:p>
      <w:pPr>
        <w:spacing w:after="0" w:line="14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aggregate intrinsic value of options exercised in the three and six months ended June 30, 2024 was $0 as there were no options exercised during the periods. As there were no options exercisable during the periods, the aggregate intrinsic value of options outstanding and exercisable as of June 30, 2024 were $57,491 and $0,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components of stock-based compensation expense included in the condensed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ectPr>
          <w:pgSz w:w="11900" w:h="16838" w:orient="portrait"/>
          <w:cols w:equalWidth="0" w:num="1">
            <w:col w:w="11280"/>
          </w:cols>
          <w:pgMar w:left="300" w:top="12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29845</wp:posOffset>
            </wp:positionV>
            <wp:extent cx="219646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42" w:lineRule="exact"/>
        <w:rPr>
          <w:sz w:val="20"/>
          <w:szCs w:val="20"/>
          <w:color w:val="auto"/>
        </w:rPr>
      </w:pPr>
    </w:p>
    <w:p>
      <w:pPr>
        <w:ind w:left="5020"/>
        <w:spacing w:after="0"/>
        <w:tabs>
          <w:tab w:leader="none" w:pos="67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29845</wp:posOffset>
            </wp:positionV>
            <wp:extent cx="219646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42"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7" w:lineRule="exact"/>
        <w:rPr>
          <w:sz w:val="20"/>
          <w:szCs w:val="20"/>
          <w:color w:val="auto"/>
        </w:rPr>
      </w:pPr>
    </w:p>
    <w:p>
      <w:pPr>
        <w:sectPr>
          <w:pgSz w:w="11900" w:h="16838" w:orient="portrait"/>
          <w:cols w:equalWidth="0" w:num="2">
            <w:col w:w="7820" w:space="720"/>
            <w:col w:w="2740"/>
          </w:cols>
          <w:pgMar w:left="300" w:top="120" w:right="31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tc>
        <w:tc>
          <w:tcPr>
            <w:tcW w:w="6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195"/>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680" w:type="dxa"/>
            <w:vAlign w:val="bottom"/>
            <w:tcBorders>
              <w:bottom w:val="single" w:sz="8" w:color="CFF0FC"/>
            </w:tcBorders>
            <w:shd w:val="clear" w:color="auto" w:fill="CFF0FC"/>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740" w:type="dxa"/>
            <w:vAlign w:val="bottom"/>
            <w:tcBorders>
              <w:bottom w:val="single" w:sz="8" w:color="CFF0FC"/>
            </w:tcBorders>
            <w:shd w:val="clear" w:color="auto" w:fill="CFF0FC"/>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6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740" w:type="dxa"/>
            <w:vAlign w:val="bottom"/>
            <w:tcBorders>
              <w:bottom w:val="single" w:sz="8" w:color="CFF0FC"/>
            </w:tcBorders>
            <w:shd w:val="clear" w:color="auto" w:fill="CFF0FC"/>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191"/>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 expense</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7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r>
      <w:tr>
        <w:trPr>
          <w:trHeight w:val="22"/>
        </w:trPr>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6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7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6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8,709</w:t>
            </w:r>
          </w:p>
        </w:tc>
        <w:tc>
          <w:tcPr>
            <w:tcW w:w="7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1,410</w:t>
            </w:r>
          </w:p>
        </w:tc>
      </w:tr>
      <w:tr>
        <w:trPr>
          <w:trHeight w:val="191"/>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w:t>
            </w:r>
          </w:p>
        </w:tc>
        <w:tc>
          <w:tcPr>
            <w:tcW w:w="7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w:t>
            </w:r>
          </w:p>
        </w:tc>
      </w:tr>
      <w:tr>
        <w:trPr>
          <w:trHeight w:val="22"/>
        </w:trPr>
        <w:tc>
          <w:tcPr>
            <w:tcW w:w="4300" w:type="dxa"/>
            <w:vAlign w:val="bottom"/>
            <w:tcBorders>
              <w:bottom w:val="single" w:sz="8" w:color="CFF0FC"/>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8"/>
        </w:trPr>
        <w:tc>
          <w:tcPr>
            <w:tcW w:w="43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14,342</w:t>
            </w:r>
          </w:p>
        </w:tc>
        <w:tc>
          <w:tcPr>
            <w:tcW w:w="740" w:type="dxa"/>
            <w:vAlign w:val="bottom"/>
            <w:tcBorders>
              <w:bottom w:val="single" w:sz="8" w:color="CFF0FC"/>
            </w:tcBorders>
            <w:shd w:val="clear" w:color="auto" w:fill="CFF0FC"/>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28,911</w:t>
            </w:r>
          </w:p>
        </w:tc>
        <w:tc>
          <w:tcPr>
            <w:tcW w:w="740" w:type="dxa"/>
            <w:vAlign w:val="bottom"/>
            <w:tcBorders>
              <w:bottom w:val="single" w:sz="8" w:color="CFF0FC"/>
            </w:tcBorders>
            <w:shd w:val="clear" w:color="auto" w:fill="CFF0FC"/>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4,085</w:t>
            </w: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20" w:right="319" w:bottom="1440" w:gutter="0" w:footer="0" w:header="0"/>
          <w:type w:val="continuous"/>
        </w:sectPr>
      </w:pPr>
    </w:p>
    <w:p>
      <w:pPr>
        <w:spacing w:after="0" w:line="70"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29845</wp:posOffset>
            </wp:positionV>
            <wp:extent cx="219646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42" w:lineRule="exact"/>
        <w:rPr>
          <w:sz w:val="20"/>
          <w:szCs w:val="20"/>
          <w:color w:val="auto"/>
        </w:rPr>
      </w:pPr>
    </w:p>
    <w:p>
      <w:pPr>
        <w:ind w:left="5020"/>
        <w:spacing w:after="0"/>
        <w:tabs>
          <w:tab w:leader="none" w:pos="67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29845</wp:posOffset>
            </wp:positionV>
            <wp:extent cx="219646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42"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7" w:lineRule="exact"/>
        <w:rPr>
          <w:sz w:val="20"/>
          <w:szCs w:val="20"/>
          <w:color w:val="auto"/>
        </w:rPr>
      </w:pPr>
    </w:p>
    <w:p>
      <w:pPr>
        <w:sectPr>
          <w:pgSz w:w="11900" w:h="16838" w:orient="portrait"/>
          <w:cols w:equalWidth="0" w:num="2">
            <w:col w:w="7820" w:space="720"/>
            <w:col w:w="2740"/>
          </w:cols>
          <w:pgMar w:left="300" w:top="120" w:right="31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expense by type:</w:t>
            </w:r>
          </w:p>
        </w:tc>
        <w:tc>
          <w:tcPr>
            <w:tcW w:w="6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19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8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740" w:type="dxa"/>
            <w:vAlign w:val="bottom"/>
            <w:tcBorders>
              <w:bottom w:val="single" w:sz="8" w:color="CCEEFF"/>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740" w:type="dxa"/>
            <w:vAlign w:val="bottom"/>
            <w:tcBorders>
              <w:bottom w:val="single" w:sz="8" w:color="CCEEFF"/>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w:t>
            </w:r>
          </w:p>
        </w:tc>
      </w:tr>
      <w:tr>
        <w:trPr>
          <w:trHeight w:val="191"/>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Non-employee stock purchase plan</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2"/>
        </w:trPr>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 and 2023 Subsidiary option grants</w:t>
            </w:r>
          </w:p>
        </w:tc>
        <w:tc>
          <w:tcPr>
            <w:tcW w:w="6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11,953</w:t>
            </w:r>
          </w:p>
        </w:tc>
        <w:tc>
          <w:tcPr>
            <w:tcW w:w="7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24,160</w:t>
            </w:r>
          </w:p>
        </w:tc>
        <w:tc>
          <w:tcPr>
            <w:tcW w:w="7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1"/>
        </w:trPr>
        <w:tc>
          <w:tcPr>
            <w:tcW w:w="4300" w:type="dxa"/>
            <w:vAlign w:val="bottom"/>
          </w:tcPr>
          <w:p>
            <w:pPr>
              <w:spacing w:after="0"/>
              <w:rPr>
                <w:sz w:val="15"/>
                <w:szCs w:val="15"/>
                <w:color w:val="auto"/>
              </w:rPr>
            </w:pPr>
          </w:p>
        </w:tc>
        <w:tc>
          <w:tcPr>
            <w:tcW w:w="68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14,342</w:t>
            </w:r>
          </w:p>
        </w:tc>
        <w:tc>
          <w:tcPr>
            <w:tcW w:w="74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5"/>
                <w:szCs w:val="15"/>
                <w:color w:val="auto"/>
              </w:rPr>
            </w:pPr>
          </w:p>
        </w:tc>
        <w:tc>
          <w:tcPr>
            <w:tcW w:w="68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28,911</w:t>
            </w:r>
          </w:p>
        </w:tc>
        <w:tc>
          <w:tcPr>
            <w:tcW w:w="74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4,085</w:t>
            </w:r>
          </w:p>
        </w:tc>
      </w:tr>
      <w:tr>
        <w:trPr>
          <w:trHeight w:val="22"/>
        </w:trPr>
        <w:tc>
          <w:tcPr>
            <w:tcW w:w="4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INCOME TAXES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and foreign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ACM Shanghai has shown a three-year historical cumulative profit and has projections of future income. As a result, the Company does not maintain a valuation allowance. 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effective tax rate differs from statutory rates of 21% for U.S. federal income tax purposes and 15% to 25% for Chinese income tax purposes due to the effects of the valuation allowance and certain permanent differences from book-tax differences, including stock based compensation, deemed dividend income under Subchapter F of the U.S. Internal Revenue Code of 1986, as amended (Subpart F), and global intangible low-taxed income (GILTI) inclusions,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R&amp;D super deduction. As a result, the Company recorded income tax expense of $13,705 and $10,517 during the six months ended June 30, 2024 and 2023, respectively. The decrease in the Company's effective income tax rate for the six months ended June 30, 2024 compared to the same period of the prior year was primarily due to an increased benefit from certain permanent deductions in a foreign jurisdiction.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change in Section 174 made by the Tax Cuts and Jobs Act of 2017 which became effective on January 1, 2022, the Company is required to capitalize, and subsequently amortize R&amp;D expenses over fifteen years for research activities conducted outside of the U.S. The capitalization of overseas R&amp;D expenses results in a significant increase in the Company’s global intangible low-taxed income inclusion.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had total unrecognized tax benefits of $13,026 as of both June 30, 2024 and December 31, 2023. If recognized, the net impact to effective rate, after indirect offset, would be $12,943. The Company did not expect any reversal of unrecognized tax benefits in the next 12 months. The Company will recognize interest and penalties, when they occur, related to uncertain tax provisions as a component of tax expense. For the six months ended June 30, 2024 and 2023, $677 and $569 of interest and penalties was recognized, respectively.</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taxation in the United States, state, and foreign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Company’s four principal mainland China subsidiaries, ACM Shanghai, ACM Wuxi, ACM Beijing and ACM Lingang, are liable for mainland China corporate income taxes at the rates of 15%, 25%, 25% and 15%, respectively. Pursuant to the Corporate Income Tax Law of mainland China, ACM’s mainland China subsidiaries generally would be liable for mainland China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and is expected to be re-certified for future years in 2024. In 2021, ACM Shanghai was certified as an eligible integrated circuit production enterprise and was entitled to a preferential income tax rate of 12.5% from January 1, 2020 to December 31,</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2022. Certain entities which meet requirements according to the Policy of the Lingang New area in China (Shanghai) Pilot Free Trade Zone are entitled to a preferential income tax rate of 15%. ACM Lingang was certified for this in 2021, and this preferential income tax rate is valid from January 1, 2020 until December 31,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was as follows: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82"/>
        </w:trPr>
        <w:tc>
          <w:tcPr>
            <w:tcW w:w="4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80" w:type="dxa"/>
            <w:vAlign w:val="bottom"/>
            <w:gridSpan w:val="3"/>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24"/>
                <w:szCs w:val="24"/>
                <w:color w:val="auto"/>
              </w:rPr>
            </w:pPr>
          </w:p>
        </w:tc>
        <w:tc>
          <w:tcPr>
            <w:tcW w:w="3060" w:type="dxa"/>
            <w:vAlign w:val="bottom"/>
            <w:gridSpan w:val="3"/>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4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4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136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5"/>
                <w:szCs w:val="15"/>
                <w:color w:val="auto"/>
              </w:rPr>
            </w:pPr>
          </w:p>
        </w:tc>
        <w:tc>
          <w:tcPr>
            <w:tcW w:w="134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13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4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expense</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(9,336)</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(7,638)</w:t>
            </w:r>
          </w:p>
        </w:tc>
        <w:tc>
          <w:tcPr>
            <w:tcW w:w="44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(13,705)</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(10,517)</w:t>
            </w:r>
          </w:p>
        </w:tc>
      </w:tr>
      <w:tr>
        <w:trPr>
          <w:trHeight w:val="20"/>
        </w:trPr>
        <w:tc>
          <w:tcPr>
            <w:tcW w:w="4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Commitments and Contingencies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leases offices under non-cancelable operating lease agreements. See Note 11 for future minimum lease payments under non-cancelable operating lease agreements with initial terms of one year or more.</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2024, the Company had $16,293 of open capital commitments to construction contracts and had additional $16,737 of capital investment commitments to Ninebell in April 2024; however, as of June 30, 2024, the investment still has not been approved by the People's Republic of China Business Bureau. As of December 31, 2023, the Company had $30,936 of open commitments to construction contracts and had additional $7,413 of capital investment commitments.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Covenants in ACM Lingang’s Grant Contract for State-owned Construction Land Use Right in Shanghai City (Category of R&amp;D Headquarters and Industrial Projects) with the China (Shanghai) Pilot Free Trade Zone Lingang Special Area Administration require, among other things, that ACM Lingang pay liquidated damages in the event that within 7 years after the land use right is obtained, or prior to July 9, 2027, the Company does not (i) generate a minimum specified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amount of annual sales of products manufactured on the granted land or (ii) pay to mainland China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3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The Construction Completion Milestone was required to be met by January 9, 2024 but was not achieved. However, ACM Lingang believes it will receive the refund without penalty based on its explanation to the respective regulatory authorities and expects that it will meet the milestone in 2024. The Company cannot guarantee that ACM Lingang will achieve the missed milestone in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even if it does achieve the milestone in 2024, that it will be refunded some or all of the 20% portion of the performance deposit of RMB 2.5 million ($0.4 million).</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un-estimable damages.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management has evaluated all such proceedings and claims that existed as of June 30, 2024 and December 31, 2023. In the opinion of management, no provision for liability nor disclosure was required as of June 30, 2024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2024, the Company had no outstanding legal proceedings.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SEGMENT INFORMATION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identifies operating segments according to how the business activities are managed and evaluated. The Company’s chief operating decision maker (“CODM”) has been identified as ACM’s Chief Executive Officer. The Company's operating segments include ACM Research and ACM Shanghai. As the Company is engaged in the developing, manufacture and sale of capital equipment to global semiconductor manufacturers, and each of the operating segments share similar economic and other qualitative characteristics, the results of the Company’s operating segments are aggregated into one reportable segment.</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geographical reporting, revenue by geographic location is determined by the location of customers’ facilities to which products were shipped. Long-lived assets consist primarily of property, plant and equipment, land use right, and right-of-use assets and are attributed to the geographic location in which they are located.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Long-lived assets by geographic region as of the periods ended were as follows:</w:t>
            </w:r>
          </w:p>
        </w:tc>
        <w:tc>
          <w:tcPr>
            <w:tcW w:w="3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50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41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Long-lived assets by geography:</w:t>
            </w:r>
          </w:p>
        </w:tc>
        <w:tc>
          <w:tcPr>
            <w:tcW w:w="3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5060" w:type="dxa"/>
            <w:vAlign w:val="bottom"/>
            <w:vMerge w:val="continue"/>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Mainland China</w:t>
            </w:r>
          </w:p>
        </w:tc>
        <w:tc>
          <w:tcPr>
            <w:tcW w:w="30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241,246</w:t>
            </w:r>
          </w:p>
        </w:tc>
        <w:tc>
          <w:tcPr>
            <w:tcW w:w="22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209,725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Korea</w:t>
            </w:r>
          </w:p>
        </w:tc>
        <w:tc>
          <w:tcPr>
            <w:tcW w:w="3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11,631</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United States</w:t>
            </w:r>
          </w:p>
        </w:tc>
        <w:tc>
          <w:tcPr>
            <w:tcW w:w="30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2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254,125</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223,191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80" w:type="dxa"/>
            <w:vAlign w:val="bottom"/>
            <w:vMerge w:val="restart"/>
          </w:tcPr>
          <w:p>
            <w:pPr>
              <w:jc w:val="right"/>
              <w:ind w:right="2349"/>
              <w:spacing w:after="0"/>
              <w:rPr>
                <w:sz w:val="20"/>
                <w:szCs w:val="20"/>
                <w:color w:val="auto"/>
              </w:rPr>
            </w:pPr>
            <w:r>
              <w:rPr>
                <w:rFonts w:ascii="Times New Roman" w:cs="Times New Roman" w:eastAsia="Times New Roman" w:hAnsi="Times New Roman"/>
                <w:sz w:val="14"/>
                <w:szCs w:val="14"/>
                <w:color w:val="auto"/>
              </w:rPr>
              <w:t>35</w:t>
            </w: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50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6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22 – STATUTORY SURPLUS RESERVE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accordance with mainland China’s Foreign Enterprise Law, ACM Shanghai, ACM Lingang, and ACM Wuxi are required to make appropriation to reserve funds, comprising the statutory surplus reserve and discretionary surplus reserve, based on after-tax net income in accordance with generally accepted accounting principles of mainland China (“mainland China GAAP”).</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Appropriations to the statutory surplus reserve are required to be at least 10% of the after-tax net income determined in accordance with mainland China GAAP until the reserve is equal to 50% of the entities’ registered capital. The amount is calculated annually at the end of each calendar year. The balances of statutory reserve funds was $30,060 as of both June 30, 2024 and December 31, 2023, and is presented as statutory surplus reserve on the Company’s condensed consolidated balance sheets.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23 - SUBSEQUENT EVENTS</w:t>
      </w:r>
    </w:p>
    <w:p>
      <w:pPr>
        <w:spacing w:after="0" w:line="2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30, 2024, the Company entered into an agreement to acquire a commercial facility, comprised of 39,500 square foot total floor space and which includes a 5,200 square foot functional clean room, for a price of $7.75 million. This facility is located in the City of Hillsboro in Oregon, and is intended to further expand ACM’s R&amp;D and demonstration capability in the U.S. market. The purchase is scheduled to close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You should read the following discussion of our financial condition and results of operations together with our condensed consolidated financial statements and the related notes and other financial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information included elsewhere in this report and our Annual Report on Form 10-K for the fiscal year ended December 31, 2023, or our Annual Report. The following discussion contains</w:t>
      </w:r>
    </w:p>
    <w:p>
      <w:pPr>
        <w:spacing w:after="0" w:line="9"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i w:val="1"/>
          <w:iCs w:val="1"/>
          <w:color w:val="auto"/>
        </w:rPr>
        <w:t>forward</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looking statements. Factors that could cause 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contribute to these differences include those discussed in Part I, Item 1A. “Risk Factors” in our Annual Report, as well as those discussed below and elsewhere in this report, particularly in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section titled “Item 1A – Risk Factors” in Part II below.</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principal corporate office is located in Fremont, California. We conduct a substantial majority of our product development, manufacturing, support and services in mainland China through ACM Shanghai. We perform, through a subsidiary of ACM Shanghai, additional product development and subsystem production in Korea, and we conduct, through ACM Research, sales and marketing activities focused on sales of ACM Shanghai products in North America, Europe and certain regions in Asia outside mainland China.</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companies. ACM Research has a direct ownership interest in ACM Shanghai as the result of its holding 82.0%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Select Market. This determination was based on the facts aforementioned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IA. Risk Factors—Risks Related to International Aspects of Our Business—If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 in our Annual Report.</w:t>
      </w:r>
    </w:p>
    <w:p>
      <w:pPr>
        <w:spacing w:after="0" w:line="1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business of ACM Shanghai is subject to complex laws and regulations in mainland China that can change quickly with little or no advance notice. To date, beyond the COVID-19-related restrictions in 2022, we have not experienced such intervention or influence by mainland China central government authorities or a change in those authorities’ rules and regulations that have had a material impact on ACM Shanghai or ACM Research.</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in the ordinary course of business, ACM Shanghai is required to obtain certain operating permits and licenses necessary for it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3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regulatory authorities, and it could have a material adverse effect on our business, financial condition, results of operations, reputation and prospects and on the trading price of ACM Research Class A common stock, which could decline in value or become worthless.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chart depicts our corporate organization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4446270" cy="1791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4627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detailed description of how cash is transferred through our organization is set forth under “Note 2 – Summary of Significant Accounting Policies – Cash and Cash Equivalents” to the Condensed Consolidated Financial Statements of this report.</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Under current regulations, if ACM Research were to be included on the SEC's "Conclusive list of issuers identified under the HFCA Act"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 See “Item 1A. Risk Factors—Risks Related to International Aspects of Our Business—We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 in our Annual Report for more information.</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the matters discussed above, we are also subject to a number of legal and operational risks associated with our corporate structure, including as the result of a substantial portion of our operations being conducted in mainland 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Annual Report, in particular the risk factors addressing the following issues:</w:t>
      </w:r>
    </w:p>
    <w:p>
      <w:pPr>
        <w:spacing w:after="0" w:line="140" w:lineRule="exact"/>
        <w:rPr>
          <w:sz w:val="20"/>
          <w:szCs w:val="20"/>
          <w:color w:val="auto"/>
        </w:rPr>
      </w:pPr>
    </w:p>
    <w:p>
      <w:pPr>
        <w:jc w:val="both"/>
        <w:ind w:left="520" w:hanging="515"/>
        <w:spacing w:after="0" w:line="259"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 w:hanging="515"/>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Mainland China central government authorities may intervene in, or influence, ACM Shanghai’s mainland China-based operations at any time, and those authorities’ rules and regulations in mainland China can change quickly with little or no advance notice.</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Past statements and regulatory actions by mainland China central government authorities with respect to the use of VIEs and to data security and anti-monopoly concerns have not affected our ability</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conduct our business operations in mainland China. For further information, see “Item 1A. Risk Factors —Risks Related to International Aspects of Our Business” in our Annual Report for more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Since 2009 we have delivered more than 925 tools to our customers, more than 765 of which were repeat orders or acceptances upon contractual performance obligations having been met and thereby generated revenue to us. The balance of the delivered tools is subject to the customer's acceptance of the tool upon the tool's satisfaction of applicable contractual requirements or subject to the customer's subsequent discretionary commitment to purchase the tool.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ACM Shanghai Dividend</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June 2024, ACM Research's principal operating subsidiary, ACM Shanghai (SSEC: 688082.SS) held its Annual Stockholder Meeting in Shanghai, China and approved to pay a cash dividend for an aggregate total of approximately RMB 273.2 million (approximately $38.4 million) to the stockholders of ACM Shanghai. The dividend is expected to be paid by the end of 2024. ACM Research owns 82.0% of the outstanding shares of ACM Shanghai. It is possible that ACM Shanghai may not pay the dividend per the approved resolutions, and even if paid, the net amount and the timing of any proceeds to be repatriated by ACM Research to the United States would be uncertain. If the dividend is paid, ACM Research intends to use the net proceeds, if any, for working capital and general corporate purposes.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ACM Shanghai Proposed Private Offering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January 2024, ACM Research announced that ACM Shanghai intends to offer up to 43.6 million of its ordinary shares, subject to market conditions, the approval of ACM Shanghai’s stockholders, completion of the review process by the Shanghai Stock Exchange, completion of the registration process by the China Securities Regulatory Commission, and other factors, in a private offering to qualified buyers, in compliance with the requirements of the China Securities Regulatory Commission, which would constitute up to 10% of ACM Shanghai’s share capital prior to the transaction (the “Private Offering”).</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ACM Research estimates that if consummated in full, the proposed Private Offering would generate gross proceeds of up to RMB 4.5 billion ($625 million) to ACM Shanghai, whose management would have broad discretion over the use of such proceeds. It is unlikely that any of such proceeds would be distributed to ACM Research, and that its equity interest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ACM Shanghai would decline from 82.0% to approximately 74.6%. As of June 30, 2024 and the date of this report, the proposed Private Offering has not been completed.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Mainland China Government Research and Development Funding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Since 2008, ACM Shanghai has received various government grants for the development and commercialization of certain technologies and the development of the R&amp;D and production center in the Lingang Special Area of Shanghai (note 13). The governmental grants contain certain operating conditions, in some cases require us to also invest certain amounts, and are subject to a government due-diligence review process upon completion of the project. The grants are recorded as long-term liabilities upon receipt, although we are not required to return any funds. Other subsidies are the subsidies received from government without further performance obligation.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Grant amounts are recognized in our statements of comprehensive income (loss) as follows:</w:t>
      </w:r>
    </w:p>
    <w:p>
      <w:pPr>
        <w:spacing w:after="0" w:line="23" w:lineRule="exact"/>
        <w:rPr>
          <w:sz w:val="20"/>
          <w:szCs w:val="20"/>
          <w:color w:val="auto"/>
        </w:rPr>
      </w:pPr>
    </w:p>
    <w:p>
      <w:pPr>
        <w:jc w:val="both"/>
        <w:ind w:left="520" w:hanging="515"/>
        <w:spacing w:after="0" w:line="266"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subsidies are recorded as reductions of current expenses in the periods in which the qualified expenses are incurred. For the six months ended June 30, 2024 and 2023, government subsidies recognized as reductions of relevant expenses in the condensed consolidated statements of comprehensive income (loss) were $0.6 million and $0.8 million, respectively.</w:t>
      </w:r>
    </w:p>
    <w:p>
      <w:pPr>
        <w:spacing w:after="0" w:line="152" w:lineRule="exact"/>
        <w:rPr>
          <w:rFonts w:ascii="Times New Roman" w:cs="Times New Roman" w:eastAsia="Times New Roman" w:hAnsi="Times New Roman"/>
          <w:sz w:val="14"/>
          <w:szCs w:val="14"/>
          <w:color w:val="auto"/>
        </w:rPr>
      </w:pPr>
    </w:p>
    <w:p>
      <w:pPr>
        <w:ind w:left="520" w:hanging="515"/>
        <w:spacing w:after="0" w:line="266"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subsidies are recorded as other income in the periods as incurred. For the six months ended June 30, 2024 and 2023, related government subsidies recognized as other income in the condensed consolidated statements of comprehensive income (loss) were $1.8 million and $0.2 million,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Attributable to Non-Controlling Interests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2019 ACM Shanghai sold a total number of shares representing 8.3% of its outstanding ACM Shanghai shares, after which ACM Research held the remaining 91.7% of ACM Shanghai’s outstanding shares. In 2021 ACM Shanghai sold a total number of shares representing an additional 10% of its outstanding ACM Shanghai shares in its STAR IPO, after which ACM Research held the remaining 82.5% of ACM Shanghai’s outstanding shares. However, in May 2023, ACM Research's ownership declined to 82.1% due to the exercise of 2,150,309 stock options related to ACM Shanghai shares. In June 2024, ACM Research's ownership further declined to 82.0% due to the exercise of 446,154 stock options related to ACM Shanghai shares. As a result, we reflect the portion of our net income allocable to the minority holders of ACM Shanghai shares as net income attributable to non-controlling interests.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preparing our condensed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condensed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believe that the assumptions, judgments and estimates involved in the accounting for the following accounting policies have the greatest potential impact on our condensed consolidated financial statements, and we therefore consider these to be our critical accounting estimates. For information on our significant accounting policies, see Note 2 in the notes to condensed consolidated financial statements in Part I, Item 1 of this report and in the Notes to Condensed Consolidated Financial Statements in Part II, Item 8 of our Annual Report, describe the significant accounting policies and methods used in the preparation of the Company’s condensed consolidated financial statements. There have been no material changes to the Company’s critical accounting estimates included in our Annual Report.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discussion of recent accounting pronouncements is included in our Annual Report and is updated in Note 2 to the condensed consolidated financial statements included in this report.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40"/>
        </w:trPr>
        <w:tc>
          <w:tcPr>
            <w:tcW w:w="6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sets forth our results of operations for the periods presented, as percentages of revenue.</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82"/>
        </w:trPr>
        <w:tc>
          <w:tcPr>
            <w:tcW w:w="4200" w:type="dxa"/>
            <w:vAlign w:val="bottom"/>
          </w:tcPr>
          <w:p>
            <w:pPr>
              <w:spacing w:after="0"/>
              <w:rPr>
                <w:sz w:val="24"/>
                <w:szCs w:val="24"/>
                <w:color w:val="auto"/>
              </w:rPr>
            </w:pPr>
          </w:p>
        </w:tc>
        <w:tc>
          <w:tcPr>
            <w:tcW w:w="27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140" w:type="dxa"/>
            <w:vAlign w:val="bottom"/>
            <w:gridSpan w:val="3"/>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4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1"/>
        </w:trPr>
        <w:tc>
          <w:tcPr>
            <w:tcW w:w="4200" w:type="dxa"/>
            <w:vAlign w:val="bottom"/>
          </w:tcPr>
          <w:p>
            <w:pPr>
              <w:spacing w:after="0"/>
              <w:rPr>
                <w:sz w:val="15"/>
                <w:szCs w:val="15"/>
                <w:color w:val="auto"/>
              </w:rPr>
            </w:pPr>
          </w:p>
        </w:tc>
        <w:tc>
          <w:tcPr>
            <w:tcW w:w="13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5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420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9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22"/>
        </w:trPr>
        <w:tc>
          <w:tcPr>
            <w:tcW w:w="420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3"/>
        </w:trPr>
        <w:tc>
          <w:tcPr>
            <w:tcW w:w="42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Gross margin</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w:t>
            </w: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r>
      <w:tr>
        <w:trPr>
          <w:trHeight w:val="22"/>
        </w:trPr>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2"/>
        </w:trPr>
        <w:tc>
          <w:tcPr>
            <w:tcW w:w="42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91"/>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2"/>
        </w:trPr>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2"/>
        </w:trPr>
        <w:tc>
          <w:tcPr>
            <w:tcW w:w="42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1"/>
        </w:trPr>
        <w:tc>
          <w:tcPr>
            <w:tcW w:w="4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operating expenses, net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r>
      <w:tr>
        <w:trPr>
          <w:trHeight w:val="22"/>
        </w:trPr>
        <w:tc>
          <w:tcPr>
            <w:tcW w:w="420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4200" w:type="dxa"/>
            <w:vAlign w:val="bottom"/>
            <w:tcBorders>
              <w:bottom w:val="single" w:sz="8" w:color="CFF0FC"/>
            </w:tcBorders>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Income from operations</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9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
        </w:trPr>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2"/>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Realized gain from sale of short-term investments</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short-term investments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2"/>
        </w:trPr>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2"/>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equity method investments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2"/>
        </w:trPr>
        <w:tc>
          <w:tcPr>
            <w:tcW w:w="420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4200" w:type="dxa"/>
            <w:vAlign w:val="bottom"/>
            <w:tcBorders>
              <w:bottom w:val="single" w:sz="8" w:color="CFF0FC"/>
            </w:tcBorders>
            <w:shd w:val="clear" w:color="auto" w:fill="CFF0FC"/>
          </w:tcPr>
          <w:p>
            <w:pPr>
              <w:ind w:left="9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19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2"/>
        </w:trPr>
        <w:tc>
          <w:tcPr>
            <w:tcW w:w="420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4200" w:type="dxa"/>
            <w:vAlign w:val="bottom"/>
            <w:tcBorders>
              <w:bottom w:val="single" w:sz="8" w:color="CFF0FC"/>
            </w:tcBorders>
            <w:shd w:val="clear" w:color="auto" w:fill="CFF0FC"/>
          </w:tcPr>
          <w:p>
            <w:pPr>
              <w:ind w:left="900"/>
              <w:spacing w:after="0"/>
              <w:rPr>
                <w:sz w:val="20"/>
                <w:szCs w:val="20"/>
                <w:color w:val="auto"/>
              </w:rPr>
            </w:pPr>
            <w:r>
              <w:rPr>
                <w:rFonts w:ascii="Times New Roman" w:cs="Times New Roman" w:eastAsia="Times New Roman" w:hAnsi="Times New Roman"/>
                <w:sz w:val="14"/>
                <w:szCs w:val="14"/>
                <w:color w:val="auto"/>
              </w:rPr>
              <w:t>Net income</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9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2"/>
        </w:trPr>
        <w:tc>
          <w:tcPr>
            <w:tcW w:w="420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8"/>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ACM Research, Inc.</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15.6 %</w:t>
            </w: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bottom w:val="single" w:sz="8" w:color="auto"/>
            </w:tcBorders>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Three Months Ended June 30, 2024 and 2023</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4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180" w:type="dxa"/>
            <w:vAlign w:val="bottom"/>
          </w:tcPr>
          <w:p>
            <w:pPr>
              <w:spacing w:after="0"/>
              <w:rPr>
                <w:sz w:val="24"/>
                <w:szCs w:val="24"/>
                <w:color w:val="auto"/>
              </w:rPr>
            </w:pPr>
          </w:p>
        </w:tc>
        <w:tc>
          <w:tcPr>
            <w:tcW w:w="25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line="20" w:lineRule="exact"/>
              <w:rPr>
                <w:sz w:val="1"/>
                <w:szCs w:val="1"/>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Absolute Change</w:t>
            </w: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9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40" w:type="dxa"/>
            <w:vAlign w:val="bottom"/>
          </w:tcPr>
          <w:p>
            <w:pPr>
              <w:spacing w:after="0"/>
              <w:rPr>
                <w:sz w:val="16"/>
                <w:szCs w:val="16"/>
                <w:color w:val="auto"/>
              </w:rPr>
            </w:pPr>
          </w:p>
        </w:tc>
        <w:tc>
          <w:tcPr>
            <w:tcW w:w="13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8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Single wafer cleaning, Tahoe and semi-critical cleaning equipment</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153,221</w:t>
            </w:r>
          </w:p>
        </w:tc>
        <w:tc>
          <w:tcPr>
            <w:tcW w:w="80" w:type="dxa"/>
            <w:vAlign w:val="bottom"/>
          </w:tcPr>
          <w:p>
            <w:pPr>
              <w:spacing w:after="0"/>
              <w:rPr>
                <w:sz w:val="18"/>
                <w:szCs w:val="18"/>
                <w:color w:val="auto"/>
              </w:rPr>
            </w:pPr>
          </w:p>
        </w:tc>
        <w:tc>
          <w:tcPr>
            <w:tcW w:w="92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112,528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40,693</w:t>
            </w: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ECP (front-end and packaging), furnace and other technologies</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38,962</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103.8 %</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19,845</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Advanced packaging (excluding ECP), services &amp; spares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(2,635)</w:t>
            </w:r>
          </w:p>
        </w:tc>
        <w:tc>
          <w:tcPr>
            <w:tcW w:w="0" w:type="dxa"/>
            <w:vAlign w:val="bottom"/>
          </w:tcPr>
          <w:p>
            <w:pPr>
              <w:spacing w:after="0"/>
              <w:rPr>
                <w:sz w:val="1"/>
                <w:szCs w:val="1"/>
                <w:color w:val="auto"/>
              </w:rPr>
            </w:pP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by Product Category</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202,480</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144,577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40.0 %</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b w:val="1"/>
                <w:bCs w:val="1"/>
                <w:color w:val="auto"/>
              </w:rPr>
              <w:t>57,903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increase in revenue for three months ended June 30, 2024 as compared to the same period in 2023 reflects higher sales of single wafer cleaning, Tahoe and semi-critical cleaning equipment, and ECP (front-end and packaging), furnace and other technologies, partly offset by lower Advanced packaging (excluding ECP), services and spares. The increased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demand from is due in part to a longer term commitment by our mainland China-based customers to increase production capacity to achieve a greater share of the global semiconductor market.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Cost of Revenue and Gross Margin</w:t>
            </w: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3620" w:type="dxa"/>
            <w:vAlign w:val="bottom"/>
          </w:tcPr>
          <w:p>
            <w:pPr>
              <w:spacing w:after="0"/>
              <w:rPr>
                <w:sz w:val="24"/>
                <w:szCs w:val="24"/>
                <w:color w:val="auto"/>
              </w:rPr>
            </w:pPr>
          </w:p>
        </w:tc>
        <w:tc>
          <w:tcPr>
            <w:tcW w:w="27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Absolute Change</w:t>
            </w:r>
          </w:p>
        </w:tc>
        <w:tc>
          <w:tcPr>
            <w:tcW w:w="0" w:type="dxa"/>
            <w:vAlign w:val="bottom"/>
          </w:tcPr>
          <w:p>
            <w:pPr>
              <w:spacing w:after="0"/>
              <w:rPr>
                <w:sz w:val="1"/>
                <w:szCs w:val="1"/>
                <w:color w:val="auto"/>
              </w:rPr>
            </w:pPr>
          </w:p>
        </w:tc>
      </w:tr>
      <w:tr>
        <w:trPr>
          <w:trHeight w:val="154"/>
        </w:trPr>
        <w:tc>
          <w:tcPr>
            <w:tcW w:w="3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3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000" w:type="dxa"/>
            <w:vAlign w:val="bottom"/>
            <w:tcBorders>
              <w:bottom w:val="single" w:sz="8" w:color="CFF0FC"/>
            </w:tcBorders>
            <w:shd w:val="clear" w:color="auto" w:fill="CFF0FC"/>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ind w:right="149"/>
              <w:spacing w:after="0"/>
              <w:rPr>
                <w:sz w:val="20"/>
                <w:szCs w:val="20"/>
                <w:color w:val="auto"/>
              </w:rPr>
            </w:pPr>
            <w:r>
              <w:rPr>
                <w:rFonts w:ascii="Times New Roman" w:cs="Times New Roman" w:eastAsia="Times New Roman" w:hAnsi="Times New Roman"/>
                <w:sz w:val="14"/>
                <w:szCs w:val="14"/>
                <w:color w:val="auto"/>
              </w:rPr>
              <w:t>105,696</w:t>
            </w:r>
          </w:p>
        </w:tc>
        <w:tc>
          <w:tcPr>
            <w:tcW w:w="1060" w:type="dxa"/>
            <w:vAlign w:val="bottom"/>
            <w:tcBorders>
              <w:bottom w:val="single" w:sz="8" w:color="CFF0FC"/>
            </w:tcBorders>
            <w:shd w:val="clear" w:color="auto" w:fill="CFF0FC"/>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75,938</w:t>
            </w:r>
          </w:p>
        </w:tc>
        <w:tc>
          <w:tcPr>
            <w:tcW w:w="100" w:type="dxa"/>
            <w:vAlign w:val="bottom"/>
            <w:tcBorders>
              <w:bottom w:val="single" w:sz="8" w:color="CFF0FC"/>
            </w:tcBorders>
            <w:shd w:val="clear" w:color="auto" w:fill="CFF0FC"/>
          </w:tcPr>
          <w:p>
            <w:pPr>
              <w:spacing w:after="0"/>
              <w:rPr>
                <w:sz w:val="16"/>
                <w:szCs w:val="16"/>
                <w:color w:val="auto"/>
              </w:rPr>
            </w:pPr>
          </w:p>
        </w:tc>
        <w:tc>
          <w:tcPr>
            <w:tcW w:w="17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39.2 %  $</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29,758</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00" w:type="dxa"/>
            <w:vAlign w:val="bottom"/>
          </w:tcPr>
          <w:p>
            <w:pPr>
              <w:spacing w:after="0"/>
              <w:rPr>
                <w:sz w:val="16"/>
                <w:szCs w:val="16"/>
                <w:color w:val="auto"/>
              </w:rPr>
            </w:pPr>
          </w:p>
        </w:tc>
        <w:tc>
          <w:tcPr>
            <w:tcW w:w="7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96,784</w:t>
            </w:r>
          </w:p>
        </w:tc>
        <w:tc>
          <w:tcPr>
            <w:tcW w:w="1060" w:type="dxa"/>
            <w:vAlign w:val="bottom"/>
          </w:tcPr>
          <w:p>
            <w:pPr>
              <w:spacing w:after="0"/>
              <w:rPr>
                <w:sz w:val="16"/>
                <w:szCs w:val="16"/>
                <w:color w:val="auto"/>
              </w:rPr>
            </w:pP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68,639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28,145</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10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47.8 %</w:t>
            </w:r>
          </w:p>
        </w:tc>
        <w:tc>
          <w:tcPr>
            <w:tcW w:w="10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32bps</w:t>
            </w:r>
          </w:p>
        </w:tc>
        <w:tc>
          <w:tcPr>
            <w:tcW w:w="0" w:type="dxa"/>
            <w:vAlign w:val="bottom"/>
          </w:tcPr>
          <w:p>
            <w:pPr>
              <w:spacing w:after="0"/>
              <w:rPr>
                <w:sz w:val="1"/>
                <w:szCs w:val="1"/>
                <w:color w:val="auto"/>
              </w:rPr>
            </w:pPr>
          </w:p>
        </w:tc>
      </w:tr>
      <w:tr>
        <w:trPr>
          <w:trHeight w:val="22"/>
        </w:trPr>
        <w:tc>
          <w:tcPr>
            <w:tcW w:w="36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Cost of revenue and gross profit increased in the three months ended June 30, 2024 as compared to the corresponding period in 2023 due to the increased sales volume together with a slight increase in gross margin. The increase in gross margin versus the prior-year period was primarily due to revenue mix between product categories, net of a favorable impact from fluctuations in the RMB to U.S. dollar exchange rate. 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4160" w:type="dxa"/>
            <w:vAlign w:val="bottom"/>
          </w:tcPr>
          <w:p>
            <w:pPr>
              <w:spacing w:after="0"/>
              <w:rPr>
                <w:sz w:val="24"/>
                <w:szCs w:val="24"/>
                <w:color w:val="auto"/>
              </w:rPr>
            </w:pPr>
          </w:p>
        </w:tc>
        <w:tc>
          <w:tcPr>
            <w:tcW w:w="266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line="20" w:lineRule="exact"/>
              <w:rPr>
                <w:sz w:val="1"/>
                <w:szCs w:val="1"/>
                <w:color w:val="auto"/>
              </w:rPr>
            </w:pPr>
          </w:p>
        </w:tc>
        <w:tc>
          <w:tcPr>
            <w:tcW w:w="13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Absolute Change</w:t>
            </w:r>
          </w:p>
        </w:tc>
        <w:tc>
          <w:tcPr>
            <w:tcW w:w="0" w:type="dxa"/>
            <w:vAlign w:val="bottom"/>
          </w:tcPr>
          <w:p>
            <w:pPr>
              <w:spacing w:after="0"/>
              <w:rPr>
                <w:sz w:val="1"/>
                <w:szCs w:val="1"/>
                <w:color w:val="auto"/>
              </w:rPr>
            </w:pPr>
          </w:p>
        </w:tc>
      </w:tr>
      <w:tr>
        <w:trPr>
          <w:trHeight w:val="154"/>
        </w:trPr>
        <w:tc>
          <w:tcPr>
            <w:tcW w:w="4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16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40" w:type="dxa"/>
            <w:vAlign w:val="bottom"/>
          </w:tcPr>
          <w:p>
            <w:pPr>
              <w:spacing w:after="0"/>
              <w:rPr>
                <w:sz w:val="16"/>
                <w:szCs w:val="16"/>
                <w:color w:val="auto"/>
              </w:rPr>
            </w:pPr>
          </w:p>
        </w:tc>
        <w:tc>
          <w:tcPr>
            <w:tcW w:w="13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gridSpan w:val="3"/>
          </w:tcPr>
          <w:p>
            <w:pPr>
              <w:jc w:val="right"/>
              <w:ind w:right="54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 expense</w:t>
            </w:r>
          </w:p>
        </w:tc>
        <w:tc>
          <w:tcPr>
            <w:tcW w:w="1020" w:type="dxa"/>
            <w:vAlign w:val="bottom"/>
            <w:tcBorders>
              <w:bottom w:val="single" w:sz="8" w:color="CFF0FC"/>
            </w:tcBorders>
            <w:shd w:val="clear" w:color="auto" w:fill="CFF0FC"/>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17,135</w:t>
            </w:r>
          </w:p>
        </w:tc>
        <w:tc>
          <w:tcPr>
            <w:tcW w:w="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11,439</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5,696</w:t>
            </w: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25,968</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29.4 %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0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16,088</w:t>
            </w:r>
          </w:p>
        </w:tc>
        <w:tc>
          <w:tcPr>
            <w:tcW w:w="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6,706</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139.9 %</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9,382</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2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59,191</w:t>
            </w: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38,209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54.9 %</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20,982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Sales and marketing expense </w:t>
      </w:r>
      <w:r>
        <w:rPr>
          <w:rFonts w:ascii="Times New Roman" w:cs="Times New Roman" w:eastAsia="Times New Roman" w:hAnsi="Times New Roman"/>
          <w:sz w:val="14"/>
          <w:szCs w:val="14"/>
          <w:color w:val="auto"/>
        </w:rPr>
        <w:t>increased in the three months ended June 30, 2024 as compared to the corresponding period in 2023, reflecting an increase of $3.5 million due to increased costs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personnel, commissions, travel &amp; entertainment, outside service, and professional services, and $2.6 million in stock-based compensation, offset by $0.4 million decrease in warranty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marketing expense consists primarily of:</w:t>
      </w:r>
    </w:p>
    <w:p>
      <w:pPr>
        <w:spacing w:after="0" w:line="179" w:lineRule="exact"/>
        <w:rPr>
          <w:sz w:val="20"/>
          <w:szCs w:val="20"/>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of personnel associated with pre-sale and after-sale services and support and other sales and marketing activities, including stock-based compensation;</w:t>
      </w:r>
    </w:p>
    <w:p>
      <w:pPr>
        <w:spacing w:after="0" w:line="2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commissions paid to independent sales representatives;</w:t>
      </w:r>
    </w:p>
    <w:p>
      <w:pPr>
        <w:spacing w:after="0" w:line="8"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paid to sales consultants;</w:t>
      </w:r>
    </w:p>
    <w:p>
      <w:pPr>
        <w:spacing w:after="0" w:line="8"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trade shows;</w:t>
      </w:r>
    </w:p>
    <w:p>
      <w:pPr>
        <w:spacing w:after="0" w:line="8"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tools built for promotional purposes for potential new customers;</w:t>
      </w:r>
    </w:p>
    <w:p>
      <w:pPr>
        <w:spacing w:after="0" w:line="8"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travel and entertainment; and</w:t>
      </w:r>
    </w:p>
    <w:p>
      <w:pPr>
        <w:spacing w:after="0" w:line="8"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allocated overhead for rent and utilities.</w:t>
      </w:r>
    </w:p>
    <w:p>
      <w:pPr>
        <w:spacing w:after="0" w:line="16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expect that, for the foreseeable future, sales and marketing expenses will increase in dollars, as we incur additional costs associated with growing our customer base in mainland China and regions outside of mainland China.</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expense </w:t>
      </w:r>
      <w:r>
        <w:rPr>
          <w:rFonts w:ascii="Times New Roman" w:cs="Times New Roman" w:eastAsia="Times New Roman" w:hAnsi="Times New Roman"/>
          <w:sz w:val="14"/>
          <w:szCs w:val="14"/>
          <w:color w:val="auto"/>
        </w:rPr>
        <w:t>increased in the three months ended June 30, 2024 as compared to the corresponding period in 2023, reflecting an increase of $3.5 million in stock-based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compensation, $2.0 million in R&amp;D-related personnel costs, and $1.6 million in depreciation, outside services and other R&amp;D-related costs, offset by a $1.2 million decrease in costs of components for tools built for product development purposes.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expense represented 12.8% and 13.9% of our revenue in the three months ended June 30, 2024 and 2023, respectively. Without reduction by grant amounts received from mainland China governmental authorities (see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Mainland China Government Research and Development Funding’’), gross research and development expense totaled $26.1 million, or 12.9% of total revenue, in the three months ended June 30, 2024 as compared to $20.3 million, or 14.1% of revenue, in the corresponding period in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expense consists primarily of:</w:t>
      </w:r>
    </w:p>
    <w:p>
      <w:pPr>
        <w:spacing w:after="0" w:line="179" w:lineRule="exact"/>
        <w:rPr>
          <w:sz w:val="20"/>
          <w:szCs w:val="20"/>
          <w:color w:val="auto"/>
        </w:rPr>
      </w:pPr>
    </w:p>
    <w:p>
      <w:pPr>
        <w:ind w:left="900" w:hanging="513"/>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of personnel associated with our research and development activities, including stock based compensation;</w:t>
      </w:r>
    </w:p>
    <w:p>
      <w:pPr>
        <w:spacing w:after="0" w:line="2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components and other research and development supplies;</w:t>
      </w:r>
    </w:p>
    <w:p>
      <w:pPr>
        <w:spacing w:after="0" w:line="8"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tools built for product development purposes;</w:t>
      </w:r>
    </w:p>
    <w:p>
      <w:pPr>
        <w:spacing w:after="0" w:line="8"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travel expense associated with the research of technical requirements for product development purposes and testing of concepts under consideration;</w:t>
      </w:r>
    </w:p>
    <w:p>
      <w:pPr>
        <w:spacing w:after="0" w:line="8"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costs of software used for research and development purposes; and</w:t>
      </w:r>
    </w:p>
    <w:p>
      <w:pPr>
        <w:spacing w:after="0" w:line="8"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allocated overhead for rent and utilities.</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expect that, for the foreseeable future, research and development expenses will increase in dollars, as we incur additional costs to expand our product portfolio to address additional production steps and expand our research and development team to new regions.</w:t>
      </w:r>
    </w:p>
    <w:p>
      <w:pPr>
        <w:spacing w:after="0" w:line="14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expense </w:t>
      </w:r>
      <w:r>
        <w:rPr>
          <w:rFonts w:ascii="Times New Roman" w:cs="Times New Roman" w:eastAsia="Times New Roman" w:hAnsi="Times New Roman"/>
          <w:sz w:val="14"/>
          <w:szCs w:val="14"/>
          <w:color w:val="auto"/>
        </w:rPr>
        <w:t>increased in the three months ended June 30, 2024 as compared to the corresponding period in 2023, primarily reflecting a $5.6 million increase in stock 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compensation, a $3.2 million in personnel and other costs related to general and administrative costs, and a $0.6 million increase in allowance for credit losses.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and administrative expense consists primarily of:</w:t>
      </w:r>
    </w:p>
    <w:p>
      <w:pPr>
        <w:spacing w:after="0" w:line="179" w:lineRule="exact"/>
        <w:rPr>
          <w:sz w:val="20"/>
          <w:szCs w:val="20"/>
          <w:color w:val="auto"/>
        </w:rPr>
      </w:pPr>
    </w:p>
    <w:p>
      <w:pPr>
        <w:ind w:left="900" w:hanging="513"/>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of executive, accounting and finance, human resources, information technology, and other administrative personnel, including stock-based compensation;</w:t>
      </w:r>
    </w:p>
    <w:p>
      <w:pPr>
        <w:spacing w:after="0" w:line="2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 fees, including accounting and corporate legal and defense fees;</w:t>
      </w:r>
    </w:p>
    <w:p>
      <w:pPr>
        <w:spacing w:after="0" w:line="8"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corporate expenses including insurance;</w:t>
      </w:r>
    </w:p>
    <w:p>
      <w:pPr>
        <w:spacing w:after="0" w:line="8"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allowance for credit losses; and</w:t>
      </w:r>
    </w:p>
    <w:p>
      <w:pPr>
        <w:spacing w:after="0" w:line="8"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allocated overhead for rent and utilities.</w:t>
      </w:r>
    </w:p>
    <w:p>
      <w:pPr>
        <w:spacing w:after="0" w:line="16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expect that, for the foreseeable future, general and administrative expenses will increase in dollars, as we incur additional costs associated with growing our business, operating ACM Research, as a public company in the United States and operating ACM Shanghai as a public company in mainland China.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Interest income, net, Other Income, net</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3680" w:type="dxa"/>
            <w:vAlign w:val="bottom"/>
          </w:tcPr>
          <w:p>
            <w:pPr>
              <w:spacing w:after="0"/>
              <w:rPr>
                <w:sz w:val="24"/>
                <w:szCs w:val="24"/>
                <w:color w:val="auto"/>
              </w:rPr>
            </w:pPr>
          </w:p>
        </w:tc>
        <w:tc>
          <w:tcPr>
            <w:tcW w:w="270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line="20" w:lineRule="exact"/>
              <w:rPr>
                <w:sz w:val="1"/>
                <w:szCs w:val="1"/>
                <w:color w:val="auto"/>
              </w:rPr>
            </w:pPr>
          </w:p>
        </w:tc>
        <w:tc>
          <w:tcPr>
            <w:tcW w:w="2500" w:type="dxa"/>
            <w:vAlign w:val="bottom"/>
            <w:gridSpan w:val="2"/>
            <w:vMerge w:val="restart"/>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Absolute Change</w:t>
            </w:r>
          </w:p>
        </w:tc>
        <w:tc>
          <w:tcPr>
            <w:tcW w:w="0" w:type="dxa"/>
            <w:vAlign w:val="bottom"/>
          </w:tcPr>
          <w:p>
            <w:pPr>
              <w:spacing w:after="0"/>
              <w:rPr>
                <w:sz w:val="1"/>
                <w:szCs w:val="1"/>
                <w:color w:val="auto"/>
              </w:rPr>
            </w:pPr>
          </w:p>
        </w:tc>
      </w:tr>
      <w:tr>
        <w:trPr>
          <w:trHeight w:val="154"/>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40" w:type="dxa"/>
            <w:vAlign w:val="bottom"/>
          </w:tcPr>
          <w:p>
            <w:pPr>
              <w:spacing w:after="0"/>
              <w:rPr>
                <w:sz w:val="16"/>
                <w:szCs w:val="16"/>
                <w:color w:val="auto"/>
              </w:rPr>
            </w:pPr>
          </w:p>
        </w:tc>
        <w:tc>
          <w:tcPr>
            <w:tcW w:w="25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40" w:type="dxa"/>
            <w:vAlign w:val="bottom"/>
            <w:tcBorders>
              <w:bottom w:val="single" w:sz="8" w:color="CFF0FC"/>
            </w:tcBorders>
            <w:shd w:val="clear" w:color="auto" w:fill="CFF0FC"/>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2,381</w:t>
            </w:r>
          </w:p>
        </w:tc>
        <w:tc>
          <w:tcPr>
            <w:tcW w:w="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40" w:type="dxa"/>
            <w:vAlign w:val="bottom"/>
          </w:tcPr>
          <w:p>
            <w:pPr>
              <w:spacing w:after="0"/>
              <w:rPr>
                <w:sz w:val="16"/>
                <w:szCs w:val="16"/>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43.6 %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68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5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1040" w:type="dxa"/>
            <w:vAlign w:val="bottom"/>
            <w:tcBorders>
              <w:bottom w:val="single" w:sz="8" w:color="auto"/>
            </w:tcBorders>
            <w:shd w:val="clear" w:color="auto" w:fill="CFF0FC"/>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1,449</w:t>
            </w:r>
          </w:p>
        </w:tc>
        <w:tc>
          <w:tcPr>
            <w:tcW w:w="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040" w:type="dxa"/>
            <w:vAlign w:val="bottom"/>
            <w:tcBorders>
              <w:bottom w:val="single" w:sz="8" w:color="CFF0FC"/>
            </w:tcBorders>
            <w:shd w:val="clear" w:color="auto" w:fill="CFF0FC"/>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1,357</w:t>
            </w:r>
          </w:p>
        </w:tc>
        <w:tc>
          <w:tcPr>
            <w:tcW w:w="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-63.6 %</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1"/>
        </w:trPr>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43</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Interest income (expense), net consists of interest earned on our cash and cash equivalents, restricted cash accounts, and short-term and long-term time deposits, offset by interest expense incurred from outstanding short-term and long-term borrowings. Interest income (expense), net decreased in the three months ended June 30, 2024 as compared to the corresponding period in 2023, as a result of changes in balances of cash, cash equivalents, time deposits, and debt, together with changes in interest rates earned or expensed on the respective balances.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income, net primarily reflects (a) gain recognized from the impact of exchange rates on our working-capital which was $1.3 million for the three months ended June 30, 2024 compared to $1.5 million loss recognized from the impact of exchange rates on our working capital for the three months ended June 30, 2023, (b) government subsidies, as described under “—Mainland China Government Research and Development Funding” above, and other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Realized gain and unrealized loss from short-term investment, and income (loss) from equity investments.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50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line="20" w:lineRule="exact"/>
              <w:rPr>
                <w:sz w:val="1"/>
                <w:szCs w:val="1"/>
                <w:color w:val="auto"/>
              </w:rPr>
            </w:pPr>
          </w:p>
        </w:tc>
        <w:tc>
          <w:tcPr>
            <w:tcW w:w="134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Absolute Change</w:t>
            </w:r>
          </w:p>
        </w:tc>
        <w:tc>
          <w:tcPr>
            <w:tcW w:w="0" w:type="dxa"/>
            <w:vAlign w:val="bottom"/>
          </w:tcPr>
          <w:p>
            <w:pPr>
              <w:spacing w:after="0"/>
              <w:rPr>
                <w:sz w:val="1"/>
                <w:szCs w:val="1"/>
                <w:color w:val="auto"/>
              </w:rPr>
            </w:pPr>
          </w:p>
        </w:tc>
      </w:tr>
      <w:tr>
        <w:trPr>
          <w:trHeight w:val="154"/>
        </w:trPr>
        <w:tc>
          <w:tcPr>
            <w:tcW w:w="4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40" w:type="dxa"/>
            <w:vAlign w:val="bottom"/>
          </w:tcPr>
          <w:p>
            <w:pPr>
              <w:spacing w:after="0"/>
              <w:rPr>
                <w:sz w:val="16"/>
                <w:szCs w:val="16"/>
                <w:color w:val="auto"/>
              </w:rPr>
            </w:pPr>
          </w:p>
        </w:tc>
        <w:tc>
          <w:tcPr>
            <w:tcW w:w="13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Realized gain from sale of short term investments</w:t>
            </w:r>
          </w:p>
        </w:tc>
        <w:tc>
          <w:tcPr>
            <w:tcW w:w="980" w:type="dxa"/>
            <w:vAlign w:val="bottom"/>
            <w:tcBorders>
              <w:bottom w:val="single" w:sz="8" w:color="CFF0FC"/>
            </w:tcBorders>
            <w:shd w:val="clear" w:color="auto" w:fill="CFF0FC"/>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FF0FC"/>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FF0FC"/>
            </w:tcBorders>
            <w:shd w:val="clear" w:color="auto" w:fill="CFF0FC"/>
          </w:tcPr>
          <w:p>
            <w:pPr>
              <w:jc w:val="center"/>
              <w:ind w:left="9"/>
              <w:spacing w:after="0"/>
              <w:rPr>
                <w:sz w:val="20"/>
                <w:szCs w:val="20"/>
                <w:color w:val="auto"/>
              </w:rPr>
            </w:pPr>
            <w:r>
              <w:rPr>
                <w:rFonts w:ascii="Times New Roman" w:cs="Times New Roman" w:eastAsia="Times New Roman" w:hAnsi="Times New Roman"/>
                <w:sz w:val="14"/>
                <w:szCs w:val="14"/>
                <w:color w:val="auto"/>
              </w:rPr>
              <w:t>3,919</w:t>
            </w:r>
          </w:p>
        </w:tc>
        <w:tc>
          <w:tcPr>
            <w:tcW w:w="80" w:type="dxa"/>
            <w:vAlign w:val="bottom"/>
            <w:tcBorders>
              <w:bottom w:val="single" w:sz="8" w:color="CFF0FC"/>
            </w:tcBorders>
            <w:shd w:val="clear" w:color="auto" w:fill="CFF0FC"/>
          </w:tcPr>
          <w:p>
            <w:pPr>
              <w:spacing w:after="0"/>
              <w:rPr>
                <w:sz w:val="16"/>
                <w:szCs w:val="16"/>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(3,919)</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short term investments</w:t>
            </w:r>
          </w:p>
        </w:tc>
        <w:tc>
          <w:tcPr>
            <w:tcW w:w="9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1,031</w:t>
            </w:r>
          </w:p>
        </w:tc>
        <w:tc>
          <w:tcPr>
            <w:tcW w:w="10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(2,455)</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rPr>
              <w:t>3,486</w:t>
            </w: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(loss) from equity method investments</w:t>
            </w:r>
          </w:p>
        </w:tc>
        <w:tc>
          <w:tcPr>
            <w:tcW w:w="980" w:type="dxa"/>
            <w:vAlign w:val="bottom"/>
            <w:shd w:val="clear" w:color="auto" w:fill="CFF0FC"/>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0" w:type="dxa"/>
            <w:vAlign w:val="bottom"/>
            <w:shd w:val="clear" w:color="auto" w:fill="CFF0FC"/>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center"/>
              <w:ind w:left="9"/>
              <w:spacing w:after="0"/>
              <w:rPr>
                <w:sz w:val="20"/>
                <w:szCs w:val="20"/>
                <w:color w:val="auto"/>
              </w:rPr>
            </w:pPr>
            <w:r>
              <w:rPr>
                <w:rFonts w:ascii="Times New Roman" w:cs="Times New Roman" w:eastAsia="Times New Roman" w:hAnsi="Times New Roman"/>
                <w:sz w:val="14"/>
                <w:szCs w:val="14"/>
                <w:color w:val="auto"/>
              </w:rPr>
              <w:t>3,920</w:t>
            </w:r>
          </w:p>
        </w:tc>
        <w:tc>
          <w:tcPr>
            <w:tcW w:w="8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80" w:type="dxa"/>
            <w:vAlign w:val="bottom"/>
            <w:shd w:val="clear" w:color="auto" w:fill="CFF0FC"/>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(4,615)</w:t>
            </w:r>
          </w:p>
        </w:tc>
        <w:tc>
          <w:tcPr>
            <w:tcW w:w="0" w:type="dxa"/>
            <w:vAlign w:val="bottom"/>
          </w:tcPr>
          <w:p>
            <w:pPr>
              <w:spacing w:after="0"/>
              <w:rPr>
                <w:sz w:val="1"/>
                <w:szCs w:val="1"/>
                <w:color w:val="auto"/>
              </w:rPr>
            </w:pPr>
          </w:p>
        </w:tc>
      </w:tr>
      <w:tr>
        <w:trPr>
          <w:trHeight w:val="22"/>
        </w:trPr>
        <w:tc>
          <w:tcPr>
            <w:tcW w:w="40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did not record a realized gain from sale of short term investments for the three months ended June 30, 2024 as compared to $3.9 million in the prior-year period due to a sale of short-term investments (note 15).</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recorded an unrealized gain on short term investments of $1.0 million for the three months ended June 30, 2024 as compared to an unrealized loss of $2.5 million for the same period in 2023, based on a change in market value of ACM Shanghai’s short-term investments (note 15).</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Loss from equity investments was $0.7 million for the three months ended June 30, 2024 as compared to income from equity method investments of $3.9 million in the same period in 2023 due to a decrease of net income from investments in affiliates (note 14).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presents components of income tax expense for the indicated periods:</w:t>
      </w:r>
    </w:p>
    <w:p>
      <w:pPr>
        <w:spacing w:after="0" w:line="219"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29845</wp:posOffset>
            </wp:positionV>
            <wp:extent cx="207518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75180" cy="6985"/>
                    </a:xfrm>
                    <a:prstGeom prst="rect">
                      <a:avLst/>
                    </a:prstGeom>
                    <a:noFill/>
                  </pic:spPr>
                </pic:pic>
              </a:graphicData>
            </a:graphic>
          </wp:anchor>
        </w:drawing>
      </w:r>
    </w:p>
    <w:p>
      <w:pPr>
        <w:spacing w:after="0" w:line="42" w:lineRule="exact"/>
        <w:rPr>
          <w:sz w:val="20"/>
          <w:szCs w:val="20"/>
          <w:color w:val="auto"/>
        </w:rPr>
      </w:pPr>
    </w:p>
    <w:p>
      <w:pPr>
        <w:ind w:left="6320"/>
        <w:spacing w:after="0"/>
        <w:tabs>
          <w:tab w:leader="none" w:pos="79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29845</wp:posOffset>
            </wp:positionV>
            <wp:extent cx="207518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75180" cy="13335"/>
                    </a:xfrm>
                    <a:prstGeom prst="rect">
                      <a:avLst/>
                    </a:prstGeom>
                    <a:noFill/>
                  </pic:spPr>
                </pic:pic>
              </a:graphicData>
            </a:graphic>
          </wp:anchor>
        </w:drawing>
      </w:r>
    </w:p>
    <w:p>
      <w:pPr>
        <w:spacing w:after="0" w:line="5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5672455" cy="141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2455" cy="141605"/>
                    </a:xfrm>
                    <a:prstGeom prst="rect">
                      <a:avLst/>
                    </a:prstGeom>
                    <a:noFill/>
                  </pic:spPr>
                </pic:pic>
              </a:graphicData>
            </a:graphic>
          </wp:anchor>
        </w:drawing>
      </w:r>
    </w:p>
    <w:p>
      <w:pPr>
        <w:spacing w:after="0" w:line="33" w:lineRule="exact"/>
        <w:rPr>
          <w:sz w:val="20"/>
          <w:szCs w:val="20"/>
          <w:color w:val="auto"/>
        </w:rPr>
      </w:pPr>
    </w:p>
    <w:p>
      <w:pPr>
        <w:ind w:left="20"/>
        <w:spacing w:after="0"/>
        <w:tabs>
          <w:tab w:leader="none" w:pos="5660" w:val="left"/>
          <w:tab w:leader="none" w:pos="6800" w:val="left"/>
          <w:tab w:leader="none" w:pos="7340" w:val="left"/>
          <w:tab w:leader="none" w:pos="8480" w:val="left"/>
        </w:tabs>
        <w:rPr>
          <w:sz w:val="20"/>
          <w:szCs w:val="20"/>
          <w:color w:val="auto"/>
        </w:rPr>
      </w:pPr>
      <w:r>
        <w:rPr>
          <w:rFonts w:ascii="Times New Roman" w:cs="Times New Roman" w:eastAsia="Times New Roman" w:hAnsi="Times New Roman"/>
          <w:sz w:val="14"/>
          <w:szCs w:val="14"/>
          <w:color w:val="auto"/>
        </w:rPr>
        <w:t>Total income tax expense</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(9,336)</w:t>
        <w:tab/>
        <w:t>$</w:t>
      </w:r>
      <w:r>
        <w:rPr>
          <w:sz w:val="20"/>
          <w:szCs w:val="20"/>
          <w:color w:val="auto"/>
        </w:rPr>
        <w:tab/>
      </w:r>
      <w:r>
        <w:rPr>
          <w:rFonts w:ascii="Times New Roman" w:cs="Times New Roman" w:eastAsia="Times New Roman" w:hAnsi="Times New Roman"/>
          <w:sz w:val="14"/>
          <w:szCs w:val="14"/>
          <w:color w:val="auto"/>
        </w:rPr>
        <w:t>(7,638)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34925</wp:posOffset>
            </wp:positionV>
            <wp:extent cx="207518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75180" cy="6985"/>
                    </a:xfrm>
                    <a:prstGeom prst="rect">
                      <a:avLst/>
                    </a:prstGeom>
                    <a:noFill/>
                  </pic:spPr>
                </pic:pic>
              </a:graphicData>
            </a:graphic>
          </wp:anchor>
        </w:drawing>
      </w: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recognized a tax expense of $9.3 million for the three months ended June 30, 2024 as compared to a tax expense of $7.6 million for the prior year period. The tax expense for the three months ended June 30, 2024 primarily resulted from the tax effect of an increase in our effective income tax rate applied to an increase in operating profit for the period. The increase in our effective income tax rate for the three months ended June 30, 2023 compared to the same period of the prior year was primarily due to an increase in capitalized R&amp;D expenses in certain foreign jurisdictions.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effective tax rate differs from statutory rates of 21% for U.S. federal income tax purposes and 12.5% to 25% for mainland China income tax purposes due to the effects of the valuation allowance and certain permanent differences as it pertains to book-tax differences in the treatment of stock-based compensation and non-U.S. research expenses. Our four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mainland China subsidiaries, ACM Shanghai, ACM Wuxi, ACM Beijing, and ACM Lingang, are liable for mainland China corporate income taxes at the rates of 15%, 25%, 25%, and 15%, respectively. Pursuant to the Corporate Income Tax Law of mainland China, our mainland China subsidiaries generally would be liable for mainland China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and is expected to be re-certified for future years in 2024. In 2021, ACM Shanghai was certified as an eligible integrated circuit production enterprise and was entitled to a preferential income tax rate of 12.5% from January 1, 2020 to December 31, 2022. Certain entities which meet requirements according to the Policy of the Lingang New area in China (Shanghai) Pilot Free Trade Zone are entitled to a preferential income tax rate of 15%. ACM Lingang was certified for this in 2021, and this preferential income tax rate is valid from January 1, 2020 until December 31, 2024. We file income tax returns in the United States and state and foreign jurisdictions.</w:t>
      </w:r>
    </w:p>
    <w:p>
      <w:pPr>
        <w:spacing w:after="0" w:line="3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Net Income Attributable to Non-Controlling Interests</w:t>
            </w: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4460" w:type="dxa"/>
            <w:vAlign w:val="bottom"/>
          </w:tcPr>
          <w:p>
            <w:pPr>
              <w:spacing w:after="0"/>
              <w:rPr>
                <w:sz w:val="24"/>
                <w:szCs w:val="24"/>
                <w:color w:val="auto"/>
              </w:rPr>
            </w:pPr>
          </w:p>
        </w:tc>
        <w:tc>
          <w:tcPr>
            <w:tcW w:w="272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Absolute Change</w:t>
            </w:r>
          </w:p>
        </w:tc>
        <w:tc>
          <w:tcPr>
            <w:tcW w:w="0" w:type="dxa"/>
            <w:vAlign w:val="bottom"/>
          </w:tcPr>
          <w:p>
            <w:pPr>
              <w:spacing w:after="0"/>
              <w:rPr>
                <w:sz w:val="1"/>
                <w:szCs w:val="1"/>
                <w:color w:val="auto"/>
              </w:rPr>
            </w:pPr>
          </w:p>
        </w:tc>
      </w:tr>
      <w:tr>
        <w:trPr>
          <w:trHeight w:val="154"/>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1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2024 v 2023</w:t>
            </w: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7,189</w:t>
            </w:r>
          </w:p>
        </w:tc>
        <w:tc>
          <w:tcPr>
            <w:tcW w:w="80" w:type="dxa"/>
            <w:vAlign w:val="bottom"/>
            <w:shd w:val="clear" w:color="auto" w:fill="CFF0FC"/>
          </w:tcPr>
          <w:p>
            <w:pPr>
              <w:spacing w:after="0"/>
              <w:rPr>
                <w:sz w:val="16"/>
                <w:szCs w:val="16"/>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6,772</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6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6.2 %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22"/>
        </w:trPr>
        <w:tc>
          <w:tcPr>
            <w:tcW w:w="4460" w:type="dxa"/>
            <w:vAlign w:val="bottom"/>
            <w:shd w:val="clear" w:color="auto" w:fill="CFF0FC"/>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ACM Research owns 82.0% of ACM Shanghai’s (note 1) outstanding shares which is reflected in our condensed consolidated financial statements. We reflect the portion of net income allocable to the minority holders of ACM Shanghai shares as net income attributable to non-controlling interests.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Foreign currency translation adjustment</w:t>
            </w: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4480" w:type="dxa"/>
            <w:vAlign w:val="bottom"/>
          </w:tcPr>
          <w:p>
            <w:pPr>
              <w:spacing w:after="0"/>
              <w:rPr>
                <w:sz w:val="24"/>
                <w:szCs w:val="24"/>
                <w:color w:val="auto"/>
              </w:rPr>
            </w:pPr>
          </w:p>
        </w:tc>
        <w:tc>
          <w:tcPr>
            <w:tcW w:w="264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Absolute Change</w:t>
            </w:r>
          </w:p>
        </w:tc>
        <w:tc>
          <w:tcPr>
            <w:tcW w:w="0" w:type="dxa"/>
            <w:vAlign w:val="bottom"/>
          </w:tcPr>
          <w:p>
            <w:pPr>
              <w:spacing w:after="0"/>
              <w:rPr>
                <w:sz w:val="1"/>
                <w:szCs w:val="1"/>
                <w:color w:val="auto"/>
              </w:rPr>
            </w:pPr>
          </w:p>
        </w:tc>
      </w:tr>
      <w:tr>
        <w:trPr>
          <w:trHeight w:val="154"/>
        </w:trPr>
        <w:tc>
          <w:tcPr>
            <w:tcW w:w="4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3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2024 v 2023</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80" w:type="dxa"/>
            <w:vAlign w:val="bottom"/>
            <w:gridSpan w:val="2"/>
          </w:tcPr>
          <w:p>
            <w:pPr>
              <w:jc w:val="center"/>
              <w:ind w:right="40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80" w:type="dxa"/>
            <w:vAlign w:val="bottom"/>
            <w:shd w:val="clear" w:color="auto" w:fill="CFF0FC"/>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(35,269)</w:t>
            </w:r>
          </w:p>
        </w:tc>
        <w:tc>
          <w:tcPr>
            <w:tcW w:w="80" w:type="dxa"/>
            <w:vAlign w:val="bottom"/>
            <w:shd w:val="clear" w:color="auto" w:fill="CFF0FC"/>
          </w:tcPr>
          <w:p>
            <w:pPr>
              <w:spacing w:after="0"/>
              <w:rPr>
                <w:sz w:val="16"/>
                <w:szCs w:val="16"/>
                <w:color w:val="auto"/>
              </w:rPr>
            </w:pPr>
          </w:p>
        </w:tc>
        <w:tc>
          <w:tcPr>
            <w:tcW w:w="18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(100.3)%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35,385</w:t>
            </w:r>
          </w:p>
        </w:tc>
        <w:tc>
          <w:tcPr>
            <w:tcW w:w="0" w:type="dxa"/>
            <w:vAlign w:val="bottom"/>
          </w:tcPr>
          <w:p>
            <w:pPr>
              <w:spacing w:after="0"/>
              <w:rPr>
                <w:sz w:val="1"/>
                <w:szCs w:val="1"/>
                <w:color w:val="auto"/>
              </w:rPr>
            </w:pPr>
          </w:p>
        </w:tc>
      </w:tr>
      <w:tr>
        <w:trPr>
          <w:trHeight w:val="22"/>
        </w:trPr>
        <w:tc>
          <w:tcPr>
            <w:tcW w:w="4480" w:type="dxa"/>
            <w:vAlign w:val="bottom"/>
            <w:shd w:val="clear" w:color="auto" w:fill="CFF0FC"/>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recorded a gain of foreign currency translation adjustment of $0.1 million for the three months ended June 30, 2024, as compared to a loss of $35.3 million for the same period in 2023, primarily based on the net effect of RMB to dollar exchange rate fluctuations for the period on the converted value of ACM Shanghai’s RMB-denominated balances to U.S. dollar equivalents.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jc w:val="right"/>
              <w:ind w:right="809"/>
              <w:spacing w:after="0"/>
              <w:rPr>
                <w:sz w:val="20"/>
                <w:szCs w:val="20"/>
                <w:color w:val="auto"/>
              </w:rPr>
            </w:pPr>
            <w:r>
              <w:rPr>
                <w:rFonts w:ascii="Times New Roman" w:cs="Times New Roman" w:eastAsia="Times New Roman" w:hAnsi="Times New Roman"/>
                <w:sz w:val="14"/>
                <w:szCs w:val="14"/>
                <w:i w:val="1"/>
                <w:iCs w:val="1"/>
                <w:color w:val="auto"/>
              </w:rPr>
              <w:t>Comprehensive income attributable to non-controlling interests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Absolute Change</w:t>
            </w:r>
          </w:p>
        </w:tc>
        <w:tc>
          <w:tcPr>
            <w:tcW w:w="0" w:type="dxa"/>
            <w:vAlign w:val="bottom"/>
          </w:tcPr>
          <w:p>
            <w:pPr>
              <w:spacing w:after="0"/>
              <w:rPr>
                <w:sz w:val="1"/>
                <w:szCs w:val="1"/>
                <w:color w:val="auto"/>
              </w:rPr>
            </w:pPr>
          </w:p>
        </w:tc>
      </w:tr>
      <w:tr>
        <w:trPr>
          <w:trHeight w:val="154"/>
        </w:trPr>
        <w:tc>
          <w:tcPr>
            <w:tcW w:w="4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3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2024 v 2023</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ind w:left="8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80" w:type="dxa"/>
            <w:vAlign w:val="bottom"/>
            <w:shd w:val="clear" w:color="auto" w:fill="CFF0FC"/>
          </w:tcPr>
          <w:p>
            <w:pPr>
              <w:jc w:val="right"/>
              <w:ind w:right="809"/>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7,210</w:t>
            </w:r>
          </w:p>
        </w:tc>
        <w:tc>
          <w:tcPr>
            <w:tcW w:w="80" w:type="dxa"/>
            <w:vAlign w:val="bottom"/>
            <w:shd w:val="clear" w:color="auto" w:fill="CFF0FC"/>
          </w:tcPr>
          <w:p>
            <w:pPr>
              <w:spacing w:after="0"/>
              <w:rPr>
                <w:sz w:val="16"/>
                <w:szCs w:val="16"/>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9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1005.8 %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6,558</w:t>
            </w:r>
          </w:p>
        </w:tc>
        <w:tc>
          <w:tcPr>
            <w:tcW w:w="0" w:type="dxa"/>
            <w:vAlign w:val="bottom"/>
          </w:tcPr>
          <w:p>
            <w:pPr>
              <w:spacing w:after="0"/>
              <w:rPr>
                <w:sz w:val="1"/>
                <w:szCs w:val="1"/>
                <w:color w:val="auto"/>
              </w:rPr>
            </w:pPr>
          </w:p>
        </w:tc>
      </w:tr>
      <w:tr>
        <w:trPr>
          <w:trHeight w:val="22"/>
        </w:trPr>
        <w:tc>
          <w:tcPr>
            <w:tcW w:w="4480" w:type="dxa"/>
            <w:vAlign w:val="bottom"/>
            <w:shd w:val="clear" w:color="auto" w:fill="CFF0FC"/>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Comprehensive income attributable to non-controlling interests for the three months ended June 30, 2024 increased by $6.6 million as compared to the same period in 2023, reflecting a change in net income attributable to the non-controlling interests for the period together with the impact of foreign exchange rate fluctuations on the cumulative balance.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Six Months Ended June 30,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6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Absolute Change</w:t>
            </w:r>
          </w:p>
        </w:tc>
        <w:tc>
          <w:tcPr>
            <w:tcW w:w="0" w:type="dxa"/>
            <w:vAlign w:val="bottom"/>
          </w:tcPr>
          <w:p>
            <w:pPr>
              <w:spacing w:after="0"/>
              <w:rPr>
                <w:sz w:val="1"/>
                <w:szCs w:val="1"/>
                <w:color w:val="auto"/>
              </w:rPr>
            </w:pPr>
          </w:p>
        </w:tc>
      </w:tr>
      <w:tr>
        <w:trPr>
          <w:trHeight w:val="154"/>
        </w:trPr>
        <w:tc>
          <w:tcPr>
            <w:tcW w:w="3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60" w:type="dxa"/>
            <w:vAlign w:val="bottom"/>
            <w:gridSpan w:val="3"/>
          </w:tcPr>
          <w:p>
            <w:pPr>
              <w:jc w:val="right"/>
              <w:ind w:right="82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Single wafer cleaning, Tahoe and semi-critical</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262,691</w:t>
            </w: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149,142</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113,549</w:t>
            </w:r>
          </w:p>
        </w:tc>
        <w:tc>
          <w:tcPr>
            <w:tcW w:w="0" w:type="dxa"/>
            <w:vAlign w:val="bottom"/>
          </w:tcPr>
          <w:p>
            <w:pPr>
              <w:spacing w:after="0"/>
              <w:rPr>
                <w:sz w:val="1"/>
                <w:szCs w:val="1"/>
                <w:color w:val="auto"/>
              </w:rPr>
            </w:pPr>
          </w:p>
        </w:tc>
      </w:tr>
      <w:tr>
        <w:trPr>
          <w:trHeight w:val="186"/>
        </w:trPr>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cleaning equipment</w:t>
            </w:r>
          </w:p>
        </w:tc>
        <w:tc>
          <w:tcPr>
            <w:tcW w:w="10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ECP (front-end and packaging), furnace and other</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64,762</w:t>
            </w: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45,715</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19,047</w:t>
            </w:r>
          </w:p>
        </w:tc>
        <w:tc>
          <w:tcPr>
            <w:tcW w:w="0" w:type="dxa"/>
            <w:vAlign w:val="bottom"/>
          </w:tcPr>
          <w:p>
            <w:pPr>
              <w:spacing w:after="0"/>
              <w:rPr>
                <w:sz w:val="1"/>
                <w:szCs w:val="1"/>
                <w:color w:val="auto"/>
              </w:rPr>
            </w:pPr>
          </w:p>
        </w:tc>
      </w:tr>
      <w:tr>
        <w:trPr>
          <w:trHeight w:val="184"/>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technologies</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packaging (excluding ECP), services &amp;</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27,218</w:t>
            </w: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23,976</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0" w:type="dxa"/>
            <w:vAlign w:val="bottom"/>
          </w:tcPr>
          <w:p>
            <w:pPr>
              <w:spacing w:after="0"/>
              <w:rPr>
                <w:sz w:val="1"/>
                <w:szCs w:val="1"/>
                <w:color w:val="auto"/>
              </w:rPr>
            </w:pPr>
          </w:p>
        </w:tc>
      </w:tr>
      <w:tr>
        <w:trPr>
          <w:trHeight w:val="206"/>
        </w:trPr>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spares</w:t>
            </w:r>
          </w:p>
        </w:tc>
        <w:tc>
          <w:tcPr>
            <w:tcW w:w="10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by Product Category</w:t>
            </w:r>
          </w:p>
        </w:tc>
        <w:tc>
          <w:tcPr>
            <w:tcW w:w="1040" w:type="dxa"/>
            <w:vAlign w:val="bottom"/>
            <w:tcBorders>
              <w:top w:val="single" w:sz="8" w:color="auto"/>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354,671</w:t>
            </w:r>
          </w:p>
        </w:tc>
        <w:tc>
          <w:tcPr>
            <w:tcW w:w="44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218,833</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62.1 %</w:t>
            </w:r>
          </w:p>
        </w:tc>
        <w:tc>
          <w:tcPr>
            <w:tcW w:w="3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135,838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increase in revenue for six months ended June 30, 2024 as compared to the same period in 2023 reflects higher sales of single wafer cleaning, Tahoe and semi-critical cleaning equipment, ECP (front-end and packaging), furnace and other technologies, and Advanced packaging (excluding ECP), services and spares. The increased demand from is due in part to a longer term commitment by our mainland China-based customers to increase production capacity to achieve a greater share of the global semiconductor market.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Cost of Revenue and Gross Margin</w:t>
            </w: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3620" w:type="dxa"/>
            <w:vAlign w:val="bottom"/>
          </w:tcPr>
          <w:p>
            <w:pPr>
              <w:spacing w:after="0"/>
              <w:rPr>
                <w:sz w:val="24"/>
                <w:szCs w:val="24"/>
                <w:color w:val="auto"/>
              </w:rPr>
            </w:pPr>
          </w:p>
        </w:tc>
        <w:tc>
          <w:tcPr>
            <w:tcW w:w="272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Absolute Change</w:t>
            </w:r>
          </w:p>
        </w:tc>
        <w:tc>
          <w:tcPr>
            <w:tcW w:w="0" w:type="dxa"/>
            <w:vAlign w:val="bottom"/>
          </w:tcPr>
          <w:p>
            <w:pPr>
              <w:spacing w:after="0"/>
              <w:rPr>
                <w:sz w:val="1"/>
                <w:szCs w:val="1"/>
                <w:color w:val="auto"/>
              </w:rPr>
            </w:pPr>
          </w:p>
        </w:tc>
      </w:tr>
      <w:tr>
        <w:trPr>
          <w:trHeight w:val="154"/>
        </w:trPr>
        <w:tc>
          <w:tcPr>
            <w:tcW w:w="3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3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gridSpan w:val="2"/>
          </w:tcPr>
          <w:p>
            <w:pPr>
              <w:jc w:val="center"/>
              <w:ind w:right="26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000" w:type="dxa"/>
            <w:vAlign w:val="bottom"/>
            <w:tcBorders>
              <w:bottom w:val="single" w:sz="8" w:color="CFF0FC"/>
            </w:tcBorders>
            <w:shd w:val="clear" w:color="auto" w:fill="CFF0FC"/>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FF0FC"/>
            </w:tcBorders>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178,766</w:t>
            </w:r>
          </w:p>
        </w:tc>
        <w:tc>
          <w:tcPr>
            <w:tcW w:w="1040" w:type="dxa"/>
            <w:vAlign w:val="bottom"/>
            <w:tcBorders>
              <w:bottom w:val="single" w:sz="8" w:color="CFF0FC"/>
            </w:tcBorders>
            <w:shd w:val="clear" w:color="auto" w:fill="CFF0FC"/>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110,208</w:t>
            </w:r>
          </w:p>
        </w:tc>
        <w:tc>
          <w:tcPr>
            <w:tcW w:w="100" w:type="dxa"/>
            <w:vAlign w:val="bottom"/>
            <w:tcBorders>
              <w:bottom w:val="single" w:sz="8" w:color="CFF0FC"/>
            </w:tcBorders>
            <w:shd w:val="clear" w:color="auto" w:fill="CFF0FC"/>
          </w:tcPr>
          <w:p>
            <w:pPr>
              <w:spacing w:after="0"/>
              <w:rPr>
                <w:sz w:val="16"/>
                <w:szCs w:val="16"/>
                <w:color w:val="auto"/>
              </w:rPr>
            </w:pPr>
          </w:p>
        </w:tc>
        <w:tc>
          <w:tcPr>
            <w:tcW w:w="17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62.2 %  $</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68,558</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00" w:type="dxa"/>
            <w:vAlign w:val="bottom"/>
          </w:tcPr>
          <w:p>
            <w:pPr>
              <w:spacing w:after="0"/>
              <w:rPr>
                <w:sz w:val="16"/>
                <w:szCs w:val="16"/>
                <w:color w:val="auto"/>
              </w:rPr>
            </w:pPr>
          </w:p>
        </w:tc>
        <w:tc>
          <w:tcPr>
            <w:tcW w:w="6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175,905</w:t>
            </w:r>
          </w:p>
        </w:tc>
        <w:tc>
          <w:tcPr>
            <w:tcW w:w="1040" w:type="dxa"/>
            <w:vAlign w:val="bottom"/>
          </w:tcPr>
          <w:p>
            <w:pPr>
              <w:spacing w:after="0"/>
              <w:rPr>
                <w:sz w:val="16"/>
                <w:szCs w:val="16"/>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108,625</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67,280</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10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10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10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(4)bps</w:t>
            </w:r>
          </w:p>
        </w:tc>
        <w:tc>
          <w:tcPr>
            <w:tcW w:w="0" w:type="dxa"/>
            <w:vAlign w:val="bottom"/>
          </w:tcPr>
          <w:p>
            <w:pPr>
              <w:spacing w:after="0"/>
              <w:rPr>
                <w:sz w:val="1"/>
                <w:szCs w:val="1"/>
                <w:color w:val="auto"/>
              </w:rPr>
            </w:pPr>
          </w:p>
        </w:tc>
      </w:tr>
      <w:tr>
        <w:trPr>
          <w:trHeight w:val="22"/>
        </w:trPr>
        <w:tc>
          <w:tcPr>
            <w:tcW w:w="36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Cost of revenue and gross profit increased in the six months ended June 30, 2024 as compared to the corresponding period in 2023 due to the increased sales volume, and consistent gross margin. The decrease in gross margin versus the prior-year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period was primarily due to revenue mix between product categories, net of a favorable impact from fluctuations in the RMB to U.S. dollar exchange rate.</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4160" w:type="dxa"/>
            <w:vAlign w:val="bottom"/>
          </w:tcPr>
          <w:p>
            <w:pPr>
              <w:spacing w:after="0"/>
              <w:rPr>
                <w:sz w:val="24"/>
                <w:szCs w:val="24"/>
                <w:color w:val="auto"/>
              </w:rPr>
            </w:pPr>
          </w:p>
        </w:tc>
        <w:tc>
          <w:tcPr>
            <w:tcW w:w="266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line="20" w:lineRule="exact"/>
              <w:rPr>
                <w:sz w:val="1"/>
                <w:szCs w:val="1"/>
                <w:color w:val="auto"/>
              </w:rPr>
            </w:pPr>
          </w:p>
        </w:tc>
        <w:tc>
          <w:tcPr>
            <w:tcW w:w="13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Absolute Change</w:t>
            </w:r>
          </w:p>
        </w:tc>
        <w:tc>
          <w:tcPr>
            <w:tcW w:w="0" w:type="dxa"/>
            <w:vAlign w:val="bottom"/>
          </w:tcPr>
          <w:p>
            <w:pPr>
              <w:spacing w:after="0"/>
              <w:rPr>
                <w:sz w:val="1"/>
                <w:szCs w:val="1"/>
                <w:color w:val="auto"/>
              </w:rPr>
            </w:pPr>
          </w:p>
        </w:tc>
      </w:tr>
      <w:tr>
        <w:trPr>
          <w:trHeight w:val="154"/>
        </w:trPr>
        <w:tc>
          <w:tcPr>
            <w:tcW w:w="4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40" w:type="dxa"/>
            <w:vAlign w:val="bottom"/>
          </w:tcPr>
          <w:p>
            <w:pPr>
              <w:spacing w:after="0"/>
              <w:rPr>
                <w:sz w:val="16"/>
                <w:szCs w:val="16"/>
                <w:color w:val="auto"/>
              </w:rPr>
            </w:pPr>
          </w:p>
        </w:tc>
        <w:tc>
          <w:tcPr>
            <w:tcW w:w="13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80" w:type="dxa"/>
            <w:vAlign w:val="bottom"/>
            <w:gridSpan w:val="3"/>
          </w:tcPr>
          <w:p>
            <w:pPr>
              <w:jc w:val="right"/>
              <w:ind w:right="56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 expense</w:t>
            </w:r>
          </w:p>
        </w:tc>
        <w:tc>
          <w:tcPr>
            <w:tcW w:w="980" w:type="dxa"/>
            <w:vAlign w:val="bottom"/>
            <w:tcBorders>
              <w:bottom w:val="single" w:sz="8" w:color="CFF0FC"/>
            </w:tcBorders>
            <w:shd w:val="clear" w:color="auto" w:fill="CFF0FC"/>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31,308</w:t>
            </w:r>
          </w:p>
        </w:tc>
        <w:tc>
          <w:tcPr>
            <w:tcW w:w="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20,776</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50.7 %</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10,532</w:t>
            </w: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49,886</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46.3 %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15,793</w:t>
            </w: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9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31,886</w:t>
            </w:r>
          </w:p>
        </w:tc>
        <w:tc>
          <w:tcPr>
            <w:tcW w:w="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14,464</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120.5 %</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17,422</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113,080</w:t>
            </w: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69,333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63.1 %</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43,747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Sales and marketing expense </w:t>
      </w:r>
      <w:r>
        <w:rPr>
          <w:rFonts w:ascii="Times New Roman" w:cs="Times New Roman" w:eastAsia="Times New Roman" w:hAnsi="Times New Roman"/>
          <w:sz w:val="14"/>
          <w:szCs w:val="14"/>
          <w:color w:val="auto"/>
        </w:rPr>
        <w:t>increased in the six months ended June 30, 2024 as compared to the corresponding period in 2023, reflecting an increase of $5.7 million due to increased costs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personnel, commissions, travel &amp; entertainment and professional services, $5.2 million in stock-based compensation, $0.6 million in office and outside service, offset by a decrease of $1.0 million from promotional tools.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that, for the foreseeable future, sales and marketing expenses will increase in dollars, as we incur additional costs associated with growing our customer base in mainland China and regions outside of mainland China.</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expense </w:t>
      </w:r>
      <w:r>
        <w:rPr>
          <w:rFonts w:ascii="Times New Roman" w:cs="Times New Roman" w:eastAsia="Times New Roman" w:hAnsi="Times New Roman"/>
          <w:sz w:val="14"/>
          <w:szCs w:val="14"/>
          <w:color w:val="auto"/>
        </w:rPr>
        <w:t>increased in the six months ended June 30, 2024 as compared to the corresponding period in 2023, reflecting an increase of $7.3 million in stock-based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compensation, $4.5 million in R&amp;D-related personnel costs, $2.4 million in costs of components for tools built for product development purposes, and a$2.6 million increase in other R&amp;D-related costs, travel and entertainment, and depreciation, offset by a $1.0 million decrease in outside service.</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expense represented 14.1% and 15.6% of our revenue in the six months ended June 30, 2024 and 2023, respectively. Without reduction by grant amounts received from mainland China governmental authorities (see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Mainland China Government Research and Development Funding’’), gross research and development expense totaled $50.5 million, or 14.2% of total revenue, in the six months ended June 30, 2024 as compared to $34.8 million, or 15.9% of revenue, in the corresponding period in 2023.</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expense </w:t>
      </w:r>
      <w:r>
        <w:rPr>
          <w:rFonts w:ascii="Times New Roman" w:cs="Times New Roman" w:eastAsia="Times New Roman" w:hAnsi="Times New Roman"/>
          <w:sz w:val="14"/>
          <w:szCs w:val="14"/>
          <w:color w:val="auto"/>
        </w:rPr>
        <w:t>increased in the six months ended June 30, 2024 as compared to the corresponding period in 2023, primarily reflecting a $11.0 million increase in stock 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compensation, a $1.5 million increase 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allowance for credit losses, and $5.1 million in personnel and other costs related to general and administrative costs, offset by $0.2 million decrease in professional services expenses.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that, for the foreseeable future, general and administrative expenses will increase in dollars, as we incur additional costs associated with growing our business, ACM Research operating a public company in the United States and ACM Shanghai operating as a public company in China.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Interest income, net, Other Income, net</w:t>
            </w: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3680" w:type="dxa"/>
            <w:vAlign w:val="bottom"/>
          </w:tcPr>
          <w:p>
            <w:pPr>
              <w:spacing w:after="0"/>
              <w:rPr>
                <w:sz w:val="24"/>
                <w:szCs w:val="24"/>
                <w:color w:val="auto"/>
              </w:rPr>
            </w:pPr>
          </w:p>
        </w:tc>
        <w:tc>
          <w:tcPr>
            <w:tcW w:w="268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line="20" w:lineRule="exact"/>
              <w:rPr>
                <w:sz w:val="1"/>
                <w:szCs w:val="1"/>
                <w:color w:val="auto"/>
              </w:rPr>
            </w:pPr>
          </w:p>
        </w:tc>
        <w:tc>
          <w:tcPr>
            <w:tcW w:w="13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Absolute Change</w:t>
            </w:r>
          </w:p>
        </w:tc>
        <w:tc>
          <w:tcPr>
            <w:tcW w:w="0" w:type="dxa"/>
            <w:vAlign w:val="bottom"/>
          </w:tcPr>
          <w:p>
            <w:pPr>
              <w:spacing w:after="0"/>
              <w:rPr>
                <w:sz w:val="1"/>
                <w:szCs w:val="1"/>
                <w:color w:val="auto"/>
              </w:rPr>
            </w:pPr>
          </w:p>
        </w:tc>
      </w:tr>
      <w:tr>
        <w:trPr>
          <w:trHeight w:val="154"/>
        </w:trPr>
        <w:tc>
          <w:tcPr>
            <w:tcW w:w="3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40" w:type="dxa"/>
            <w:vAlign w:val="bottom"/>
          </w:tcPr>
          <w:p>
            <w:pPr>
              <w:spacing w:after="0"/>
              <w:rPr>
                <w:sz w:val="16"/>
                <w:szCs w:val="16"/>
                <w:color w:val="auto"/>
              </w:rPr>
            </w:pP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20" w:type="dxa"/>
            <w:vAlign w:val="bottom"/>
            <w:tcBorders>
              <w:bottom w:val="single" w:sz="8" w:color="CFF0FC"/>
            </w:tcBorders>
            <w:shd w:val="clear" w:color="auto" w:fill="CFF0FC"/>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4,155</w:t>
            </w:r>
          </w:p>
        </w:tc>
        <w:tc>
          <w:tcPr>
            <w:tcW w:w="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FF0FC"/>
            </w:tcBorders>
            <w:shd w:val="clear" w:color="auto" w:fill="CFF0FC"/>
          </w:tcPr>
          <w:p>
            <w:pPr>
              <w:jc w:val="center"/>
              <w:ind w:left="29"/>
              <w:spacing w:after="0"/>
              <w:rPr>
                <w:sz w:val="20"/>
                <w:szCs w:val="20"/>
                <w:color w:val="auto"/>
              </w:rPr>
            </w:pPr>
            <w:r>
              <w:rPr>
                <w:rFonts w:ascii="Times New Roman" w:cs="Times New Roman" w:eastAsia="Times New Roman" w:hAnsi="Times New Roman"/>
                <w:sz w:val="14"/>
                <w:szCs w:val="14"/>
                <w:color w:val="auto"/>
              </w:rPr>
              <w:t>4,131</w:t>
            </w: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2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(1,715)</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(1,344)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27.6 %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22"/>
        </w:trPr>
        <w:tc>
          <w:tcPr>
            <w:tcW w:w="368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5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1020" w:type="dxa"/>
            <w:vAlign w:val="bottom"/>
            <w:tcBorders>
              <w:bottom w:val="single" w:sz="8" w:color="auto"/>
            </w:tcBorders>
            <w:shd w:val="clear" w:color="auto" w:fill="CFF0FC"/>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2,440</w:t>
            </w:r>
          </w:p>
        </w:tc>
        <w:tc>
          <w:tcPr>
            <w:tcW w:w="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center"/>
              <w:ind w:left="29"/>
              <w:spacing w:after="0"/>
              <w:rPr>
                <w:sz w:val="20"/>
                <w:szCs w:val="20"/>
                <w:color w:val="auto"/>
              </w:rPr>
            </w:pPr>
            <w:r>
              <w:rPr>
                <w:rFonts w:ascii="Times New Roman" w:cs="Times New Roman" w:eastAsia="Times New Roman" w:hAnsi="Times New Roman"/>
                <w:sz w:val="14"/>
                <w:szCs w:val="14"/>
                <w:color w:val="auto"/>
              </w:rPr>
              <w:t>2,787</w:t>
            </w: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020" w:type="dxa"/>
            <w:vAlign w:val="bottom"/>
            <w:shd w:val="clear" w:color="auto" w:fill="CFF0FC"/>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4,437</w:t>
            </w: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center"/>
              <w:ind w:left="29"/>
              <w:spacing w:after="0"/>
              <w:rPr>
                <w:sz w:val="20"/>
                <w:szCs w:val="20"/>
                <w:color w:val="auto"/>
              </w:rPr>
            </w:pPr>
            <w:r>
              <w:rPr>
                <w:rFonts w:ascii="Times New Roman" w:cs="Times New Roman" w:eastAsia="Times New Roman" w:hAnsi="Times New Roman"/>
                <w:sz w:val="14"/>
                <w:szCs w:val="14"/>
                <w:color w:val="auto"/>
              </w:rPr>
              <w:t>2,306</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92.4 %</w:t>
            </w:r>
          </w:p>
        </w:tc>
        <w:tc>
          <w:tcPr>
            <w:tcW w:w="80" w:type="dxa"/>
            <w:vAlign w:val="bottom"/>
            <w:shd w:val="clear" w:color="auto" w:fill="CFF0FC"/>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22"/>
        </w:trPr>
        <w:tc>
          <w:tcPr>
            <w:tcW w:w="36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Interest income (expense), net consists of interest earned on our cash and cash equivalents, restricted cash accounts, and short-term and long-term time deposits, offset by interest expense incurred from outstanding short-term and long-term borrowings. Interest income (expense), net decreased in the six months ended June 30, 2024 as compared to the corresponding period in 2023, as a result of changes in balances of cash, cash equivalents, time deposits, and debt, together with changes in interest rates earned or expensed on the respective balances.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income, net primarily reflects (a) gain recognized from the impact of exchange rates on our working-capital which was $2.7 million for the six months ended June 30, 2024 compared to $1.7 million gain recognized from the impact of exchange rates on our working capital for the six months ended June 30, 2023, (b) government subsidies, as described under “—Mainland China Government Research and Development Funding” above, and other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Realized gain and unrealized loss from short-term investment, and income (loss) from equity investments.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Absolute Change</w:t>
            </w:r>
          </w:p>
        </w:tc>
        <w:tc>
          <w:tcPr>
            <w:tcW w:w="0" w:type="dxa"/>
            <w:vAlign w:val="bottom"/>
          </w:tcPr>
          <w:p>
            <w:pPr>
              <w:spacing w:after="0"/>
              <w:rPr>
                <w:sz w:val="1"/>
                <w:szCs w:val="1"/>
                <w:color w:val="auto"/>
              </w:rPr>
            </w:pPr>
          </w:p>
        </w:tc>
      </w:tr>
      <w:tr>
        <w:trPr>
          <w:trHeight w:val="154"/>
        </w:trPr>
        <w:tc>
          <w:tcPr>
            <w:tcW w:w="4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5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gain from sale of short-term investments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273</w:t>
            </w:r>
          </w:p>
        </w:tc>
        <w:tc>
          <w:tcPr>
            <w:tcW w:w="52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rPr>
              <w:t>7,913</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(7,640)</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(3,109)</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rPr>
              <w:t>1,545</w:t>
            </w: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from equity method investments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5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rPr>
              <w:t>3,888</w:t>
            </w:r>
          </w:p>
        </w:tc>
        <w:tc>
          <w:tcPr>
            <w:tcW w:w="80" w:type="dxa"/>
            <w:vAlign w:val="bottom"/>
            <w:shd w:val="clear" w:color="auto" w:fill="CCEEFF"/>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(5,103)</w:t>
            </w:r>
          </w:p>
        </w:tc>
        <w:tc>
          <w:tcPr>
            <w:tcW w:w="0" w:type="dxa"/>
            <w:vAlign w:val="bottom"/>
          </w:tcPr>
          <w:p>
            <w:pPr>
              <w:spacing w:after="0"/>
              <w:rPr>
                <w:sz w:val="1"/>
                <w:szCs w:val="1"/>
                <w:color w:val="auto"/>
              </w:rPr>
            </w:pPr>
          </w:p>
        </w:tc>
      </w:tr>
      <w:tr>
        <w:trPr>
          <w:trHeight w:val="22"/>
        </w:trPr>
        <w:tc>
          <w:tcPr>
            <w:tcW w:w="40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recorded a realized gain from sale of equity investment of $0.3 million for the six months ended June 30, 2024 as compared to $7.9 million in the prior-year period due to a sale of short-term investments (note 15).</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recorded an unrealized loss on short-term investments of $1.6 million for the six months ended June 30, 2024 as compared to an unrealized loss of $3.1 million for the same period in 2023, based on a change in market value of ACM Shanghai’s short-term investments (note 15).</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Loss from equity investments was $1.2 million for the six months ended June 30, 2024 as compared to income from equity method investments of $3.9 million in the same period in 2023 due to a decrease of net income from investments in affiliates (note 14).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Income Tax Expense</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presents components of income tax expense for the indicated periods:</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Absolute Change</w:t>
            </w:r>
          </w:p>
        </w:tc>
        <w:tc>
          <w:tcPr>
            <w:tcW w:w="0" w:type="dxa"/>
            <w:vAlign w:val="bottom"/>
          </w:tcPr>
          <w:p>
            <w:pPr>
              <w:spacing w:after="0"/>
              <w:rPr>
                <w:sz w:val="1"/>
                <w:szCs w:val="1"/>
                <w:color w:val="auto"/>
              </w:rPr>
            </w:pPr>
          </w:p>
        </w:tc>
      </w:tr>
      <w:tr>
        <w:trPr>
          <w:trHeight w:val="154"/>
        </w:trPr>
        <w:tc>
          <w:tcPr>
            <w:tcW w:w="4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3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2024 v 2023</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gridSpan w:val="2"/>
          </w:tcPr>
          <w:p>
            <w:pPr>
              <w:jc w:val="center"/>
              <w:ind w:left="52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income tax expense</w:t>
            </w:r>
          </w:p>
        </w:tc>
        <w:tc>
          <w:tcPr>
            <w:tcW w:w="460" w:type="dxa"/>
            <w:vAlign w:val="bottom"/>
            <w:shd w:val="clear" w:color="auto" w:fill="CFF0FC"/>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(13,705)</w:t>
            </w:r>
          </w:p>
        </w:tc>
        <w:tc>
          <w:tcPr>
            <w:tcW w:w="560" w:type="dxa"/>
            <w:vAlign w:val="bottom"/>
            <w:shd w:val="clear" w:color="auto" w:fill="CFF0FC"/>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(10,517)</w:t>
            </w:r>
          </w:p>
        </w:tc>
        <w:tc>
          <w:tcPr>
            <w:tcW w:w="80" w:type="dxa"/>
            <w:vAlign w:val="bottom"/>
            <w:shd w:val="clear" w:color="auto" w:fill="CFF0FC"/>
          </w:tcPr>
          <w:p>
            <w:pPr>
              <w:spacing w:after="0"/>
              <w:rPr>
                <w:sz w:val="16"/>
                <w:szCs w:val="16"/>
                <w:color w:val="auto"/>
              </w:rPr>
            </w:pPr>
          </w:p>
        </w:tc>
        <w:tc>
          <w:tcPr>
            <w:tcW w:w="18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30.3 %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0" w:type="dxa"/>
            <w:vAlign w:val="bottom"/>
          </w:tcPr>
          <w:p>
            <w:pPr>
              <w:spacing w:after="0"/>
              <w:rPr>
                <w:sz w:val="1"/>
                <w:szCs w:val="1"/>
                <w:color w:val="auto"/>
              </w:rPr>
            </w:pPr>
          </w:p>
        </w:tc>
      </w:tr>
      <w:tr>
        <w:trPr>
          <w:trHeight w:val="22"/>
        </w:trPr>
        <w:tc>
          <w:tcPr>
            <w:tcW w:w="44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recognized a tax expense of $13.7 million for the six months ended June 30, 2024 as compared to a tax expense of $10.5 million for the prior year period. The tax expense for the six months ended June 30, 2024 primarily resulted from the tax effect of an increase in our effective income tax rate applied to an increase in operating profit for the period. The increase in our effective income tax rate for the six months ended June 30, 2024 compared to the same period of the prior year was primarily due to an increase in capitalized R&amp;D expenses in certain foreign jurisdictions.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Net Income Attributable to Non-Controlling Interests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4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Absolute Change</w:t>
            </w:r>
          </w:p>
        </w:tc>
        <w:tc>
          <w:tcPr>
            <w:tcW w:w="0" w:type="dxa"/>
            <w:vAlign w:val="bottom"/>
          </w:tcPr>
          <w:p>
            <w:pPr>
              <w:spacing w:after="0"/>
              <w:rPr>
                <w:sz w:val="1"/>
                <w:szCs w:val="1"/>
                <w:color w:val="auto"/>
              </w:rPr>
            </w:pPr>
          </w:p>
        </w:tc>
      </w:tr>
      <w:tr>
        <w:trPr>
          <w:trHeight w:val="154"/>
        </w:trPr>
        <w:tc>
          <w:tcPr>
            <w:tcW w:w="4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3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2024 v 2023</w:t>
            </w: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62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11,848</w:t>
            </w:r>
          </w:p>
        </w:tc>
        <w:tc>
          <w:tcPr>
            <w:tcW w:w="80" w:type="dxa"/>
            <w:vAlign w:val="bottom"/>
            <w:shd w:val="clear" w:color="auto" w:fill="CFF0FC"/>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w:t>
            </w:r>
          </w:p>
        </w:tc>
        <w:tc>
          <w:tcPr>
            <w:tcW w:w="19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37.9 %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0" w:type="dxa"/>
            <w:vAlign w:val="bottom"/>
          </w:tcPr>
          <w:p>
            <w:pPr>
              <w:spacing w:after="0"/>
              <w:rPr>
                <w:sz w:val="1"/>
                <w:szCs w:val="1"/>
                <w:color w:val="auto"/>
              </w:rPr>
            </w:pPr>
          </w:p>
        </w:tc>
      </w:tr>
      <w:tr>
        <w:trPr>
          <w:trHeight w:val="22"/>
        </w:trPr>
        <w:tc>
          <w:tcPr>
            <w:tcW w:w="4460" w:type="dxa"/>
            <w:vAlign w:val="bottom"/>
            <w:shd w:val="clear" w:color="auto" w:fill="CFF0FC"/>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ACM Research owns 82.0% of ACM Shanghai’s (note 1) outstanding shares which is reflected in our condensed consolidated financial statements. We reflect the portion of net income allocatable to the minority holders of ACM Shanghai shares as net income attributable to non-controlling interests.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Foreign currency translation adjustment</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4500" w:type="dxa"/>
            <w:vAlign w:val="bottom"/>
          </w:tcPr>
          <w:p>
            <w:pPr>
              <w:spacing w:after="0"/>
              <w:rPr>
                <w:sz w:val="24"/>
                <w:szCs w:val="24"/>
                <w:color w:val="auto"/>
              </w:rPr>
            </w:pPr>
          </w:p>
        </w:tc>
        <w:tc>
          <w:tcPr>
            <w:tcW w:w="250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vMerge w:val="restart"/>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Absolute Change</w:t>
            </w: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gridSpan w:val="3"/>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5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48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0" w:type="dxa"/>
            <w:vAlign w:val="bottom"/>
          </w:tcPr>
          <w:p>
            <w:pPr>
              <w:spacing w:after="0"/>
              <w:rPr>
                <w:sz w:val="1"/>
                <w:szCs w:val="1"/>
                <w:color w:val="auto"/>
              </w:rPr>
            </w:pPr>
          </w:p>
        </w:tc>
      </w:tr>
      <w:tr>
        <w:trPr>
          <w:trHeight w:val="22"/>
        </w:trPr>
        <w:tc>
          <w:tcPr>
            <w:tcW w:w="4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gridSpan w:val="2"/>
          </w:tcPr>
          <w:p>
            <w:pPr>
              <w:jc w:val="center"/>
              <w:ind w:right="40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(6,713)</w:t>
            </w:r>
          </w:p>
        </w:tc>
        <w:tc>
          <w:tcPr>
            <w:tcW w:w="88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(25,846)</w:t>
            </w:r>
          </w:p>
        </w:tc>
        <w:tc>
          <w:tcPr>
            <w:tcW w:w="140" w:type="dxa"/>
            <w:vAlign w:val="bottom"/>
            <w:shd w:val="clear" w:color="auto" w:fill="CCEEFF"/>
          </w:tcPr>
          <w:p>
            <w:pPr>
              <w:spacing w:after="0"/>
              <w:rPr>
                <w:sz w:val="16"/>
                <w:szCs w:val="16"/>
                <w:color w:val="auto"/>
              </w:rPr>
            </w:pPr>
          </w:p>
        </w:tc>
        <w:tc>
          <w:tcPr>
            <w:tcW w:w="2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(74.0)%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19,133</w:t>
            </w: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recorded a loss of foreign currency translation adjustment of ($6.7 million) for the six months ended June 30, 2024, as compared to $(25.8 million) for the same period in 2023, primarily based on the net effect of RMB to dollar exchange rate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fluctuations for the period on the converted value of ACM Shanghai’s RMB-denominated balances to U.S. dollar equivalents.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jc w:val="right"/>
              <w:ind w:right="809"/>
              <w:spacing w:after="0"/>
              <w:rPr>
                <w:sz w:val="20"/>
                <w:szCs w:val="20"/>
                <w:color w:val="auto"/>
              </w:rPr>
            </w:pPr>
            <w:r>
              <w:rPr>
                <w:rFonts w:ascii="Times New Roman" w:cs="Times New Roman" w:eastAsia="Times New Roman" w:hAnsi="Times New Roman"/>
                <w:sz w:val="14"/>
                <w:szCs w:val="14"/>
                <w:i w:val="1"/>
                <w:iCs w:val="1"/>
                <w:color w:val="auto"/>
              </w:rPr>
              <w:t>Comprehensive income attributable to non-controlling interests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Absolute Change</w:t>
            </w:r>
          </w:p>
        </w:tc>
        <w:tc>
          <w:tcPr>
            <w:tcW w:w="0" w:type="dxa"/>
            <w:vAlign w:val="bottom"/>
          </w:tcPr>
          <w:p>
            <w:pPr>
              <w:spacing w:after="0"/>
              <w:rPr>
                <w:sz w:val="1"/>
                <w:szCs w:val="1"/>
                <w:color w:val="auto"/>
              </w:rPr>
            </w:pPr>
          </w:p>
        </w:tc>
      </w:tr>
      <w:tr>
        <w:trPr>
          <w:trHeight w:val="154"/>
        </w:trPr>
        <w:tc>
          <w:tcPr>
            <w:tcW w:w="4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3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2024 v 2023</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62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80" w:type="dxa"/>
            <w:vAlign w:val="bottom"/>
            <w:shd w:val="clear" w:color="auto" w:fill="CFF0FC"/>
          </w:tcPr>
          <w:p>
            <w:pPr>
              <w:jc w:val="right"/>
              <w:ind w:right="809"/>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10,616</w:t>
            </w:r>
          </w:p>
        </w:tc>
        <w:tc>
          <w:tcPr>
            <w:tcW w:w="80" w:type="dxa"/>
            <w:vAlign w:val="bottom"/>
            <w:shd w:val="clear" w:color="auto" w:fill="CFF0FC"/>
          </w:tcPr>
          <w:p>
            <w:pPr>
              <w:spacing w:after="0"/>
              <w:rPr>
                <w:sz w:val="16"/>
                <w:szCs w:val="16"/>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19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158.0 %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6,502</w:t>
            </w:r>
          </w:p>
        </w:tc>
        <w:tc>
          <w:tcPr>
            <w:tcW w:w="0" w:type="dxa"/>
            <w:vAlign w:val="bottom"/>
          </w:tcPr>
          <w:p>
            <w:pPr>
              <w:spacing w:after="0"/>
              <w:rPr>
                <w:sz w:val="1"/>
                <w:szCs w:val="1"/>
                <w:color w:val="auto"/>
              </w:rPr>
            </w:pPr>
          </w:p>
        </w:tc>
      </w:tr>
      <w:tr>
        <w:trPr>
          <w:trHeight w:val="22"/>
        </w:trPr>
        <w:tc>
          <w:tcPr>
            <w:tcW w:w="4480" w:type="dxa"/>
            <w:vAlign w:val="bottom"/>
            <w:shd w:val="clear" w:color="auto" w:fill="CFF0FC"/>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Comprehensive income attributable to non-controlling interests for the six months ended June 30, 2024 increased as compared to the prior-year period, reflecting a change in net income attributable to the non-controlling interests for the period together with the impact of foreign exchange rate fluctuations on the cumulative balance.</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first six months of 2024, we funded our technology development and operations principally through our beginning global cash balances, including the cash balances at ACM Shanghai, borrowings by ACM Shanghai from local financial institutions, and our loan from China CITIC Bank, and cash flow from operations.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and cash equivalents, restricted cash, short-term time deposits and long-term time deposits were $366.8 million at June 30, 2024, compared to $304.5 million at December 31, 2023. The $62.3 million increase was primarily driven by $51.9 million of cash provided by operations, ($48.4 million), excluding the change in net cash related to time deposits, used in investing activities, $58.3 million net cash provided by financing activities, and a $0.5 million increase from the effect of exchange rate on cash, cash equivalents, restricted cash and non-cash items.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02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8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spacing w:after="0"/>
              <w:rPr>
                <w:sz w:val="15"/>
                <w:szCs w:val="15"/>
                <w:color w:val="auto"/>
              </w:rPr>
            </w:pPr>
          </w:p>
        </w:tc>
      </w:tr>
      <w:tr>
        <w:trPr>
          <w:trHeight w:val="22"/>
        </w:trPr>
        <w:tc>
          <w:tcPr>
            <w:tcW w:w="8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Cash and cash equivalents, restricted cash, and time deposits:</w:t>
            </w:r>
          </w:p>
        </w:tc>
        <w:tc>
          <w:tcPr>
            <w:tcW w:w="10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191"/>
        </w:trPr>
        <w:tc>
          <w:tcPr>
            <w:tcW w:w="8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Cash and cash equivalents and restricted cash</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324,912</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183,173</w:t>
            </w:r>
          </w:p>
        </w:tc>
      </w:tr>
      <w:tr>
        <w:trPr>
          <w:trHeight w:val="22"/>
        </w:trPr>
        <w:tc>
          <w:tcPr>
            <w:tcW w:w="8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2"/>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Short-term time deposits</w:t>
            </w:r>
          </w:p>
        </w:tc>
        <w:tc>
          <w:tcPr>
            <w:tcW w:w="10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80,524</w:t>
            </w:r>
          </w:p>
        </w:tc>
      </w:tr>
      <w:tr>
        <w:trPr>
          <w:trHeight w:val="191"/>
        </w:trPr>
        <w:tc>
          <w:tcPr>
            <w:tcW w:w="8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Long-term time deposits</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40,818</w:t>
            </w:r>
          </w:p>
        </w:tc>
      </w:tr>
      <w:tr>
        <w:trPr>
          <w:trHeight w:val="22"/>
        </w:trPr>
        <w:tc>
          <w:tcPr>
            <w:tcW w:w="80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366,751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304,515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us and ACM Shanghai will be sufficient to meet our anticipated cash needs within our longer term planning horizon.</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ACM Shanghai has historically participated in certain mainland China government-sponsored grant and subsidy programs, as described under “—Mainland China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mainland China government agencies based on suitability and the merits of the application. Neither ACM</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Research, nor ACM Shanghai or any of our other subsidiaries, has any direct relationship with any mainland China government agency, and our anticipated cash needs for the next twelve months neither anticipate, nor require, receipt of any mainland China government grants or subsidies.</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obtain an equity or debt financing on terms acceptable to us or at all.</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 – Regulatory Risks – 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 in our Annual Report.</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six months ended June 30, 2024 and 2023, with the exception of sales and services-related transfer-pricing payments in the ordinary course of business, no transfers, distributions have been made between ACM Research, and its subsidiaries, including ACM Shanghai, or to holders of ACM Research Class A common stock.</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cash and cash equivalents at June 30, 2024 were held for working capital purposes and other potential investments. ACM Shanghai, our only direct mainland China subsidiary, is, however, subject to mainland China restrictions on distributions to equity holders. The use of proceeds raised by the STAR Market IPO, without further approvals, are limited to specific usage. Our accounts receivable balance fluctuates from period to period, which affects our cash flow from operating activities. Fluctuations vary depending on cash collections, client mix, and the timing of shipment and acceptance of our tools.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ACM Research has never declared or paid cash dividends on our capital stock. AMC Research intends to retain all available funds and any future earnings to support the operation of and to finance the growth and development of our business and do not anticipate paying any cash dividends in the foreseeable future.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Cash Flow Provided by (used in) Operating Activities. </w:t>
      </w:r>
      <w:r>
        <w:rPr>
          <w:rFonts w:ascii="Times New Roman" w:cs="Times New Roman" w:eastAsia="Times New Roman" w:hAnsi="Times New Roman"/>
          <w:sz w:val="14"/>
          <w:szCs w:val="14"/>
          <w:color w:val="auto"/>
        </w:rPr>
        <w:t>Net cash provided by operating activities of $51.9 million during the six months ended June 30, 2024 consisted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3"/>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1"/>
        </w:trPr>
        <w:tc>
          <w:tcPr>
            <w:tcW w:w="6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c>
          <w:tcPr>
            <w:tcW w:w="7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1"/>
        </w:trPr>
        <w:tc>
          <w:tcPr>
            <w:tcW w:w="6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5"/>
                <w:szCs w:val="15"/>
                <w:color w:val="auto"/>
              </w:rPr>
            </w:pPr>
          </w:p>
        </w:tc>
      </w:tr>
      <w:tr>
        <w:trPr>
          <w:trHeight w:val="22"/>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53,491</w:t>
            </w:r>
          </w:p>
        </w:tc>
        <w:tc>
          <w:tcPr>
            <w:tcW w:w="42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42,560</w:t>
            </w:r>
          </w:p>
        </w:tc>
      </w:tr>
      <w:tr>
        <w:trPr>
          <w:trHeight w:val="191"/>
        </w:trPr>
        <w:tc>
          <w:tcPr>
            <w:tcW w:w="6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220" w:type="dxa"/>
            <w:vAlign w:val="bottom"/>
          </w:tcPr>
          <w:p>
            <w:pPr>
              <w:spacing w:after="0"/>
              <w:rPr>
                <w:sz w:val="16"/>
                <w:szCs w:val="16"/>
                <w:color w:val="auto"/>
              </w:rPr>
            </w:pP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2,004</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r>
      <w:tr>
        <w:trPr>
          <w:trHeight w:val="22"/>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6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Provision for inventory</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3,009</w:t>
            </w: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w:t>
            </w:r>
          </w:p>
        </w:tc>
      </w:tr>
      <w:tr>
        <w:trPr>
          <w:trHeight w:val="191"/>
        </w:trPr>
        <w:tc>
          <w:tcPr>
            <w:tcW w:w="6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tcPr>
          <w:p>
            <w:pPr>
              <w:spacing w:after="0"/>
              <w:rPr>
                <w:sz w:val="16"/>
                <w:szCs w:val="16"/>
                <w:color w:val="auto"/>
              </w:rPr>
            </w:pP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1,954</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r>
      <w:tr>
        <w:trPr>
          <w:trHeight w:val="22"/>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4,684</w:t>
            </w: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r>
      <w:tr>
        <w:trPr>
          <w:trHeight w:val="19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disposals of property, plant and equipment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gain on short-term investment</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w:t>
            </w:r>
          </w:p>
        </w:tc>
      </w:tr>
      <w:tr>
        <w:trPr>
          <w:trHeight w:val="19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from equity method investments</w:t>
            </w:r>
          </w:p>
        </w:tc>
        <w:tc>
          <w:tcPr>
            <w:tcW w:w="220" w:type="dxa"/>
            <w:vAlign w:val="bottom"/>
          </w:tcPr>
          <w:p>
            <w:pPr>
              <w:spacing w:after="0"/>
              <w:rPr>
                <w:sz w:val="16"/>
                <w:szCs w:val="16"/>
                <w:color w:val="auto"/>
              </w:rPr>
            </w:pP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1,215</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w:t>
            </w:r>
          </w:p>
        </w:tc>
      </w:tr>
      <w:tr>
        <w:trPr>
          <w:trHeight w:val="22"/>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1,564</w:t>
            </w: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w:t>
            </w:r>
          </w:p>
        </w:tc>
      </w:tr>
      <w:tr>
        <w:trPr>
          <w:trHeight w:val="19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w:t>
            </w:r>
          </w:p>
        </w:tc>
      </w:tr>
      <w:tr>
        <w:trPr>
          <w:trHeight w:val="22"/>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28,911</w:t>
            </w: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w:t>
            </w:r>
          </w:p>
        </w:tc>
      </w:tr>
      <w:tr>
        <w:trPr>
          <w:trHeight w:val="19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from unconsolidated affiliates</w:t>
            </w:r>
          </w:p>
        </w:tc>
        <w:tc>
          <w:tcPr>
            <w:tcW w:w="220" w:type="dxa"/>
            <w:vAlign w:val="bottom"/>
          </w:tcPr>
          <w:p>
            <w:pPr>
              <w:spacing w:after="0"/>
              <w:rPr>
                <w:sz w:val="16"/>
                <w:szCs w:val="16"/>
                <w:color w:val="auto"/>
              </w:rPr>
            </w:pP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600</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w:t>
            </w:r>
          </w:p>
        </w:tc>
      </w:tr>
      <w:tr>
        <w:trPr>
          <w:trHeight w:val="22"/>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changes in operating assets and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(44,496)</w:t>
            </w:r>
          </w:p>
        </w:tc>
        <w:tc>
          <w:tcPr>
            <w:tcW w:w="4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(66,896)</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provided by (used in) operating activities</w:t>
            </w: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51,942</w:t>
            </w:r>
          </w:p>
        </w:tc>
        <w:tc>
          <w:tcPr>
            <w:tcW w:w="4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(19,145)</w:t>
            </w: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Significant net changes in operating asset and liability accounts primarily include the following uses of cash: an increase of inventories, net ($64.9 million) (note 5), an increase of accounts receivable of ($14.8 million) (note 4), and an increase in other receivable ($11.7 million) and the following sources of cash: a $26.3 million increase in customer advances and a $6.8 million increase in other payable and accrued expense.</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Flow Used in Investing Activities. </w:t>
      </w:r>
      <w:r>
        <w:rPr>
          <w:rFonts w:ascii="Times New Roman" w:cs="Times New Roman" w:eastAsia="Times New Roman" w:hAnsi="Times New Roman"/>
          <w:sz w:val="14"/>
          <w:szCs w:val="14"/>
          <w:color w:val="auto"/>
        </w:rPr>
        <w:t>Net cash used in investing activities, excluding the change in net cash related to time deposits, for the six months ended June 30, 2024 was ($48.4 million),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primarily consisting of ($39.7 million) for purchase of property and intangible assets, ($7.4 million) for purchase of long-term investments, and ($1.4 million) for purchase of short-term investment (note 15).</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Flow Provided by Financing Activities. </w:t>
      </w:r>
      <w:r>
        <w:rPr>
          <w:rFonts w:ascii="Times New Roman" w:cs="Times New Roman" w:eastAsia="Times New Roman" w:hAnsi="Times New Roman"/>
          <w:sz w:val="14"/>
          <w:szCs w:val="14"/>
          <w:color w:val="auto"/>
        </w:rPr>
        <w:t>Net cash provided by financing activities for the six months ended June 30, 2024 was $58.3 million, primarily consisting of $32.3 million proceeds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from long-term borrowing (note 12), $23.9 million proceeds from short-term borrowing, and $6.4 million proceeds from exercise of stock options, partly offset by ($4.4 million) repayment of short-term and long-term borrowings.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and ACM Shanghai, together with the subsidiaries of ACM Shanghai, have short-term and long-term borrowings with the following banks: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60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Maximum Borrowing</w:t>
            </w:r>
          </w:p>
        </w:tc>
        <w:tc>
          <w:tcPr>
            <w:tcW w:w="22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242424"/>
              </w:rPr>
              <w:t>Amount Outstanding</w:t>
            </w:r>
          </w:p>
        </w:tc>
      </w:tr>
      <w:tr>
        <w:trPr>
          <w:trHeight w:val="186"/>
        </w:trPr>
        <w:tc>
          <w:tcPr>
            <w:tcW w:w="210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Agreement Date</w:t>
            </w:r>
          </w:p>
        </w:tc>
        <w:tc>
          <w:tcPr>
            <w:tcW w:w="21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60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Amount(1)</w:t>
            </w:r>
          </w:p>
        </w:tc>
        <w:tc>
          <w:tcPr>
            <w:tcW w:w="220" w:type="dxa"/>
            <w:vAlign w:val="bottom"/>
          </w:tcPr>
          <w:p>
            <w:pPr>
              <w:spacing w:after="0"/>
              <w:rPr>
                <w:sz w:val="16"/>
                <w:szCs w:val="16"/>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242424"/>
                <w:w w:val="99"/>
              </w:rPr>
              <w:t>at June 30, 2024</w:t>
            </w: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1"/>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4"/>
          </w:tcPr>
          <w:p>
            <w:pPr>
              <w:ind w:left="126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2"/>
        </w:trPr>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176"/>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China CITIC Bank (2)</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2023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Repayable by installments and the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RMB200,000</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RMB99,900</w:t>
            </w:r>
          </w:p>
        </w:tc>
        <w:tc>
          <w:tcPr>
            <w:tcW w:w="140" w:type="dxa"/>
            <w:vAlign w:val="bottom"/>
          </w:tcPr>
          <w:p>
            <w:pPr>
              <w:spacing w:after="0"/>
              <w:rPr>
                <w:sz w:val="15"/>
                <w:szCs w:val="15"/>
                <w:color w:val="auto"/>
              </w:rPr>
            </w:pPr>
          </w:p>
        </w:tc>
      </w:tr>
      <w:tr>
        <w:trPr>
          <w:trHeight w:val="170"/>
        </w:trPr>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last installments repayable in</w:t>
            </w: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r>
      <w:tr>
        <w:trPr>
          <w:trHeight w:val="186"/>
        </w:trPr>
        <w:tc>
          <w:tcPr>
            <w:tcW w:w="2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2025</w:t>
            </w:r>
          </w:p>
        </w:tc>
        <w:tc>
          <w:tcPr>
            <w:tcW w:w="1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28,060</w:t>
            </w: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14,016</w:t>
            </w:r>
          </w:p>
        </w:tc>
        <w:tc>
          <w:tcPr>
            <w:tcW w:w="140" w:type="dxa"/>
            <w:vAlign w:val="bottom"/>
          </w:tcPr>
          <w:p>
            <w:pPr>
              <w:spacing w:after="0"/>
              <w:rPr>
                <w:sz w:val="16"/>
                <w:szCs w:val="16"/>
                <w:color w:val="auto"/>
              </w:rPr>
            </w:pPr>
          </w:p>
        </w:tc>
      </w:tr>
      <w:tr>
        <w:trPr>
          <w:trHeight w:val="22"/>
        </w:trPr>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192"/>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China Everbright Bank</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2021</w:t>
            </w: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2024</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RMB150,000</w:t>
            </w:r>
          </w:p>
        </w:tc>
        <w:tc>
          <w:tcPr>
            <w:tcW w:w="2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RMB17,453</w:t>
            </w:r>
          </w:p>
        </w:tc>
        <w:tc>
          <w:tcPr>
            <w:tcW w:w="140" w:type="dxa"/>
            <w:vAlign w:val="bottom"/>
          </w:tcPr>
          <w:p>
            <w:pPr>
              <w:spacing w:after="0"/>
              <w:rPr>
                <w:sz w:val="16"/>
                <w:szCs w:val="16"/>
                <w:color w:val="auto"/>
              </w:rPr>
            </w:pPr>
          </w:p>
        </w:tc>
      </w:tr>
      <w:tr>
        <w:trPr>
          <w:trHeight w:val="700"/>
        </w:trPr>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7"/>
        </w:trPr>
        <w:tc>
          <w:tcPr>
            <w:tcW w:w="2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21,045</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140" w:type="dxa"/>
            <w:vAlign w:val="bottom"/>
          </w:tcPr>
          <w:p>
            <w:pPr>
              <w:spacing w:after="0"/>
              <w:rPr>
                <w:sz w:val="16"/>
                <w:szCs w:val="16"/>
                <w:color w:val="auto"/>
              </w:rPr>
            </w:pPr>
          </w:p>
        </w:tc>
      </w:tr>
      <w:tr>
        <w:trPr>
          <w:trHeight w:val="22"/>
        </w:trPr>
        <w:tc>
          <w:tcPr>
            <w:tcW w:w="1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of China</w:t>
            </w:r>
          </w:p>
        </w:tc>
        <w:tc>
          <w:tcPr>
            <w:tcW w:w="1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September 2023</w:t>
            </w:r>
          </w:p>
        </w:tc>
        <w:tc>
          <w:tcPr>
            <w:tcW w:w="2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September 2024</w:t>
            </w:r>
          </w:p>
        </w:tc>
        <w:tc>
          <w:tcPr>
            <w:tcW w:w="1920" w:type="dxa"/>
            <w:vAlign w:val="bottom"/>
            <w:tcBorders>
              <w:bottom w:val="single" w:sz="8" w:color="CCEEFF"/>
            </w:tcBorders>
            <w:shd w:val="clear" w:color="auto" w:fill="CCEEFF"/>
          </w:tcPr>
          <w:p>
            <w:pPr>
              <w:jc w:val="center"/>
              <w:ind w:right="529"/>
              <w:spacing w:after="0"/>
              <w:rPr>
                <w:sz w:val="20"/>
                <w:szCs w:val="20"/>
                <w:color w:val="auto"/>
              </w:rPr>
            </w:pPr>
            <w:r>
              <w:rPr>
                <w:rFonts w:ascii="Times New Roman" w:cs="Times New Roman" w:eastAsia="Times New Roman" w:hAnsi="Times New Roman"/>
                <w:sz w:val="14"/>
                <w:szCs w:val="14"/>
                <w:color w:val="auto"/>
                <w:w w:val="99"/>
              </w:rPr>
              <w:t>2.87%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RMB40,000</w:t>
            </w:r>
          </w:p>
        </w:tc>
        <w:tc>
          <w:tcPr>
            <w:tcW w:w="5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RMB40,028</w:t>
            </w:r>
          </w:p>
        </w:tc>
        <w:tc>
          <w:tcPr>
            <w:tcW w:w="14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5,612</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140" w:type="dxa"/>
            <w:vAlign w:val="bottom"/>
          </w:tcPr>
          <w:p>
            <w:pPr>
              <w:spacing w:after="0"/>
              <w:rPr>
                <w:sz w:val="16"/>
                <w:szCs w:val="16"/>
                <w:color w:val="auto"/>
              </w:rPr>
            </w:pPr>
          </w:p>
        </w:tc>
      </w:tr>
      <w:tr>
        <w:trPr>
          <w:trHeight w:val="22"/>
        </w:trPr>
        <w:tc>
          <w:tcPr>
            <w:tcW w:w="1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China Merchants Bank</w:t>
            </w:r>
          </w:p>
        </w:tc>
        <w:tc>
          <w:tcPr>
            <w:tcW w:w="1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August 2023</w:t>
            </w:r>
          </w:p>
        </w:tc>
        <w:tc>
          <w:tcPr>
            <w:tcW w:w="2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September 2024</w:t>
            </w:r>
          </w:p>
        </w:tc>
        <w:tc>
          <w:tcPr>
            <w:tcW w:w="1920" w:type="dxa"/>
            <w:vAlign w:val="bottom"/>
            <w:tcBorders>
              <w:bottom w:val="single" w:sz="8" w:color="CCEEFF"/>
            </w:tcBorders>
            <w:shd w:val="clear" w:color="auto" w:fill="CCEEFF"/>
          </w:tcPr>
          <w:p>
            <w:pPr>
              <w:jc w:val="center"/>
              <w:ind w:right="529"/>
              <w:spacing w:after="0"/>
              <w:rPr>
                <w:sz w:val="20"/>
                <w:szCs w:val="20"/>
                <w:color w:val="auto"/>
              </w:rPr>
            </w:pPr>
            <w:r>
              <w:rPr>
                <w:rFonts w:ascii="Times New Roman" w:cs="Times New Roman" w:eastAsia="Times New Roman" w:hAnsi="Times New Roman"/>
                <w:sz w:val="14"/>
                <w:szCs w:val="14"/>
                <w:color w:val="auto"/>
              </w:rPr>
              <w:t>2.60%~3.00%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RMB200,000</w:t>
            </w:r>
          </w:p>
        </w:tc>
        <w:tc>
          <w:tcPr>
            <w:tcW w:w="5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RMB200,145</w:t>
            </w:r>
          </w:p>
        </w:tc>
        <w:tc>
          <w:tcPr>
            <w:tcW w:w="14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28,060</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28,080</w:t>
            </w:r>
          </w:p>
        </w:tc>
        <w:tc>
          <w:tcPr>
            <w:tcW w:w="140" w:type="dxa"/>
            <w:vAlign w:val="bottom"/>
          </w:tcPr>
          <w:p>
            <w:pPr>
              <w:spacing w:after="0"/>
              <w:rPr>
                <w:sz w:val="16"/>
                <w:szCs w:val="16"/>
                <w:color w:val="auto"/>
              </w:rPr>
            </w:pPr>
          </w:p>
        </w:tc>
      </w:tr>
      <w:tr>
        <w:trPr>
          <w:trHeight w:val="22"/>
        </w:trPr>
        <w:tc>
          <w:tcPr>
            <w:tcW w:w="1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of China</w:t>
            </w:r>
          </w:p>
        </w:tc>
        <w:tc>
          <w:tcPr>
            <w:tcW w:w="1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March 2024</w:t>
            </w:r>
          </w:p>
        </w:tc>
        <w:tc>
          <w:tcPr>
            <w:tcW w:w="2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March 2025</w:t>
            </w:r>
          </w:p>
        </w:tc>
        <w:tc>
          <w:tcPr>
            <w:tcW w:w="1920" w:type="dxa"/>
            <w:vAlign w:val="bottom"/>
            <w:tcBorders>
              <w:bottom w:val="single" w:sz="8" w:color="CCEEFF"/>
            </w:tcBorders>
            <w:shd w:val="clear" w:color="auto" w:fill="CCEEFF"/>
          </w:tcPr>
          <w:p>
            <w:pPr>
              <w:jc w:val="center"/>
              <w:ind w:right="529"/>
              <w:spacing w:after="0"/>
              <w:rPr>
                <w:sz w:val="20"/>
                <w:szCs w:val="20"/>
                <w:color w:val="auto"/>
              </w:rPr>
            </w:pPr>
            <w:r>
              <w:rPr>
                <w:rFonts w:ascii="Times New Roman" w:cs="Times New Roman" w:eastAsia="Times New Roman" w:hAnsi="Times New Roman"/>
                <w:sz w:val="14"/>
                <w:szCs w:val="14"/>
                <w:color w:val="auto"/>
                <w:w w:val="99"/>
              </w:rPr>
              <w:t>2.75%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RMB120,000</w:t>
            </w:r>
          </w:p>
        </w:tc>
        <w:tc>
          <w:tcPr>
            <w:tcW w:w="5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RMB120,082</w:t>
            </w:r>
          </w:p>
        </w:tc>
        <w:tc>
          <w:tcPr>
            <w:tcW w:w="14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16,836</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16,848</w:t>
            </w:r>
          </w:p>
        </w:tc>
        <w:tc>
          <w:tcPr>
            <w:tcW w:w="140" w:type="dxa"/>
            <w:vAlign w:val="bottom"/>
          </w:tcPr>
          <w:p>
            <w:pPr>
              <w:spacing w:after="0"/>
              <w:rPr>
                <w:sz w:val="16"/>
                <w:szCs w:val="16"/>
                <w:color w:val="auto"/>
              </w:rPr>
            </w:pPr>
          </w:p>
        </w:tc>
      </w:tr>
      <w:tr>
        <w:trPr>
          <w:trHeight w:val="22"/>
        </w:trPr>
        <w:tc>
          <w:tcPr>
            <w:tcW w:w="1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7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China Merchants Bank</w:t>
            </w: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November 2020</w:t>
            </w:r>
          </w:p>
        </w:tc>
        <w:tc>
          <w:tcPr>
            <w:tcW w:w="2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Repayable by installments and the</w:t>
            </w:r>
          </w:p>
        </w:tc>
        <w:tc>
          <w:tcPr>
            <w:tcW w:w="1920" w:type="dxa"/>
            <w:vAlign w:val="bottom"/>
            <w:shd w:val="clear" w:color="auto" w:fill="CCEEFF"/>
          </w:tcPr>
          <w:p>
            <w:pPr>
              <w:jc w:val="center"/>
              <w:ind w:right="529"/>
              <w:spacing w:after="0"/>
              <w:rPr>
                <w:sz w:val="20"/>
                <w:szCs w:val="20"/>
                <w:color w:val="auto"/>
              </w:rPr>
            </w:pPr>
            <w:r>
              <w:rPr>
                <w:rFonts w:ascii="Times New Roman" w:cs="Times New Roman" w:eastAsia="Times New Roman" w:hAnsi="Times New Roman"/>
                <w:sz w:val="14"/>
                <w:szCs w:val="14"/>
                <w:color w:val="auto"/>
                <w:w w:val="99"/>
              </w:rPr>
              <w:t>3.95%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RMB128,500</w:t>
            </w: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RMB88,673</w:t>
            </w:r>
          </w:p>
        </w:tc>
        <w:tc>
          <w:tcPr>
            <w:tcW w:w="140" w:type="dxa"/>
            <w:vAlign w:val="bottom"/>
          </w:tcPr>
          <w:p>
            <w:pPr>
              <w:spacing w:after="0"/>
              <w:rPr>
                <w:sz w:val="15"/>
                <w:szCs w:val="15"/>
                <w:color w:val="auto"/>
              </w:rPr>
            </w:pPr>
          </w:p>
        </w:tc>
      </w:tr>
      <w:tr>
        <w:trPr>
          <w:trHeight w:val="170"/>
        </w:trPr>
        <w:tc>
          <w:tcPr>
            <w:tcW w:w="18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last installments repayable in</w:t>
            </w:r>
          </w:p>
        </w:tc>
        <w:tc>
          <w:tcPr>
            <w:tcW w:w="19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r>
      <w:tr>
        <w:trPr>
          <w:trHeight w:val="186"/>
        </w:trPr>
        <w:tc>
          <w:tcPr>
            <w:tcW w:w="18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November 2030</w:t>
            </w:r>
          </w:p>
        </w:tc>
        <w:tc>
          <w:tcPr>
            <w:tcW w:w="19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18,029</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12,441</w:t>
            </w:r>
          </w:p>
        </w:tc>
        <w:tc>
          <w:tcPr>
            <w:tcW w:w="140" w:type="dxa"/>
            <w:vAlign w:val="bottom"/>
          </w:tcPr>
          <w:p>
            <w:pPr>
              <w:spacing w:after="0"/>
              <w:rPr>
                <w:sz w:val="16"/>
                <w:szCs w:val="16"/>
                <w:color w:val="auto"/>
              </w:rPr>
            </w:pPr>
          </w:p>
        </w:tc>
      </w:tr>
      <w:tr>
        <w:trPr>
          <w:trHeight w:val="22"/>
        </w:trPr>
        <w:tc>
          <w:tcPr>
            <w:tcW w:w="1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Agricultural Bank of China</w:t>
            </w:r>
          </w:p>
        </w:tc>
        <w:tc>
          <w:tcPr>
            <w:tcW w:w="1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June 2024</w:t>
            </w:r>
          </w:p>
        </w:tc>
        <w:tc>
          <w:tcPr>
            <w:tcW w:w="2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N/A until drawn</w:t>
            </w:r>
          </w:p>
        </w:tc>
        <w:tc>
          <w:tcPr>
            <w:tcW w:w="192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N/A until drawn</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RMB300,000</w:t>
            </w:r>
          </w:p>
        </w:tc>
        <w:tc>
          <w:tcPr>
            <w:tcW w:w="5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w:t>
            </w:r>
          </w:p>
        </w:tc>
        <w:tc>
          <w:tcPr>
            <w:tcW w:w="14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42,090</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1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7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of China</w:t>
            </w: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September 2021</w:t>
            </w:r>
          </w:p>
        </w:tc>
        <w:tc>
          <w:tcPr>
            <w:tcW w:w="2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Repayable by installments and the</w:t>
            </w:r>
          </w:p>
        </w:tc>
        <w:tc>
          <w:tcPr>
            <w:tcW w:w="1920" w:type="dxa"/>
            <w:vAlign w:val="bottom"/>
            <w:shd w:val="clear" w:color="auto" w:fill="CCEEFF"/>
          </w:tcPr>
          <w:p>
            <w:pPr>
              <w:jc w:val="center"/>
              <w:ind w:right="529"/>
              <w:spacing w:after="0"/>
              <w:rPr>
                <w:sz w:val="20"/>
                <w:szCs w:val="20"/>
                <w:color w:val="auto"/>
              </w:rPr>
            </w:pPr>
            <w:r>
              <w:rPr>
                <w:rFonts w:ascii="Times New Roman" w:cs="Times New Roman" w:eastAsia="Times New Roman" w:hAnsi="Times New Roman"/>
                <w:sz w:val="14"/>
                <w:szCs w:val="14"/>
                <w:color w:val="auto"/>
                <w:w w:val="99"/>
              </w:rPr>
              <w:t>2.60%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RMB35,000</w:t>
            </w: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RMB26,267</w:t>
            </w:r>
          </w:p>
        </w:tc>
        <w:tc>
          <w:tcPr>
            <w:tcW w:w="140" w:type="dxa"/>
            <w:vAlign w:val="bottom"/>
          </w:tcPr>
          <w:p>
            <w:pPr>
              <w:spacing w:after="0"/>
              <w:rPr>
                <w:sz w:val="15"/>
                <w:szCs w:val="15"/>
                <w:color w:val="auto"/>
              </w:rPr>
            </w:pPr>
          </w:p>
        </w:tc>
      </w:tr>
      <w:tr>
        <w:trPr>
          <w:trHeight w:val="170"/>
        </w:trPr>
        <w:tc>
          <w:tcPr>
            <w:tcW w:w="18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last installments repayable in</w:t>
            </w:r>
          </w:p>
        </w:tc>
        <w:tc>
          <w:tcPr>
            <w:tcW w:w="19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r>
      <w:tr>
        <w:trPr>
          <w:trHeight w:val="186"/>
        </w:trPr>
        <w:tc>
          <w:tcPr>
            <w:tcW w:w="18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September 2024</w:t>
            </w:r>
          </w:p>
        </w:tc>
        <w:tc>
          <w:tcPr>
            <w:tcW w:w="19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4,911</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140" w:type="dxa"/>
            <w:vAlign w:val="bottom"/>
          </w:tcPr>
          <w:p>
            <w:pPr>
              <w:spacing w:after="0"/>
              <w:rPr>
                <w:sz w:val="16"/>
                <w:szCs w:val="16"/>
                <w:color w:val="auto"/>
              </w:rPr>
            </w:pPr>
          </w:p>
        </w:tc>
      </w:tr>
      <w:tr>
        <w:trPr>
          <w:trHeight w:val="22"/>
        </w:trPr>
        <w:tc>
          <w:tcPr>
            <w:tcW w:w="1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of Shanghai</w:t>
            </w:r>
          </w:p>
        </w:tc>
        <w:tc>
          <w:tcPr>
            <w:tcW w:w="1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December 2022</w:t>
            </w:r>
          </w:p>
        </w:tc>
        <w:tc>
          <w:tcPr>
            <w:tcW w:w="2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October 2024</w:t>
            </w:r>
          </w:p>
        </w:tc>
        <w:tc>
          <w:tcPr>
            <w:tcW w:w="1920" w:type="dxa"/>
            <w:vAlign w:val="bottom"/>
            <w:tcBorders>
              <w:bottom w:val="single" w:sz="8" w:color="CCEEFF"/>
            </w:tcBorders>
            <w:shd w:val="clear" w:color="auto" w:fill="CCEEFF"/>
          </w:tcPr>
          <w:p>
            <w:pPr>
              <w:jc w:val="center"/>
              <w:ind w:right="529"/>
              <w:spacing w:after="0"/>
              <w:rPr>
                <w:sz w:val="20"/>
                <w:szCs w:val="20"/>
                <w:color w:val="auto"/>
              </w:rPr>
            </w:pPr>
            <w:r>
              <w:rPr>
                <w:rFonts w:ascii="Times New Roman" w:cs="Times New Roman" w:eastAsia="Times New Roman" w:hAnsi="Times New Roman"/>
                <w:sz w:val="14"/>
                <w:szCs w:val="14"/>
                <w:color w:val="auto"/>
                <w:w w:val="99"/>
              </w:rPr>
              <w:t>2.85%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RMB100,000</w:t>
            </w:r>
          </w:p>
        </w:tc>
        <w:tc>
          <w:tcPr>
            <w:tcW w:w="5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RMB100,071</w:t>
            </w:r>
          </w:p>
        </w:tc>
        <w:tc>
          <w:tcPr>
            <w:tcW w:w="14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14,030</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14,040</w:t>
            </w:r>
          </w:p>
        </w:tc>
        <w:tc>
          <w:tcPr>
            <w:tcW w:w="140" w:type="dxa"/>
            <w:vAlign w:val="bottom"/>
          </w:tcPr>
          <w:p>
            <w:pPr>
              <w:spacing w:after="0"/>
              <w:rPr>
                <w:sz w:val="16"/>
                <w:szCs w:val="16"/>
                <w:color w:val="auto"/>
              </w:rPr>
            </w:pPr>
          </w:p>
        </w:tc>
      </w:tr>
      <w:tr>
        <w:trPr>
          <w:trHeight w:val="22"/>
        </w:trPr>
        <w:tc>
          <w:tcPr>
            <w:tcW w:w="1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7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China CITIC Bank</w:t>
            </w: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August 2023</w:t>
            </w:r>
          </w:p>
        </w:tc>
        <w:tc>
          <w:tcPr>
            <w:tcW w:w="2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Repayable by installments and the</w:t>
            </w:r>
          </w:p>
        </w:tc>
        <w:tc>
          <w:tcPr>
            <w:tcW w:w="1920" w:type="dxa"/>
            <w:vAlign w:val="bottom"/>
            <w:shd w:val="clear" w:color="auto" w:fill="CCEEFF"/>
          </w:tcPr>
          <w:p>
            <w:pPr>
              <w:jc w:val="center"/>
              <w:ind w:right="529"/>
              <w:spacing w:after="0"/>
              <w:rPr>
                <w:sz w:val="20"/>
                <w:szCs w:val="20"/>
                <w:color w:val="auto"/>
              </w:rPr>
            </w:pPr>
            <w:r>
              <w:rPr>
                <w:rFonts w:ascii="Times New Roman" w:cs="Times New Roman" w:eastAsia="Times New Roman" w:hAnsi="Times New Roman"/>
                <w:sz w:val="14"/>
                <w:szCs w:val="14"/>
                <w:color w:val="auto"/>
                <w:w w:val="99"/>
              </w:rPr>
              <w:t>3.10%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RMB100,000</w:t>
            </w: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RMB99,978</w:t>
            </w:r>
          </w:p>
        </w:tc>
        <w:tc>
          <w:tcPr>
            <w:tcW w:w="140" w:type="dxa"/>
            <w:vAlign w:val="bottom"/>
          </w:tcPr>
          <w:p>
            <w:pPr>
              <w:spacing w:after="0"/>
              <w:rPr>
                <w:sz w:val="15"/>
                <w:szCs w:val="15"/>
                <w:color w:val="auto"/>
              </w:rPr>
            </w:pPr>
          </w:p>
        </w:tc>
      </w:tr>
      <w:tr>
        <w:trPr>
          <w:trHeight w:val="170"/>
        </w:trPr>
        <w:tc>
          <w:tcPr>
            <w:tcW w:w="18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last installments repayable in</w:t>
            </w:r>
          </w:p>
        </w:tc>
        <w:tc>
          <w:tcPr>
            <w:tcW w:w="19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r>
      <w:tr>
        <w:trPr>
          <w:trHeight w:val="186"/>
        </w:trPr>
        <w:tc>
          <w:tcPr>
            <w:tcW w:w="18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August,2025</w:t>
            </w:r>
          </w:p>
        </w:tc>
        <w:tc>
          <w:tcPr>
            <w:tcW w:w="19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RMB14,030</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14,027</w:t>
            </w:r>
          </w:p>
        </w:tc>
        <w:tc>
          <w:tcPr>
            <w:tcW w:w="140" w:type="dxa"/>
            <w:vAlign w:val="bottom"/>
          </w:tcPr>
          <w:p>
            <w:pPr>
              <w:spacing w:after="0"/>
              <w:rPr>
                <w:sz w:val="16"/>
                <w:szCs w:val="16"/>
                <w:color w:val="auto"/>
              </w:rPr>
            </w:pPr>
          </w:p>
        </w:tc>
      </w:tr>
      <w:tr>
        <w:trPr>
          <w:trHeight w:val="22"/>
        </w:trPr>
        <w:tc>
          <w:tcPr>
            <w:tcW w:w="1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of China</w:t>
            </w:r>
          </w:p>
        </w:tc>
        <w:tc>
          <w:tcPr>
            <w:tcW w:w="1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June 2024</w:t>
            </w:r>
          </w:p>
        </w:tc>
        <w:tc>
          <w:tcPr>
            <w:tcW w:w="2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June 2027</w:t>
            </w:r>
          </w:p>
        </w:tc>
        <w:tc>
          <w:tcPr>
            <w:tcW w:w="1920" w:type="dxa"/>
            <w:vAlign w:val="bottom"/>
            <w:tcBorders>
              <w:bottom w:val="single" w:sz="8" w:color="CCEEFF"/>
            </w:tcBorders>
            <w:shd w:val="clear" w:color="auto" w:fill="CCEEFF"/>
          </w:tcPr>
          <w:p>
            <w:pPr>
              <w:jc w:val="center"/>
              <w:ind w:right="529"/>
              <w:spacing w:after="0"/>
              <w:rPr>
                <w:sz w:val="20"/>
                <w:szCs w:val="20"/>
                <w:color w:val="auto"/>
              </w:rPr>
            </w:pPr>
            <w:r>
              <w:rPr>
                <w:rFonts w:ascii="Times New Roman" w:cs="Times New Roman" w:eastAsia="Times New Roman" w:hAnsi="Times New Roman"/>
                <w:sz w:val="14"/>
                <w:szCs w:val="14"/>
                <w:color w:val="auto"/>
                <w:w w:val="99"/>
              </w:rPr>
              <w:t>2.62%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RMB97,500</w:t>
            </w:r>
          </w:p>
        </w:tc>
        <w:tc>
          <w:tcPr>
            <w:tcW w:w="5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RMB97,543</w:t>
            </w:r>
          </w:p>
        </w:tc>
        <w:tc>
          <w:tcPr>
            <w:tcW w:w="14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13,679</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13,685</w:t>
            </w:r>
          </w:p>
        </w:tc>
        <w:tc>
          <w:tcPr>
            <w:tcW w:w="140" w:type="dxa"/>
            <w:vAlign w:val="bottom"/>
          </w:tcPr>
          <w:p>
            <w:pPr>
              <w:spacing w:after="0"/>
              <w:rPr>
                <w:sz w:val="16"/>
                <w:szCs w:val="16"/>
                <w:color w:val="auto"/>
              </w:rPr>
            </w:pPr>
          </w:p>
        </w:tc>
      </w:tr>
      <w:tr>
        <w:trPr>
          <w:trHeight w:val="22"/>
        </w:trPr>
        <w:tc>
          <w:tcPr>
            <w:tcW w:w="1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China Everbright Bank</w:t>
            </w:r>
          </w:p>
        </w:tc>
        <w:tc>
          <w:tcPr>
            <w:tcW w:w="1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June 2024</w:t>
            </w:r>
          </w:p>
        </w:tc>
        <w:tc>
          <w:tcPr>
            <w:tcW w:w="2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June 2027</w:t>
            </w:r>
          </w:p>
        </w:tc>
        <w:tc>
          <w:tcPr>
            <w:tcW w:w="1920" w:type="dxa"/>
            <w:vAlign w:val="bottom"/>
            <w:tcBorders>
              <w:bottom w:val="single" w:sz="8" w:color="CCEEFF"/>
            </w:tcBorders>
            <w:shd w:val="clear" w:color="auto" w:fill="CCEEFF"/>
          </w:tcPr>
          <w:p>
            <w:pPr>
              <w:jc w:val="center"/>
              <w:ind w:right="529"/>
              <w:spacing w:after="0"/>
              <w:rPr>
                <w:sz w:val="20"/>
                <w:szCs w:val="20"/>
                <w:color w:val="auto"/>
              </w:rPr>
            </w:pPr>
            <w:r>
              <w:rPr>
                <w:rFonts w:ascii="Times New Roman" w:cs="Times New Roman" w:eastAsia="Times New Roman" w:hAnsi="Times New Roman"/>
                <w:sz w:val="14"/>
                <w:szCs w:val="14"/>
                <w:color w:val="auto"/>
                <w:w w:val="99"/>
              </w:rPr>
              <w:t>2.60%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RMB150,000</w:t>
            </w:r>
          </w:p>
        </w:tc>
        <w:tc>
          <w:tcPr>
            <w:tcW w:w="5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RMB132,645</w:t>
            </w:r>
          </w:p>
        </w:tc>
        <w:tc>
          <w:tcPr>
            <w:tcW w:w="14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21,045</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18,610</w:t>
            </w:r>
          </w:p>
        </w:tc>
        <w:tc>
          <w:tcPr>
            <w:tcW w:w="140" w:type="dxa"/>
            <w:vAlign w:val="bottom"/>
          </w:tcPr>
          <w:p>
            <w:pPr>
              <w:spacing w:after="0"/>
              <w:rPr>
                <w:sz w:val="16"/>
                <w:szCs w:val="16"/>
                <w:color w:val="auto"/>
              </w:rPr>
            </w:pPr>
          </w:p>
        </w:tc>
      </w:tr>
      <w:tr>
        <w:trPr>
          <w:trHeight w:val="212"/>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 Bank of Korea</w:t>
            </w:r>
          </w:p>
        </w:tc>
        <w:tc>
          <w:tcPr>
            <w:tcW w:w="1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December 2023</w:t>
            </w:r>
          </w:p>
        </w:tc>
        <w:tc>
          <w:tcPr>
            <w:tcW w:w="25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December 2024</w:t>
            </w:r>
          </w:p>
        </w:tc>
        <w:tc>
          <w:tcPr>
            <w:tcW w:w="1920" w:type="dxa"/>
            <w:vAlign w:val="bottom"/>
          </w:tcPr>
          <w:p>
            <w:pPr>
              <w:jc w:val="center"/>
              <w:ind w:right="529"/>
              <w:spacing w:after="0"/>
              <w:rPr>
                <w:sz w:val="20"/>
                <w:szCs w:val="20"/>
                <w:color w:val="auto"/>
              </w:rPr>
            </w:pPr>
            <w:r>
              <w:rPr>
                <w:rFonts w:ascii="Times New Roman" w:cs="Times New Roman" w:eastAsia="Times New Roman" w:hAnsi="Times New Roman"/>
                <w:sz w:val="14"/>
                <w:szCs w:val="14"/>
                <w:color w:val="auto"/>
                <w:w w:val="99"/>
              </w:rPr>
              <w:t>4.27%</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KRW2,000,000</w:t>
            </w:r>
          </w:p>
        </w:tc>
        <w:tc>
          <w:tcPr>
            <w:tcW w:w="5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KRW2,000,000</w:t>
            </w:r>
          </w:p>
        </w:tc>
      </w:tr>
      <w:tr>
        <w:trPr>
          <w:trHeight w:val="732"/>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53</w:t>
            </w:r>
          </w:p>
        </w:tc>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7"/>
        </w:trPr>
        <w:tc>
          <w:tcPr>
            <w:tcW w:w="18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7140" w:type="dxa"/>
        <w:tblCellMar>
          <w:top w:w="0" w:type="dxa"/>
          <w:left w:w="0" w:type="dxa"/>
          <w:bottom w:w="0" w:type="dxa"/>
          <w:right w:w="0" w:type="dxa"/>
        </w:tblCellMar>
      </w:tblPr>
      <w:tr>
        <w:trPr>
          <w:trHeight w:val="184"/>
        </w:trPr>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80" w:type="dxa"/>
            <w:vAlign w:val="bottom"/>
          </w:tcPr>
          <w:p>
            <w:pPr>
              <w:spacing w:after="0"/>
              <w:rPr>
                <w:sz w:val="16"/>
                <w:szCs w:val="16"/>
                <w:color w:val="auto"/>
              </w:rPr>
            </w:pPr>
          </w:p>
        </w:tc>
        <w:tc>
          <w:tcPr>
            <w:tcW w:w="70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r>
      <w:tr>
        <w:trPr>
          <w:trHeight w:val="22"/>
        </w:trPr>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Total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228,872</w:t>
            </w:r>
          </w:p>
        </w:tc>
        <w:tc>
          <w:tcPr>
            <w:tcW w:w="80" w:type="dxa"/>
            <w:vAlign w:val="bottom"/>
          </w:tcPr>
          <w:p>
            <w:pPr>
              <w:spacing w:after="0"/>
              <w:rPr>
                <w:sz w:val="17"/>
                <w:szCs w:val="17"/>
                <w:color w:val="auto"/>
              </w:rPr>
            </w:pPr>
          </w:p>
        </w:tc>
        <w:tc>
          <w:tcPr>
            <w:tcW w:w="70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144,943</w:t>
            </w:r>
          </w:p>
        </w:tc>
      </w:tr>
      <w:tr>
        <w:trPr>
          <w:trHeight w:val="20"/>
        </w:trPr>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hanging="375"/>
        <w:spacing w:after="0" w:line="287" w:lineRule="auto"/>
        <w:tabs>
          <w:tab w:leader="none" w:pos="37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Converted from RMB to dollars as of June 30, 2024. The loan from China Merchants Bank is secured by a pledge of the property of ACM Lingang and guaranteed by ACM Shanghai, as described above under “—Contractual Obligations.”</w:t>
      </w:r>
    </w:p>
    <w:p>
      <w:pPr>
        <w:spacing w:after="0" w:line="124"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China CITIC bank facility agreement is with ACM Research, Inc.</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Effect of exchange rate changes on cash, cash equivalents and restricted cash. </w:t>
      </w:r>
      <w:r>
        <w:rPr>
          <w:rFonts w:ascii="Times New Roman" w:cs="Times New Roman" w:eastAsia="Times New Roman" w:hAnsi="Times New Roman"/>
          <w:sz w:val="14"/>
          <w:szCs w:val="14"/>
          <w:color w:val="auto"/>
        </w:rPr>
        <w:t>The effect of exchange rate cash, and cash equivalents was ($0.5) million during the first six months ended June 30,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2024. The impact of fluctuations of the RMB to U.S. dollar currency exchange rate on a significant balance of these items held in RMB-denominated accounts (note 2) contributed to the change.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Grant Contract for State-owned Construction Land Use Right in Shanghai City</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Lingang Heavy Equipment Industrial Zone of Lin-gang Special Area of China (Shanghai) Pilot Free Trade Zone, or the Land Use Right, for a period of fifty years, commencing on the date of delivery of the land in July 2020, which we refer to as the Delivery Date.</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exchange for its land use rights, ACM Lingang paid aggregate grant fees of RMB 61.7 million ($9.5 million), or the Grant Fees, and a performance deposit of RMB 12.3 million ($1.9 million), which is equal to 20% of the aggregate grant fees, to secure its achievement of the following performance milestones:</w:t>
      </w:r>
    </w:p>
    <w:p>
      <w:pPr>
        <w:spacing w:after="0" w:line="124" w:lineRule="exact"/>
        <w:rPr>
          <w:sz w:val="20"/>
          <w:szCs w:val="20"/>
          <w:color w:val="auto"/>
        </w:rPr>
      </w:pPr>
    </w:p>
    <w:p>
      <w:pPr>
        <w:ind w:left="520" w:hanging="515"/>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start of construction within 6 months after the Delivery Date (60% of the performance deposit), or Construction Start Milestone;</w:t>
      </w:r>
    </w:p>
    <w:p>
      <w:pPr>
        <w:spacing w:after="0" w:line="23"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completion of construction within 30 months after the Delivery Date (20% of the performance deposit), or Construction Completion Milestone; and</w:t>
      </w:r>
    </w:p>
    <w:p>
      <w:pPr>
        <w:spacing w:after="0" w:line="8"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start of production within 42 months after the Delivery Date (20% of the performance deposit), or Production Start Milestone.</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Upon satisfaction of a milestone, the portion of the performance deposit attributable to that milestone will be repayable to ACM Lingang within ten business days. If the achievement of any of the above milestones is delayed or abandoned, ACM Lingang may be subject to additional penalties and may lose its rights to both the use of the granted land and any partially completed facilities on that land.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status of the performance milestones for the period ended June 30, 2024 is as follows:</w:t>
      </w:r>
    </w:p>
    <w:p>
      <w:pPr>
        <w:spacing w:after="0" w:line="179" w:lineRule="exact"/>
        <w:rPr>
          <w:sz w:val="20"/>
          <w:szCs w:val="20"/>
          <w:color w:val="auto"/>
        </w:rPr>
      </w:pPr>
    </w:p>
    <w:p>
      <w:pPr>
        <w:ind w:left="900" w:hanging="513"/>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ACM Lingang achieved the Construction Start Milestone and 60% of the performance deposit was refunded to ACM Shanghai in 2020.</w:t>
      </w:r>
    </w:p>
    <w:p>
      <w:pPr>
        <w:spacing w:after="0" w:line="23" w:lineRule="exact"/>
        <w:rPr>
          <w:rFonts w:ascii="Times New Roman" w:cs="Times New Roman" w:eastAsia="Times New Roman" w:hAnsi="Times New Roman"/>
          <w:sz w:val="14"/>
          <w:szCs w:val="14"/>
          <w:color w:val="auto"/>
        </w:rPr>
      </w:pPr>
    </w:p>
    <w:p>
      <w:pPr>
        <w:jc w:val="both"/>
        <w:ind w:left="900" w:hanging="513"/>
        <w:spacing w:after="0" w:line="257" w:lineRule="auto"/>
        <w:tabs>
          <w:tab w:leader="none" w:pos="8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Construction Completion Milestone was required to be met by January 9, 2024 but was not achieved. However, ACM Lingang believes it will receive the refund without penalty based on its explanation to the respective regulatory authorities of logistics-related delays and expectations that it will meet the milestone in 2024. We cannot guarantee that ACM Lingang will achieve the missed milestone in 2024, or even if it does achieve the milestone in 2024, that it will be refunded some or all of the 20% portion of the performance deposit of RMB 2.5 million ($0.4 million).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Contractual penalties in the case of a delay of Construction Completion Milestone</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900" w:hanging="513"/>
        <w:spacing w:after="0" w:line="263" w:lineRule="auto"/>
        <w:tabs>
          <w:tab w:leader="none" w:pos="89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ACM Lingang fails to complete the construction pursuant to the date agreed under the Grant Agreement or any extended completion date approved by the Grantor, ACM Lingang shall pay 50% of the deposit for timely completion of construction as liquidated damages.</w:t>
      </w:r>
    </w:p>
    <w:p>
      <w:pPr>
        <w:ind w:left="900" w:hanging="513"/>
        <w:spacing w:after="0" w:line="253" w:lineRule="auto"/>
        <w:tabs>
          <w:tab w:leader="none" w:pos="90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ACM Lingang delays the completion for more than six months beyond the date agreed under the Grant Agreement, or beyond any extended completion date approved by the Grantor, it shall pay the total deposit for timely completion of construction as liquidated damages.</w:t>
      </w:r>
    </w:p>
    <w:p>
      <w:pPr>
        <w:jc w:val="both"/>
        <w:ind w:left="900" w:hanging="513"/>
        <w:spacing w:after="0" w:line="259" w:lineRule="auto"/>
        <w:tabs>
          <w:tab w:leader="none" w:pos="89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delay is more than one year, the Grantor is entitled to terminate the Grant Agreement and take back the Land Use Right. In such case, the Grantor shall refund the Grant Fees for the remaining land use term after deducting the deposit agreed under the Grant Agreement and refund the deposit for timely commencement of production and relevant bank interests in full to ACM Lingang.</w:t>
      </w:r>
    </w:p>
    <w:p>
      <w:pPr>
        <w:spacing w:after="0" w:line="165" w:lineRule="exact"/>
        <w:rPr>
          <w:sz w:val="20"/>
          <w:szCs w:val="20"/>
          <w:color w:val="auto"/>
        </w:rPr>
      </w:pPr>
    </w:p>
    <w:p>
      <w:pPr>
        <w:jc w:val="both"/>
        <w:ind w:left="900" w:hanging="513"/>
        <w:spacing w:after="0" w:line="270" w:lineRule="auto"/>
        <w:tabs>
          <w:tab w:leader="none" w:pos="89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Production Start Milestone is now required to be met by January 9, 2025. The Production Start Milestone was originally required to be met prior to January 9, 2024, but due to COVID-related delays, ACM filed multiple requests for extensions, the latest of which was granted on July 7, 2023. We cannot guarantee that ACM Lingang will meet any extended deadline or be refunded this 20% portion of the performance deposit.</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Contractual penalties in the case of a delay of Production Start Milestone</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900" w:hanging="513"/>
        <w:spacing w:after="0" w:line="263" w:lineRule="auto"/>
        <w:tabs>
          <w:tab w:leader="none" w:pos="89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ACM Lingang fails to commence production pursuant to the date agreed under the Grant Agreement or any extended commencement date approved by the Grantor, ACM Lingang shall pay the total deposit for timely commencement of production as liquidated damages;</w:t>
      </w:r>
    </w:p>
    <w:p>
      <w:pPr>
        <w:jc w:val="both"/>
        <w:ind w:left="900" w:hanging="513"/>
        <w:spacing w:after="0" w:line="259" w:lineRule="auto"/>
        <w:tabs>
          <w:tab w:leader="none" w:pos="89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ACM Lingang fails to commence production pursuant to the extended commencement of production date (more than six months beyond the production start milestone), the Grantor is entitled to terminate the Grant Agreement and take back the Land Use Right. In such case, the Grantor shall refund the Grant Fees for the remaining land use term after deducting the deposit agreed under the Grant Agreement to ACM Lingang.</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the milestones, covenants in the Grant Agreement require that, among other things, ACM Lingang will be required to pay liquidated damages in the event that within seven years after the Delivery Date, or prior to July 9, 2027, it does not (i) generate a minimum specified amount of annual sales of products manufactured on the granted land or (ii) pay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the total tax revenue of the project fails to reach but is no less than 80% of the standard agreed under the Grant Agreement, ACM Lingang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the Grant Agreement, take back the Land Use Right, and shall refund the Grant Fees for the remaining land use term to ACM Lingang.</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the Grant Agreement is terminated because of breach of any terms above, the Grantor shall take back the buildings, fixtures and auxiliary facilities on the land area and provide ACM Lingang with corresponding compensation according to the residual value of the buildings, fixtures and auxiliary facilities when they are taken back. The total cumulative investment of land, buildings and construction in progress related to ACM Lingang amounted to $141.8 million and $116.9 million at June 30, 2024 and December 31, 2023,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We Evaluate Our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present information below with respect to four measures of financial performance:</w:t>
      </w:r>
    </w:p>
    <w:p>
      <w:pPr>
        <w:spacing w:after="0" w:line="179" w:lineRule="exact"/>
        <w:rPr>
          <w:sz w:val="20"/>
          <w:szCs w:val="20"/>
          <w:color w:val="auto"/>
        </w:rPr>
      </w:pPr>
    </w:p>
    <w:p>
      <w:pPr>
        <w:jc w:val="both"/>
        <w:ind w:left="520" w:hanging="515"/>
        <w:spacing w:after="0" w:line="26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shipments of tools to include (a) a repeat shipment to a customer of a type of tool that the customer has previously accepted, for which we recognize revenue upon shipment or delivery, and (b) a first-time shipment of a first tool to a customer on an approval basis, for which we may recognize revenue in the future if contractual conditions are met, or if a purchase order is received.</w:t>
      </w:r>
    </w:p>
    <w:p>
      <w:pPr>
        <w:ind w:left="520" w:hanging="515"/>
        <w:spacing w:after="0" w:line="266"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EBITDA” as net income excluding interest expense (net), income tax benefit (expense), depreciation and amortization, unrealized (gain) loss on short-term investments, and stock-based compensation.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define adjusted EBITDA to also exclude restructuring costs, although we have not incurred any such costs to date.</w:t>
      </w:r>
    </w:p>
    <w:p>
      <w:pPr>
        <w:spacing w:after="0" w:line="23" w:lineRule="exact"/>
        <w:rPr>
          <w:sz w:val="20"/>
          <w:szCs w:val="20"/>
          <w:color w:val="auto"/>
        </w:rPr>
      </w:pPr>
    </w:p>
    <w:p>
      <w:pPr>
        <w:ind w:left="520" w:hanging="515"/>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“free cash flow” as net cash provided by operating activities less purchases of property and equipment (net of proceeds from disposals) and purchase of short-term and long-term investments.</w:t>
      </w:r>
    </w:p>
    <w:p>
      <w:pPr>
        <w:ind w:left="520" w:hanging="515"/>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operating income (loss)” as our income (loss) from operations excluding stock-based compensation.</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Shipments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consider shipments a key operating metric as it reflects the total value of products delivered to customers and prospective customers by our productive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Shipments consist of two components:</w:t>
      </w:r>
    </w:p>
    <w:p>
      <w:pPr>
        <w:spacing w:after="0" w:line="179" w:lineRule="exact"/>
        <w:rPr>
          <w:sz w:val="20"/>
          <w:szCs w:val="20"/>
          <w:color w:val="auto"/>
        </w:rPr>
      </w:pPr>
    </w:p>
    <w:p>
      <w:pPr>
        <w:ind w:left="520" w:hanging="515"/>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shipment to a customer of a type of tool that the customer has previously accepted, for which we recognize revenue when the tool is delivered; and</w:t>
      </w:r>
    </w:p>
    <w:p>
      <w:pPr>
        <w:spacing w:after="0" w:line="23" w:lineRule="exact"/>
        <w:rPr>
          <w:rFonts w:ascii="Times New Roman" w:cs="Times New Roman" w:eastAsia="Times New Roman" w:hAnsi="Times New Roman"/>
          <w:sz w:val="14"/>
          <w:szCs w:val="14"/>
          <w:color w:val="auto"/>
        </w:rPr>
      </w:pPr>
    </w:p>
    <w:p>
      <w:pPr>
        <w:jc w:val="both"/>
        <w:ind w:left="520" w:hanging="515"/>
        <w:spacing w:after="0" w:line="266"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spacing w:after="0" w:line="3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Shipments in the six months ended June 30, 2024 totaled $448.1 million, as compared to $242.6 million for the same periods in 2023. Repeat tool shipments in the six months ended June 30, 2024 totaled $230.4 million, as compared to $100.3 million for same periods in 2023. First tool shipments in the six months ended June 30, 2024 totaled $217.7 million, as compared to $142.3 million for the same periods in 2023.</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condensed consolidated financial statements included in this report). “First tool” shipments exclude deliveries to customers for which ACM Research does not have a basis to expect future revenue.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a number of limitations related to the use of adjusted EBITDA rather than net income (loss), which is the nearest GAAP equivalent. Some of these limitations are:</w:t>
      </w:r>
    </w:p>
    <w:p>
      <w:pPr>
        <w:spacing w:after="0" w:line="179" w:lineRule="exact"/>
        <w:rPr>
          <w:sz w:val="20"/>
          <w:szCs w:val="20"/>
          <w:color w:val="auto"/>
        </w:rPr>
      </w:pPr>
    </w:p>
    <w:p>
      <w:pPr>
        <w:ind w:left="520" w:hanging="51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excludes depreciation and amortization and, although these are non-cash expenses, the assets being depreciated or amortized may have to be replaced in the future;</w:t>
      </w:r>
    </w:p>
    <w:p>
      <w:pPr>
        <w:spacing w:after="0" w:line="23" w:lineRule="exact"/>
        <w:rPr>
          <w:rFonts w:ascii="Times New Roman" w:cs="Times New Roman" w:eastAsia="Times New Roman" w:hAnsi="Times New Roman"/>
          <w:sz w:val="14"/>
          <w:szCs w:val="14"/>
          <w:color w:val="auto"/>
        </w:rPr>
      </w:pPr>
    </w:p>
    <w:p>
      <w:pPr>
        <w:jc w:val="both"/>
        <w:ind w:left="520" w:hanging="515"/>
        <w:spacing w:after="0" w:line="253"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ind w:left="520" w:hanging="515"/>
        <w:spacing w:after="0" w:line="253"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520" w:hanging="51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reflect changes in, or cash requirements for, working capital needs;</w:t>
      </w:r>
    </w:p>
    <w:p>
      <w:pPr>
        <w:spacing w:after="0" w:line="8"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reflect interest expense, or the requirements necessary to service interest or principal payments on debt;</w:t>
      </w:r>
    </w:p>
    <w:p>
      <w:pPr>
        <w:spacing w:after="0" w:line="8"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reflect income tax expense (benefit) or the cash requirements to pay taxes;</w:t>
      </w:r>
    </w:p>
    <w:p>
      <w:pPr>
        <w:spacing w:after="0" w:line="8"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reflect historical cash expenditures or future requirements for capital expenditures or contractual commitments; and</w:t>
      </w:r>
    </w:p>
    <w:p>
      <w:pPr>
        <w:spacing w:after="0" w:line="8" w:lineRule="exact"/>
        <w:rPr>
          <w:rFonts w:ascii="Times New Roman" w:cs="Times New Roman" w:eastAsia="Times New Roman" w:hAnsi="Times New Roman"/>
          <w:sz w:val="14"/>
          <w:szCs w:val="14"/>
          <w:color w:val="auto"/>
        </w:rPr>
      </w:pPr>
    </w:p>
    <w:p>
      <w:pPr>
        <w:jc w:val="both"/>
        <w:ind w:left="520" w:hanging="515"/>
        <w:spacing w:after="0" w:line="259"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includes expense reductions and non-operating other income attributable to mainland China governmental grants, which may mask the effect of underlying developments in net income, including trends in current expenses and interest expense, and free cash flow includes mainland China governmental grants, the amount and timing of which can be difficult to predict and are outside our control.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net income, the most directly comparable GAAP financial measure,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6"/>
        </w:trPr>
        <w:tc>
          <w:tcPr>
            <w:tcW w:w="4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7"/>
                <w:szCs w:val="17"/>
                <w:color w:val="auto"/>
              </w:rPr>
            </w:pPr>
          </w:p>
        </w:tc>
        <w:tc>
          <w:tcPr>
            <w:tcW w:w="140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Absolute Change</w:t>
            </w:r>
          </w:p>
        </w:tc>
      </w:tr>
      <w:tr>
        <w:trPr>
          <w:trHeight w:val="186"/>
        </w:trPr>
        <w:tc>
          <w:tcPr>
            <w:tcW w:w="418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7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80" w:type="dxa"/>
            <w:vAlign w:val="bottom"/>
          </w:tcPr>
          <w:p>
            <w:pPr>
              <w:spacing w:after="0"/>
              <w:rPr>
                <w:sz w:val="16"/>
                <w:szCs w:val="16"/>
                <w:color w:val="auto"/>
              </w:rPr>
            </w:pPr>
          </w:p>
        </w:tc>
        <w:tc>
          <w:tcPr>
            <w:tcW w:w="14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 v 2023</w:t>
            </w:r>
          </w:p>
        </w:tc>
      </w:tr>
      <w:tr>
        <w:trPr>
          <w:trHeight w:val="22"/>
        </w:trPr>
        <w:tc>
          <w:tcPr>
            <w:tcW w:w="4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1"/>
        </w:trPr>
        <w:tc>
          <w:tcPr>
            <w:tcW w:w="4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Data:</w:t>
            </w:r>
          </w:p>
        </w:tc>
        <w:tc>
          <w:tcPr>
            <w:tcW w:w="1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9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53,491</w:t>
            </w:r>
          </w:p>
        </w:tc>
        <w:tc>
          <w:tcPr>
            <w:tcW w:w="100" w:type="dxa"/>
            <w:vAlign w:val="bottom"/>
          </w:tcPr>
          <w:p>
            <w:pPr>
              <w:spacing w:after="0"/>
              <w:rPr>
                <w:sz w:val="16"/>
                <w:szCs w:val="16"/>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42,560</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25.7 %</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10,931</w:t>
            </w: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1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91"/>
        </w:trPr>
        <w:tc>
          <w:tcPr>
            <w:tcW w:w="4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expense</w:t>
            </w:r>
          </w:p>
        </w:tc>
        <w:tc>
          <w:tcPr>
            <w:tcW w:w="1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10,517</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w:t>
            </w: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18.4 %</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91"/>
        </w:trPr>
        <w:tc>
          <w:tcPr>
            <w:tcW w:w="4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607.7 %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24,826</w:t>
            </w: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2"/>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180" w:type="dxa"/>
            <w:vAlign w:val="bottom"/>
            <w:tcBorders>
              <w:top w:val="single" w:sz="8" w:color="auto"/>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99,915</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61,439</w:t>
            </w:r>
          </w:p>
        </w:tc>
        <w:tc>
          <w:tcPr>
            <w:tcW w:w="10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62.6 %</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38,476</w:t>
            </w:r>
          </w:p>
        </w:tc>
      </w:tr>
      <w:tr>
        <w:trPr>
          <w:trHeight w:val="20"/>
        </w:trPr>
        <w:tc>
          <w:tcPr>
            <w:tcW w:w="4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increase in adjusted EBITDA for the six months ended June 30, 2024 as compared to the same period in 2023 reflects a $10.9 million increase in net income, a $24.8 million increase in stock based compensation, a $0.7 million increase in depreciation and amortization, a $3.2 million impact from a change in income tax expense, offset by a $1.5 million decrease in unrealized loss on short-term investment, and other items.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information regarding our mainland China grants, please see “—Mainland China Government Research and Development Funding.”</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Free Cash Flow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net cash provided by (used in) operating activities, the most directly comparable GAAP financial measure, to free cash flow: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7"/>
                <w:szCs w:val="17"/>
                <w:color w:val="auto"/>
              </w:rPr>
            </w:pPr>
          </w:p>
        </w:tc>
        <w:tc>
          <w:tcPr>
            <w:tcW w:w="14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Absolute Change</w:t>
            </w:r>
          </w:p>
        </w:tc>
      </w:tr>
      <w:tr>
        <w:trPr>
          <w:trHeight w:val="186"/>
        </w:trPr>
        <w:tc>
          <w:tcPr>
            <w:tcW w:w="3900" w:type="dxa"/>
            <w:vAlign w:val="bottom"/>
          </w:tcPr>
          <w:p>
            <w:pPr>
              <w:spacing w:after="0"/>
              <w:rPr>
                <w:sz w:val="16"/>
                <w:szCs w:val="16"/>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9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200" w:type="dxa"/>
            <w:vAlign w:val="bottom"/>
          </w:tcPr>
          <w:p>
            <w:pPr>
              <w:spacing w:after="0"/>
              <w:rPr>
                <w:sz w:val="16"/>
                <w:szCs w:val="16"/>
                <w:color w:val="auto"/>
              </w:rPr>
            </w:pPr>
          </w:p>
        </w:tc>
        <w:tc>
          <w:tcPr>
            <w:tcW w:w="14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 v 2023</w:t>
            </w:r>
          </w:p>
        </w:tc>
      </w:tr>
      <w:tr>
        <w:trPr>
          <w:trHeight w:val="22"/>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1"/>
        </w:trPr>
        <w:tc>
          <w:tcPr>
            <w:tcW w:w="3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2"/>
        </w:trPr>
        <w:tc>
          <w:tcPr>
            <w:tcW w:w="3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Free Cash Flow Data:</w:t>
            </w:r>
          </w:p>
        </w:tc>
        <w:tc>
          <w:tcPr>
            <w:tcW w:w="1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9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16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51,942</w:t>
            </w:r>
          </w:p>
        </w:tc>
        <w:tc>
          <w:tcPr>
            <w:tcW w:w="640" w:type="dxa"/>
            <w:vAlign w:val="bottom"/>
            <w:gridSpan w:val="2"/>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(371.3 %)</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71,087</w:t>
            </w:r>
          </w:p>
        </w:tc>
      </w:tr>
      <w:tr>
        <w:trPr>
          <w:trHeight w:val="22"/>
        </w:trPr>
        <w:tc>
          <w:tcPr>
            <w:tcW w:w="3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(38,512)</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(21,633)</w:t>
            </w:r>
          </w:p>
        </w:tc>
        <w:tc>
          <w:tcPr>
            <w:tcW w:w="80" w:type="dxa"/>
            <w:vAlign w:val="bottom"/>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78.0 %</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(16,879)</w:t>
            </w:r>
          </w:p>
        </w:tc>
      </w:tr>
      <w:tr>
        <w:trPr>
          <w:trHeight w:val="19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short-term and long-term investments</w:t>
            </w:r>
          </w:p>
        </w:tc>
        <w:tc>
          <w:tcPr>
            <w:tcW w:w="1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9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503.5 %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(7,316)</w:t>
            </w:r>
          </w:p>
        </w:tc>
      </w:tr>
      <w:tr>
        <w:trPr>
          <w:trHeight w:val="22"/>
        </w:trPr>
        <w:tc>
          <w:tcPr>
            <w:tcW w:w="3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1160" w:type="dxa"/>
            <w:vAlign w:val="bottom"/>
            <w:tcBorders>
              <w:top w:val="single" w:sz="8" w:color="auto"/>
              <w:bottom w:val="single" w:sz="8" w:color="CCEEFF"/>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80" w:type="dxa"/>
            <w:vAlign w:val="bottom"/>
          </w:tcPr>
          <w:p>
            <w:pPr>
              <w:spacing w:after="0"/>
              <w:rPr>
                <w:sz w:val="19"/>
                <w:szCs w:val="19"/>
                <w:color w:val="auto"/>
              </w:rPr>
            </w:pPr>
          </w:p>
        </w:tc>
        <w:tc>
          <w:tcPr>
            <w:tcW w:w="560" w:type="dxa"/>
            <w:vAlign w:val="bottom"/>
            <w:tcBorders>
              <w:top w:val="single" w:sz="8" w:color="auto"/>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(42,231)</w:t>
            </w:r>
          </w:p>
        </w:tc>
        <w:tc>
          <w:tcPr>
            <w:tcW w:w="80" w:type="dxa"/>
            <w:vAlign w:val="bottom"/>
          </w:tcPr>
          <w:p>
            <w:pPr>
              <w:spacing w:after="0"/>
              <w:rPr>
                <w:sz w:val="19"/>
                <w:szCs w:val="19"/>
                <w:color w:val="auto"/>
              </w:rPr>
            </w:pPr>
          </w:p>
        </w:tc>
        <w:tc>
          <w:tcPr>
            <w:tcW w:w="1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increase in free cash flow for the six months ended June 30, 2024 as compared to the same period in 2023 reflected the factors driving net cash used in operating activities, an increase of purchases of property and equipment, and long-term investment. Consistent with our methodology for calculating adjusted EBITDA, we do not adjust free cash flow 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Operating Income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less. The following tables reflect the exclusion of stock-based compensation, or SBC, from line items comprising income from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3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
        </w:trPr>
        <w:tc>
          <w:tcPr>
            <w:tcW w:w="3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5"/>
        </w:trPr>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0"/>
        </w:trPr>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(Non-</w:t>
            </w:r>
          </w:p>
        </w:tc>
        <w:tc>
          <w:tcPr>
            <w:tcW w:w="3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8"/>
        </w:trPr>
        <w:tc>
          <w:tcPr>
            <w:tcW w:w="34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SBC</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GAAP)</w:t>
            </w:r>
          </w:p>
        </w:tc>
        <w:tc>
          <w:tcPr>
            <w:tcW w:w="3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(GAAP)</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SBC</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(Non-GAAP)</w:t>
            </w:r>
          </w:p>
        </w:tc>
      </w:tr>
      <w:tr>
        <w:trPr>
          <w:trHeight w:val="181"/>
        </w:trPr>
        <w:tc>
          <w:tcPr>
            <w:tcW w:w="3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2"/>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354,671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354,671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218,833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218,833</w:t>
            </w:r>
          </w:p>
        </w:tc>
      </w:tr>
      <w:tr>
        <w:trPr>
          <w:trHeight w:val="19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(178,766)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(177,193)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(110,208)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(109,958)</w:t>
            </w:r>
          </w:p>
        </w:tc>
      </w:tr>
      <w:tr>
        <w:trPr>
          <w:trHeight w:val="22"/>
        </w:trPr>
        <w:tc>
          <w:tcPr>
            <w:tcW w:w="3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34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175,905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177,478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108,625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108,875</w:t>
            </w:r>
          </w:p>
        </w:tc>
      </w:tr>
      <w:tr>
        <w:trPr>
          <w:trHeight w:val="19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(19,914)</w:t>
            </w:r>
          </w:p>
        </w:tc>
      </w:tr>
      <w:tr>
        <w:trPr>
          <w:trHeight w:val="191"/>
        </w:trPr>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(49,886)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(32,683)</w:t>
            </w:r>
          </w:p>
        </w:tc>
      </w:tr>
      <w:tr>
        <w:trPr>
          <w:trHeight w:val="22"/>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3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(12,901)</w:t>
            </w:r>
          </w:p>
        </w:tc>
      </w:tr>
      <w:tr>
        <w:trPr>
          <w:trHeight w:val="203"/>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62,825</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(28,911)</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91,736</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39,292</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43,377</w:t>
            </w:r>
          </w:p>
        </w:tc>
      </w:tr>
      <w:tr>
        <w:trPr>
          <w:trHeight w:val="20"/>
        </w:trPr>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Adjusted operating income for the six months ended June 30, 2024 increased by $48.3 million, as compared with the same period in 2023, due to a $23.5 million increase in income from operations and a $24.8 million increase in stock-based compensation expense.</w:t>
      </w:r>
    </w:p>
    <w:p>
      <w:pPr>
        <w:spacing w:after="0" w:line="12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market risks and the ways we manage them are summarized in the section captioned “Part II, Item 7A. Quantitative and Qualitative Disclosures About Market Risk” in our Annual Report. There have been no material changes in the first six months of 2024 to our market risks or to our management of such risks.</w:t>
      </w:r>
    </w:p>
    <w:p>
      <w:pPr>
        <w:spacing w:after="0" w:line="12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evaluated the effectiveness of our disclosure controls and procedures pursuant to Rule 13a-15 under the Securities Exchange Act of 1934, or the Exchange Act, as of June 30, 2024. 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such evaluation, our Chief Executive Officer and Chief Financial Officer concluded that, as of June 30, 2024, our disclosure controls and procedures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the quarter ended June 30, 2024, that have materially affected, or are reasonably likely to materially affect, our internal control over financial reporting, except the remediation efforts as described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Remediation Efforts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previously reported, during the quarter ended March 31, 2024, management identified a deficiency constituting a material weakness in our internal control over financial reporting related to the design and implementation of information technology general controls ("ITGCs") related to the implementation of our new enterprise resource planning ("ERP") system in mainland China utilized in the preparation of our consolidated financial statements. Specifically, we did not (1) establish and maintain adequate pre-approval policy and process for the system changes; and (2) maintain a complete system change log.</w:t>
      </w:r>
    </w:p>
    <w:p>
      <w:pPr>
        <w:spacing w:after="0" w:line="16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Our management, under the oversight of our Audit Committee, has implemented the following remediation measures designed to improve our internal control over financial reporting and to remediate the material weakness noted above:</w:t>
      </w:r>
    </w:p>
    <w:p>
      <w:pPr>
        <w:spacing w:after="0" w:line="145" w:lineRule="exact"/>
        <w:rPr>
          <w:sz w:val="20"/>
          <w:szCs w:val="20"/>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Governance and Oversight: We have implemented a plan to stabilize the ERP system and correct the identified control deficiency. Additionally, we have engaged an outside professional firm to assist management overseeing the efforts to design, implement and ensure the ongoing execution of our ITGCs of the ERP system.</w:t>
      </w:r>
    </w:p>
    <w:p>
      <w:pPr>
        <w:spacing w:after="0" w:line="177" w:lineRule="exact"/>
        <w:rPr>
          <w:rFonts w:ascii="Times New Roman" w:cs="Times New Roman" w:eastAsia="Times New Roman" w:hAnsi="Times New Roman"/>
          <w:sz w:val="14"/>
          <w:szCs w:val="14"/>
          <w:color w:val="auto"/>
        </w:rPr>
      </w:pPr>
    </w:p>
    <w:p>
      <w:pPr>
        <w:jc w:val="both"/>
        <w:ind w:left="520" w:hanging="260"/>
        <w:spacing w:after="0" w:line="244" w:lineRule="auto"/>
        <w:tabs>
          <w:tab w:leader="none" w:pos="5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Change Management: We have designed and implemented an improved process for requesting, testing, authorizing, and reviewing system changes. This implementation includes enabling a complete activity log of accessing and/or making changes to the system and the addition of detection controls which include the review of such activity logs. We have also established policies and processes surrounding the testing, approval, and implementation of system changes to ERP system.</w:t>
      </w:r>
    </w:p>
    <w:p>
      <w:pPr>
        <w:spacing w:after="0" w:line="19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End User Training: We have enhanced the training of our personnel regarding their roles and responsibilities within the ITGCs objectives and activities.</w:t>
      </w:r>
    </w:p>
    <w:p>
      <w:pPr>
        <w:spacing w:after="0" w:line="177"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During the quarter ended June 30, 2024, we completed our testing of the operating effectiveness of internal controls impacted by these remediation efforts and concluded that as a result of the measures described above, the material weakness has been remediated and our internal control over financial reporting was effective as of June 30, 2024.</w:t>
      </w:r>
    </w:p>
    <w:p>
      <w:pPr>
        <w:spacing w:after="0" w:line="1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PART II.</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we may become involved in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Except as set forth below, 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Risks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U.S. Government is reportedly considering an outbound investment review mechanism, which may prevent us from taking advantage of investment opportunities outside the United States that could otherwise be advantageous to our stockholders</w:t>
      </w:r>
    </w:p>
    <w:p>
      <w:pPr>
        <w:spacing w:after="0" w:line="13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June 21, 2024, the Office of Investment Security of the U.S. Department of the Treasury issued a proposed rule to implement President Biden’s August 2023 Executive Order on Addressing United States Investments in Certain National Security Technologies and Products in Countries of Concern (the EO). The EO provided for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establishment of a new and targeted national security regulatory framework directed at controlling outbound investment from the United States in certain sensitive industry sectors in the People’s Republic of China (PRC) and the Special Administrative Regions of Hong Kong and Macau (collectively, China). As implemented by the proposed rule, the new framework would impose notification requirements and prohibitions on specified investments by U.S. persons in the semiconductor and microelectronics sector, quantum information technologies, and artificial intelligence (AI) systems.</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Within the semiconductor and microelectronics sector, prohibited investments would include certain covered investments in electronic design automation software; certain fabrication and advanced packaging tools; the design, fabrication, or packaging of certain advanced integrated circuits, and supercomputers. Notifiable investments would include any covered investments related to the design, fabrication, or packaging of integrated circuits not otherwise covered by the prohibition.</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If the outbound investment regime is implemented as set out in the proposed rule, given the breadth of the notification requirement as applicable within the semiconductor industry, we will likely be subject to increased regulatory burden to engage in certain investments in the PRC. Such a mechanism could negatively impact our ability to realize value from certain existing and future investments, including by limiting exit opportunities or causing us to favor buyers that may avoid complex notification requirements, even in circumstances where other buyers may offer better terms or more consideration. There can be no assurances that we will be able to maintain or proceed with investments on terms acceptable to us. Furthermore, while the requirements are still in proposed form, the range or extent of possible effects that could flow from such a measure cannot be determined with any degree of certainty at this time. It is possible that the outbound investment reporting requirements and prohibitions could adversely affect our business, financial condition, and operating results.</w:t>
      </w:r>
    </w:p>
    <w:p>
      <w:pPr>
        <w:spacing w:after="0" w:line="14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six months ended June 30, 2024, ACM Research issued, pursuant to the exercise of stock options at a per share exercise price of $0.50 per share, an aggregate of 513,322 shares of Class A common stock that were not registered under the Securities Act of 1933, as amended. We believe the offer and sale of those shares were exempt from registration under the Securities Act of 1933, as amended,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Sale Date</w:t>
            </w: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Exercised Shares (Net)</w:t>
            </w:r>
          </w:p>
        </w:tc>
        <w:tc>
          <w:tcPr>
            <w:tcW w:w="0" w:type="dxa"/>
            <w:vAlign w:val="bottom"/>
          </w:tcPr>
          <w:p>
            <w:pPr>
              <w:spacing w:after="0"/>
              <w:rPr>
                <w:sz w:val="1"/>
                <w:szCs w:val="1"/>
                <w:color w:val="auto"/>
              </w:rPr>
            </w:pPr>
          </w:p>
        </w:tc>
      </w:tr>
      <w:tr>
        <w:trPr>
          <w:trHeight w:val="22"/>
        </w:trPr>
        <w:tc>
          <w:tcPr>
            <w:tcW w:w="9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040" w:type="dxa"/>
            <w:vAlign w:val="bottom"/>
            <w:tcBorders>
              <w:bottom w:val="single" w:sz="8" w:color="CCEEFF"/>
            </w:tcBorders>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rPr>
              <w:t>January 3, 2024</w:t>
            </w:r>
          </w:p>
        </w:tc>
        <w:tc>
          <w:tcPr>
            <w:tcW w:w="1400" w:type="dxa"/>
            <w:vAlign w:val="bottom"/>
            <w:tcBorders>
              <w:bottom w:val="single" w:sz="8" w:color="CCEEFF"/>
            </w:tcBorders>
            <w:gridSpan w:val="2"/>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27,033</w:t>
            </w:r>
          </w:p>
        </w:tc>
        <w:tc>
          <w:tcPr>
            <w:tcW w:w="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0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9"/>
              </w:rPr>
              <w:t>March 1, 2024</w:t>
            </w:r>
          </w:p>
        </w:tc>
        <w:tc>
          <w:tcPr>
            <w:tcW w:w="140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34,434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9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w w:val="99"/>
              </w:rPr>
              <w:t>March 1, 2024</w:t>
            </w:r>
          </w:p>
        </w:tc>
        <w:tc>
          <w:tcPr>
            <w:tcW w:w="1400" w:type="dxa"/>
            <w:vAlign w:val="bottom"/>
            <w:tcBorders>
              <w:bottom w:val="single" w:sz="8" w:color="CCEEFF"/>
            </w:tcBorders>
            <w:gridSpan w:val="2"/>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177,089</w:t>
            </w:r>
          </w:p>
        </w:tc>
        <w:tc>
          <w:tcPr>
            <w:tcW w:w="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9"/>
              </w:rPr>
              <w:t>March 5, 2024</w:t>
            </w:r>
          </w:p>
        </w:tc>
        <w:tc>
          <w:tcPr>
            <w:tcW w:w="140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9,843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9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w w:val="99"/>
              </w:rPr>
              <w:t>March 5, 2024</w:t>
            </w:r>
          </w:p>
        </w:tc>
        <w:tc>
          <w:tcPr>
            <w:tcW w:w="1400" w:type="dxa"/>
            <w:vAlign w:val="bottom"/>
            <w:tcBorders>
              <w:bottom w:val="single" w:sz="8" w:color="CCEEFF"/>
            </w:tcBorders>
            <w:gridSpan w:val="2"/>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27,341</w:t>
            </w:r>
          </w:p>
        </w:tc>
        <w:tc>
          <w:tcPr>
            <w:tcW w:w="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40" w:type="dxa"/>
            <w:vAlign w:val="bottom"/>
          </w:tcPr>
          <w:p>
            <w:pPr>
              <w:jc w:val="center"/>
              <w:ind w:left="3269"/>
              <w:spacing w:after="0"/>
              <w:rPr>
                <w:sz w:val="20"/>
                <w:szCs w:val="20"/>
                <w:color w:val="auto"/>
              </w:rPr>
            </w:pPr>
            <w:r>
              <w:rPr>
                <w:rFonts w:ascii="Times New Roman" w:cs="Times New Roman" w:eastAsia="Times New Roman" w:hAnsi="Times New Roman"/>
                <w:sz w:val="14"/>
                <w:szCs w:val="14"/>
                <w:color w:val="auto"/>
                <w:w w:val="98"/>
              </w:rPr>
              <w:t>May 3, 2024</w:t>
            </w:r>
          </w:p>
        </w:tc>
        <w:tc>
          <w:tcPr>
            <w:tcW w:w="140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27,253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9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w w:val="99"/>
              </w:rPr>
              <w:t>May 14, 2024</w:t>
            </w:r>
          </w:p>
        </w:tc>
        <w:tc>
          <w:tcPr>
            <w:tcW w:w="1400" w:type="dxa"/>
            <w:vAlign w:val="bottom"/>
            <w:tcBorders>
              <w:bottom w:val="single" w:sz="8" w:color="CCEEFF"/>
            </w:tcBorders>
            <w:gridSpan w:val="2"/>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176,090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40" w:type="dxa"/>
            <w:vAlign w:val="bottom"/>
          </w:tcPr>
          <w:p>
            <w:pPr>
              <w:jc w:val="center"/>
              <w:ind w:left="3269"/>
              <w:spacing w:after="0"/>
              <w:rPr>
                <w:sz w:val="20"/>
                <w:szCs w:val="20"/>
                <w:color w:val="auto"/>
              </w:rPr>
            </w:pPr>
            <w:r>
              <w:rPr>
                <w:rFonts w:ascii="Times New Roman" w:cs="Times New Roman" w:eastAsia="Times New Roman" w:hAnsi="Times New Roman"/>
                <w:sz w:val="14"/>
                <w:szCs w:val="14"/>
                <w:color w:val="auto"/>
                <w:w w:val="99"/>
              </w:rPr>
              <w:t>May 14, 2024</w:t>
            </w:r>
          </w:p>
        </w:tc>
        <w:tc>
          <w:tcPr>
            <w:tcW w:w="140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34,239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9040" w:type="dxa"/>
            <w:vAlign w:val="bottom"/>
            <w:vMerge w:val="restart"/>
          </w:tcPr>
          <w:p>
            <w:pPr>
              <w:jc w:val="center"/>
              <w:ind w:left="326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040" w:type="dxa"/>
            <w:vAlign w:val="bottom"/>
            <w:vMerge w:val="continue"/>
          </w:tcPr>
          <w:p>
            <w:pPr>
              <w:spacing w:after="0"/>
              <w:rPr>
                <w:sz w:val="15"/>
                <w:szCs w:val="15"/>
                <w:color w:val="auto"/>
              </w:rPr>
            </w:pPr>
          </w:p>
        </w:tc>
        <w:tc>
          <w:tcPr>
            <w:tcW w:w="140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513,322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9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May 14, 2024, David Wang, President, Chief Executive Officer and a member of the Board of Directors of ACM Research, adopted a Rule 10b5-1 trading arrangement (the “Wang Plan”) that is intended to satisfy the affirmative defense of Rule 10b5-1(c) of the Exchange Act. The Wang Plan allows for the contemporaneous exercise of options and sale of up to 480,000 shares of Class A Common Stock, at specific market prices, commencing on August 22, 2024, and continuing until (i) all such options are exercised and the underlying shares are sold, (ii) April 30, 2025, or (iii) such date that the Wang Plan is otherwise terminated according to its terms, whichever comes first.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May 17, 2024, Tracy Liu, a member of the Board of Directors of ACM Research, adopted a Rule 10b5-1 trading arrangement (the “Liu Plan”) that is intended to satisfy the affirmative defense of Rule 10b5-1(c) of the Exchange Act. The Liu Plan allows for the contemporaneous exercise of options and sale of up to 19,500 shares of Class A Common Stock, at specific market prices, commencing on August 16, 2024, and continuing until (i) all such options are exercised and the underlying shares are sold, (ii) May 19, 2025, or (iii) such date that the Liu Plan is otherwise terminated according to its terms, whichever comes first.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May 31, 2024, Fuping Chen, Vice President, Sales—China of ACM Shanghai, adopted a Rule 10b5-1 trading arrangement (the “Chen Plan”) that is intended to satisfy the affirmative defense of Rule 10b5-1(c) of the Exchange Act. The Chen Plan allows for the contemporaneous exercise of options and sale of up to 100,000 shares of Class A Common Stock, at specific market prices, commencing on August 30, 2024, and continuing until (i) all such options are exercised and the underlying shares are sold, (ii) May 30, 2025, or (iii) such date that the Chen Plan is otherwise terminated according to its terms, whichever comes first.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12, 2024, Shanghai Science and Technology Venture Capital Co., Ltd. ("SSTVC"), adopted a Rule 10b5-1 trading arrangement (the “SSTVC Plan”) that is intended to satisfy the affirmative defense of Rule 10b5-1(c) of the Exchange Act. The SSTVC Plan allows for the sale of up to 1.1 million shares of Class A Common Stock, at specific market prices, commencing on September 10, 2024, and continuing until (i) all such shares are sold, (ii) December 31, 2024, or (iii) such date that the SSTVC Plan is otherwise terminated according to its terms, whichever comes first. Xia Xing, a member of the Board of Directors of ACM Research, is an employee of an affiliate of SSTVC.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filed as part of this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6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9600" w:type="dxa"/>
            <w:vAlign w:val="bottom"/>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0" w:type="dxa"/>
            <w:vAlign w:val="bottom"/>
            <w:tcBorders>
              <w:bottom w:val="single" w:sz="8" w:color="auto"/>
            </w:tcBorders>
          </w:tcPr>
          <w:p>
            <w:pPr>
              <w:spacing w:after="0" w:line="20" w:lineRule="exact"/>
              <w:rPr>
                <w:sz w:val="1"/>
                <w:szCs w:val="1"/>
                <w:color w:val="auto"/>
              </w:rPr>
            </w:pPr>
          </w:p>
        </w:tc>
      </w:tr>
      <w:tr>
        <w:trPr>
          <w:trHeight w:val="159"/>
        </w:trPr>
        <w:tc>
          <w:tcPr>
            <w:tcW w:w="158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color w:val="auto"/>
              </w:rPr>
              <w:t>10.</w:t>
            </w:r>
            <w:r>
              <w:rPr>
                <w:rFonts w:ascii="Times New Roman" w:cs="Times New Roman" w:eastAsia="Times New Roman" w:hAnsi="Times New Roman"/>
                <w:sz w:val="14"/>
                <w:szCs w:val="14"/>
                <w:u w:val="single" w:color="auto"/>
                <w:color w:val="auto"/>
              </w:rPr>
              <w:t>01</w:t>
            </w:r>
          </w:p>
        </w:tc>
        <w:tc>
          <w:tcPr>
            <w:tcW w:w="100" w:type="dxa"/>
            <w:vAlign w:val="bottom"/>
          </w:tcPr>
          <w:p>
            <w:pPr>
              <w:spacing w:after="0"/>
              <w:rPr>
                <w:sz w:val="13"/>
                <w:szCs w:val="13"/>
                <w:color w:val="auto"/>
              </w:rPr>
            </w:pPr>
          </w:p>
        </w:tc>
        <w:tc>
          <w:tcPr>
            <w:tcW w:w="96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Purchase and Sale Agreement and Receipt for Earnest Money, dated July 30, 2024, by and among ACM Research, Inc. and William R. O’Neill, Lynda E. O’Neill and</w:t>
            </w:r>
          </w:p>
        </w:tc>
      </w:tr>
      <w:tr>
        <w:trPr>
          <w:trHeight w:val="181"/>
        </w:trPr>
        <w:tc>
          <w:tcPr>
            <w:tcW w:w="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Gordon A. Harris</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159"/>
        </w:trPr>
        <w:tc>
          <w:tcPr>
            <w:tcW w:w="158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0000EE"/>
              </w:rPr>
              <w:t>31.</w:t>
            </w:r>
            <w:r>
              <w:rPr>
                <w:rFonts w:ascii="Times New Roman" w:cs="Times New Roman" w:eastAsia="Times New Roman" w:hAnsi="Times New Roman"/>
                <w:sz w:val="14"/>
                <w:szCs w:val="14"/>
                <w:u w:val="single" w:color="auto"/>
                <w:color w:val="0000EE"/>
              </w:rPr>
              <w:t>01</w:t>
            </w:r>
          </w:p>
        </w:tc>
        <w:tc>
          <w:tcPr>
            <w:tcW w:w="100" w:type="dxa"/>
            <w:vAlign w:val="bottom"/>
            <w:shd w:val="clear" w:color="auto" w:fill="CCEEFF"/>
          </w:tcPr>
          <w:p>
            <w:pPr>
              <w:spacing w:after="0"/>
              <w:rPr>
                <w:sz w:val="13"/>
                <w:szCs w:val="13"/>
                <w:color w:val="auto"/>
              </w:rPr>
            </w:pPr>
          </w:p>
        </w:tc>
        <w:tc>
          <w:tcPr>
            <w:tcW w:w="9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Certification of Principal Executive Officer Pursuant to Rules 13a-14(a) and 15d-14(a) under the Securities Exchange Act of 1934, as Adopted Pursuant to Section 302</w:t>
            </w: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0000EE"/>
              <w:bottom w:val="single" w:sz="8" w:color="CCEEFF"/>
            </w:tcBorders>
            <w:shd w:val="clear" w:color="auto" w:fill="CCEEFF"/>
          </w:tcPr>
          <w:p>
            <w:pPr>
              <w:spacing w:after="0"/>
              <w:rPr>
                <w:sz w:val="15"/>
                <w:szCs w:val="15"/>
                <w:color w:val="auto"/>
              </w:rPr>
            </w:pP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 the Sarbanes-Oxley Act of 2002</w:t>
            </w:r>
          </w:p>
        </w:tc>
      </w:tr>
      <w:tr>
        <w:trPr>
          <w:trHeight w:val="159"/>
        </w:trPr>
        <w:tc>
          <w:tcPr>
            <w:tcW w:w="158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color w:val="0000EE"/>
              </w:rPr>
              <w:t>31.</w:t>
            </w:r>
            <w:r>
              <w:rPr>
                <w:rFonts w:ascii="Times New Roman" w:cs="Times New Roman" w:eastAsia="Times New Roman" w:hAnsi="Times New Roman"/>
                <w:sz w:val="14"/>
                <w:szCs w:val="14"/>
                <w:u w:val="single" w:color="auto"/>
                <w:color w:val="0000EE"/>
              </w:rPr>
              <w:t>02</w:t>
            </w:r>
          </w:p>
        </w:tc>
        <w:tc>
          <w:tcPr>
            <w:tcW w:w="100" w:type="dxa"/>
            <w:vAlign w:val="bottom"/>
          </w:tcPr>
          <w:p>
            <w:pPr>
              <w:spacing w:after="0"/>
              <w:rPr>
                <w:sz w:val="13"/>
                <w:szCs w:val="13"/>
                <w:color w:val="auto"/>
              </w:rPr>
            </w:pPr>
          </w:p>
        </w:tc>
        <w:tc>
          <w:tcPr>
            <w:tcW w:w="96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Certification of Principal Financial Officer Pursuant to Rules 13a-14(a) and 15d-14(a) under the Securities Exchange Act of 1934, as Adopted Pursuant to Section 302 of</w:t>
            </w:r>
          </w:p>
        </w:tc>
      </w:tr>
      <w:tr>
        <w:trPr>
          <w:trHeight w:val="181"/>
        </w:trPr>
        <w:tc>
          <w:tcPr>
            <w:tcW w:w="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the Sarbanes-Oxley Act of 2002</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159"/>
        </w:trPr>
        <w:tc>
          <w:tcPr>
            <w:tcW w:w="158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0000EE"/>
              </w:rPr>
              <w:t>32.</w:t>
            </w:r>
            <w:r>
              <w:rPr>
                <w:rFonts w:ascii="Times New Roman" w:cs="Times New Roman" w:eastAsia="Times New Roman" w:hAnsi="Times New Roman"/>
                <w:sz w:val="14"/>
                <w:szCs w:val="14"/>
                <w:u w:val="single" w:color="auto"/>
                <w:color w:val="0000EE"/>
              </w:rPr>
              <w:t>01</w:t>
            </w:r>
          </w:p>
        </w:tc>
        <w:tc>
          <w:tcPr>
            <w:tcW w:w="100" w:type="dxa"/>
            <w:vAlign w:val="bottom"/>
            <w:shd w:val="clear" w:color="auto" w:fill="CCEEFF"/>
          </w:tcPr>
          <w:p>
            <w:pPr>
              <w:spacing w:after="0"/>
              <w:rPr>
                <w:sz w:val="13"/>
                <w:szCs w:val="13"/>
                <w:color w:val="auto"/>
              </w:rPr>
            </w:pPr>
          </w:p>
        </w:tc>
        <w:tc>
          <w:tcPr>
            <w:tcW w:w="9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Certification of Principal Executive Officer and Principal Financial Officer Pursuant to 18 U.S.C. Section 1350, as Adopted Pursuant to Section 906 of the Sarbanes-</w:t>
            </w: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0000EE"/>
              <w:bottom w:val="single" w:sz="8" w:color="CCEEFF"/>
            </w:tcBorders>
            <w:shd w:val="clear" w:color="auto" w:fill="CCEEFF"/>
          </w:tcPr>
          <w:p>
            <w:pPr>
              <w:spacing w:after="0"/>
              <w:rPr>
                <w:sz w:val="15"/>
                <w:szCs w:val="15"/>
                <w:color w:val="auto"/>
              </w:rPr>
            </w:pP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Oxley Act of 2002</w:t>
            </w:r>
          </w:p>
        </w:tc>
      </w:tr>
      <w:tr>
        <w:trPr>
          <w:trHeight w:val="176"/>
        </w:trPr>
        <w:tc>
          <w:tcPr>
            <w:tcW w:w="2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101.INS</w:t>
            </w:r>
          </w:p>
        </w:tc>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 Interactive Data File because its XBRL tags are embedded within the Inline XBRL</w:t>
            </w: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document)</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101.SCH</w:t>
            </w:r>
          </w:p>
        </w:tc>
        <w:tc>
          <w:tcPr>
            <w:tcW w:w="9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91"/>
        </w:trPr>
        <w:tc>
          <w:tcPr>
            <w:tcW w:w="2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101.CAL</w:t>
            </w:r>
          </w:p>
        </w:tc>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101.DEF</w:t>
            </w:r>
          </w:p>
        </w:tc>
        <w:tc>
          <w:tcPr>
            <w:tcW w:w="9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91"/>
        </w:trPr>
        <w:tc>
          <w:tcPr>
            <w:tcW w:w="2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101.LAB</w:t>
            </w:r>
          </w:p>
        </w:tc>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101.PRE</w:t>
            </w:r>
          </w:p>
        </w:tc>
        <w:tc>
          <w:tcPr>
            <w:tcW w:w="9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19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ACM RESEARCH, INC.</w:t>
      </w:r>
    </w:p>
    <w:p>
      <w:pPr>
        <w:spacing w:after="0" w:line="51" w:lineRule="exact"/>
        <w:rPr>
          <w:sz w:val="20"/>
          <w:szCs w:val="20"/>
          <w:color w:val="auto"/>
        </w:rPr>
      </w:pPr>
    </w:p>
    <w:p>
      <w:pPr>
        <w:ind w:left="20"/>
        <w:spacing w:after="0"/>
        <w:tabs>
          <w:tab w:leader="none" w:pos="4740" w:val="left"/>
          <w:tab w:leader="none" w:pos="5460" w:val="left"/>
        </w:tabs>
        <w:rPr>
          <w:sz w:val="20"/>
          <w:szCs w:val="20"/>
          <w:color w:val="auto"/>
        </w:rPr>
      </w:pPr>
      <w:r>
        <w:rPr>
          <w:rFonts w:ascii="Times New Roman" w:cs="Times New Roman" w:eastAsia="Times New Roman" w:hAnsi="Times New Roman"/>
          <w:sz w:val="14"/>
          <w:szCs w:val="14"/>
          <w:color w:val="auto"/>
        </w:rPr>
        <w:t>Date: August 7,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28575</wp:posOffset>
            </wp:positionV>
            <wp:extent cx="369189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91890" cy="13335"/>
                    </a:xfrm>
                    <a:prstGeom prst="rect">
                      <a:avLst/>
                    </a:prstGeom>
                    <a:noFill/>
                  </pic:spPr>
                </pic:pic>
              </a:graphicData>
            </a:graphic>
          </wp:anchor>
        </w:drawing>
      </w:r>
    </w:p>
    <w:p>
      <w:pPr>
        <w:spacing w:after="0" w:line="5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Mark McKechnie</w:t>
      </w:r>
    </w:p>
    <w:p>
      <w:pPr>
        <w:spacing w:after="0" w:line="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Chief Financial Officer, Executive Vice President and</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Treasurer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00" w:lineRule="exact"/>
        <w:rPr>
          <w:sz w:val="20"/>
          <w:szCs w:val="20"/>
          <w:color w:val="auto"/>
        </w:rPr>
      </w:pPr>
    </w:p>
    <w:p>
      <w:pPr>
        <w:spacing w:after="0" w:line="35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880"/>
          </w:cols>
          <w:pgMar w:left="300" w:top="120" w:right="719" w:bottom="1440"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4"/>
          <w:szCs w:val="14"/>
          <w:b w:val="1"/>
          <w:bCs w:val="1"/>
          <w:color w:val="auto"/>
        </w:rPr>
        <w:t>Exhibit 31.01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H. Wang, certify that:</w:t>
      </w:r>
    </w:p>
    <w:p>
      <w:pPr>
        <w:spacing w:after="0" w:line="179" w:lineRule="exact"/>
        <w:rPr>
          <w:sz w:val="20"/>
          <w:szCs w:val="20"/>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ACM Research, Inc.</w:t>
      </w:r>
    </w:p>
    <w:p>
      <w:pPr>
        <w:spacing w:after="0" w:line="17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sz w:val="20"/>
          <w:szCs w:val="20"/>
          <w:color w:val="auto"/>
        </w:rPr>
      </w:pPr>
    </w:p>
    <w:p>
      <w:pPr>
        <w:ind w:left="260" w:hanging="255"/>
        <w:spacing w:after="0" w:line="287" w:lineRule="auto"/>
        <w:tabs>
          <w:tab w:leader="none" w:pos="25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5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5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5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sz w:val="20"/>
          <w:szCs w:val="20"/>
          <w:color w:val="auto"/>
        </w:rPr>
      </w:pPr>
    </w:p>
    <w:p>
      <w:pPr>
        <w:ind w:left="260" w:hanging="255"/>
        <w:spacing w:after="0" w:line="287"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260" w:hanging="255"/>
        <w:spacing w:after="0" w:line="287" w:lineRule="auto"/>
        <w:tabs>
          <w:tab w:leader="none" w:pos="25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4"/>
          <w:szCs w:val="14"/>
          <w:color w:val="auto"/>
        </w:rPr>
        <w:t>Date: August 7, 2024</w:t>
      </w:r>
      <w:r>
        <w:rPr>
          <w:sz w:val="20"/>
          <w:szCs w:val="20"/>
          <w:color w:val="auto"/>
        </w:rPr>
        <w:tab/>
      </w:r>
      <w:r>
        <w:rPr>
          <w:rFonts w:ascii="Times New Roman" w:cs="Times New Roman" w:eastAsia="Times New Roman" w:hAnsi="Times New Roman"/>
          <w:sz w:val="13"/>
          <w:szCs w:val="13"/>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21590</wp:posOffset>
            </wp:positionV>
            <wp:extent cx="3833495"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33495" cy="13335"/>
                    </a:xfrm>
                    <a:prstGeom prst="rect">
                      <a:avLst/>
                    </a:prstGeom>
                    <a:noFill/>
                  </pic:spPr>
                </pic:pic>
              </a:graphicData>
            </a:graphic>
          </wp:anchor>
        </w:drawing>
      </w:r>
    </w:p>
    <w:p>
      <w:pPr>
        <w:spacing w:after="0" w:line="4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David H. Wang</w:t>
      </w:r>
    </w:p>
    <w:p>
      <w:pPr>
        <w:spacing w:after="0" w:line="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Chief Executive Officer and President</w:t>
      </w:r>
    </w:p>
    <w:p>
      <w:pPr>
        <w:spacing w:after="0" w:line="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759" w:right="3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b w:val="1"/>
          <w:bCs w:val="1"/>
          <w:color w:val="auto"/>
        </w:rPr>
        <w:t>Exhibit 31.02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Mark McKechnie, certify that:</w:t>
      </w:r>
    </w:p>
    <w:p>
      <w:pPr>
        <w:spacing w:after="0" w:line="179" w:lineRule="exact"/>
        <w:rPr>
          <w:sz w:val="20"/>
          <w:szCs w:val="20"/>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ACM Research, Inc.</w:t>
      </w:r>
    </w:p>
    <w:p>
      <w:pPr>
        <w:spacing w:after="0" w:line="17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sz w:val="20"/>
          <w:szCs w:val="20"/>
          <w:color w:val="auto"/>
        </w:rPr>
      </w:pPr>
    </w:p>
    <w:p>
      <w:pPr>
        <w:ind w:left="260" w:hanging="255"/>
        <w:spacing w:after="0" w:line="287" w:lineRule="auto"/>
        <w:tabs>
          <w:tab w:leader="none" w:pos="25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5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5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5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sz w:val="20"/>
          <w:szCs w:val="20"/>
          <w:color w:val="auto"/>
        </w:rPr>
      </w:pPr>
    </w:p>
    <w:p>
      <w:pPr>
        <w:ind w:left="260" w:hanging="255"/>
        <w:spacing w:after="0" w:line="287"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4" w:lineRule="exact"/>
        <w:rPr>
          <w:sz w:val="20"/>
          <w:szCs w:val="20"/>
          <w:color w:val="auto"/>
        </w:rPr>
      </w:pPr>
    </w:p>
    <w:p>
      <w:pPr>
        <w:ind w:left="260" w:hanging="255"/>
        <w:spacing w:after="0" w:line="287" w:lineRule="auto"/>
        <w:tabs>
          <w:tab w:leader="none" w:pos="258"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4"/>
          <w:szCs w:val="14"/>
          <w:color w:val="auto"/>
        </w:rPr>
        <w:t>Date: August 7, 2024</w:t>
      </w:r>
      <w:r>
        <w:rPr>
          <w:sz w:val="20"/>
          <w:szCs w:val="20"/>
          <w:color w:val="auto"/>
        </w:rPr>
        <w:tab/>
      </w:r>
      <w:r>
        <w:rPr>
          <w:rFonts w:ascii="Times New Roman" w:cs="Times New Roman" w:eastAsia="Times New Roman" w:hAnsi="Times New Roman"/>
          <w:sz w:val="14"/>
          <w:szCs w:val="14"/>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21590</wp:posOffset>
            </wp:positionV>
            <wp:extent cx="3833495"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33495" cy="13335"/>
                    </a:xfrm>
                    <a:prstGeom prst="rect">
                      <a:avLst/>
                    </a:prstGeom>
                    <a:noFill/>
                  </pic:spPr>
                </pic:pic>
              </a:graphicData>
            </a:graphic>
          </wp:anchor>
        </w:drawing>
      </w:r>
    </w:p>
    <w:p>
      <w:pPr>
        <w:spacing w:after="0" w:line="4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Mark McKechnie</w:t>
      </w:r>
    </w:p>
    <w:p>
      <w:pPr>
        <w:spacing w:after="0" w:line="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Chief Financial Officer, Executive Vice President and Treasurer</w:t>
      </w:r>
    </w:p>
    <w:p>
      <w:pPr>
        <w:spacing w:after="0" w:line="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929" w:right="3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4"/>
          <w:szCs w:val="14"/>
          <w:b w:val="1"/>
          <w:bCs w:val="1"/>
          <w:color w:val="auto"/>
        </w:rPr>
        <w:t>Exhibit 32.01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ACM Research, Inc. for the quarterly period ended June 30, 2024,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36" w:lineRule="exact"/>
        <w:rPr>
          <w:sz w:val="20"/>
          <w:szCs w:val="20"/>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ACM Research, Inc. for the period presented therein.</w:t>
      </w:r>
    </w:p>
    <w:p>
      <w:pPr>
        <w:spacing w:after="0" w:line="221"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4"/>
          <w:szCs w:val="14"/>
          <w:color w:val="auto"/>
        </w:rPr>
        <w:t>Date: August 7, 2024</w:t>
      </w:r>
      <w:r>
        <w:rPr>
          <w:sz w:val="20"/>
          <w:szCs w:val="20"/>
          <w:color w:val="auto"/>
        </w:rPr>
        <w:tab/>
      </w:r>
      <w:r>
        <w:rPr>
          <w:rFonts w:ascii="Times New Roman" w:cs="Times New Roman" w:eastAsia="Times New Roman" w:hAnsi="Times New Roman"/>
          <w:sz w:val="13"/>
          <w:szCs w:val="13"/>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21590</wp:posOffset>
            </wp:positionV>
            <wp:extent cx="3833495"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33495" cy="13335"/>
                    </a:xfrm>
                    <a:prstGeom prst="rect">
                      <a:avLst/>
                    </a:prstGeom>
                    <a:noFill/>
                  </pic:spPr>
                </pic:pic>
              </a:graphicData>
            </a:graphic>
          </wp:anchor>
        </w:drawing>
      </w:r>
    </w:p>
    <w:p>
      <w:pPr>
        <w:spacing w:after="0" w:line="4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David H. Wang</w:t>
      </w:r>
    </w:p>
    <w:p>
      <w:pPr>
        <w:spacing w:after="0" w:line="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Chief Executive Officer and President</w:t>
      </w:r>
    </w:p>
    <w:p>
      <w:pPr>
        <w:spacing w:after="0" w:line="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55"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4"/>
          <w:szCs w:val="14"/>
          <w:color w:val="auto"/>
        </w:rPr>
        <w:t>Date: August 7, 2024</w:t>
      </w:r>
      <w:r>
        <w:rPr>
          <w:sz w:val="20"/>
          <w:szCs w:val="20"/>
          <w:color w:val="auto"/>
        </w:rPr>
        <w:tab/>
      </w:r>
      <w:r>
        <w:rPr>
          <w:rFonts w:ascii="Times New Roman" w:cs="Times New Roman" w:eastAsia="Times New Roman" w:hAnsi="Times New Roman"/>
          <w:sz w:val="14"/>
          <w:szCs w:val="14"/>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21590</wp:posOffset>
            </wp:positionV>
            <wp:extent cx="3833495"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33495" cy="13335"/>
                    </a:xfrm>
                    <a:prstGeom prst="rect">
                      <a:avLst/>
                    </a:prstGeom>
                    <a:noFill/>
                  </pic:spPr>
                </pic:pic>
              </a:graphicData>
            </a:graphic>
          </wp:anchor>
        </w:drawing>
      </w:r>
    </w:p>
    <w:p>
      <w:pPr>
        <w:spacing w:after="0" w:line="4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Mark McKechnie</w:t>
      </w:r>
    </w:p>
    <w:p>
      <w:pPr>
        <w:spacing w:after="0" w:line="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Chief Financial Officer, Executive Vice President and Treasurer</w:t>
      </w:r>
    </w:p>
    <w:p>
      <w:pPr>
        <w:spacing w:after="0" w:line="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 1350 and is not being filed as part of the Report or as a separate disclosure document.</w:t>
      </w:r>
    </w:p>
    <w:sectPr>
      <w:pgSz w:w="11900" w:h="16838" w:orient="portrait"/>
      <w:cols w:equalWidth="0" w:num="1">
        <w:col w:w="11280"/>
      </w:cols>
      <w:pgMar w:left="300" w:top="9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decimal"/>
      <w:start w:val="5"/>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decimal"/>
      <w:start w:val="5"/>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2024-08-07T16:49:42Z</dcterms:created>
  <dcterms:modified xsi:type="dcterms:W3CDTF">2024-08-07T16:49:42Z</dcterms:modified>
</cp:coreProperties>
</file>