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5" w:lineRule="exact"/>
        <w:rPr>
          <w:sz w:val="24"/>
          <w:szCs w:val="24"/>
          <w:color w:val="auto"/>
        </w:rPr>
      </w:pPr>
    </w:p>
    <w:p>
      <w:pPr>
        <w:ind w:left="340" w:right="2180" w:hanging="332"/>
        <w:spacing w:after="0" w:line="261"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9" w:lineRule="exact"/>
        <w:rPr>
          <w:sz w:val="24"/>
          <w:szCs w:val="24"/>
          <w:color w:val="auto"/>
        </w:rPr>
      </w:pPr>
    </w:p>
    <w:p>
      <w:pPr>
        <w:ind w:left="340" w:right="2160" w:hanging="332"/>
        <w:spacing w:after="0" w:line="275"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165"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94-3290283</w:t>
      </w:r>
    </w:p>
    <w:p>
      <w:pPr>
        <w:spacing w:after="0" w:line="76" w:lineRule="exact"/>
        <w:rPr>
          <w:sz w:val="24"/>
          <w:szCs w:val="24"/>
          <w:color w:val="auto"/>
        </w:rPr>
      </w:pPr>
    </w:p>
    <w:p>
      <w:pPr>
        <w:sectPr>
          <w:pgSz w:w="11900" w:h="16838" w:orient="portrait"/>
          <w:cols w:equalWidth="0" w:num="2">
            <w:col w:w="7520" w:space="720"/>
            <w:col w:w="3180"/>
          </w:cols>
          <w:pgMar w:left="240" w:top="949" w:right="239" w:bottom="1440" w:gutter="0" w:footer="0" w:header="0"/>
          <w:type w:val="continuous"/>
        </w:sectPr>
      </w:pPr>
    </w:p>
    <w:p>
      <w:pPr>
        <w:ind w:left="62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949" w:right="239" w:bottom="1440" w:gutter="0" w:footer="0" w:header="0"/>
          <w:type w:val="continuous"/>
        </w:sectPr>
      </w:pPr>
    </w:p>
    <w:p>
      <w:pPr>
        <w:spacing w:after="0" w:line="69" w:lineRule="exact"/>
        <w:rPr>
          <w:sz w:val="24"/>
          <w:szCs w:val="24"/>
          <w:color w:val="auto"/>
        </w:rPr>
      </w:pPr>
    </w:p>
    <w:p>
      <w:pPr>
        <w:ind w:left="3280"/>
        <w:spacing w:after="0"/>
        <w:rPr>
          <w:sz w:val="20"/>
          <w:szCs w:val="20"/>
          <w:color w:val="auto"/>
        </w:rPr>
      </w:pPr>
      <w:r>
        <w:rPr>
          <w:rFonts w:ascii="Arial" w:cs="Arial" w:eastAsia="Arial" w:hAnsi="Arial"/>
          <w:sz w:val="15"/>
          <w:szCs w:val="15"/>
          <w:b w:val="1"/>
          <w:bCs w:val="1"/>
          <w:color w:val="auto"/>
        </w:rPr>
        <w:t>42307 Osgood Road, Suite I, Fremont, California</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94539</w:t>
      </w:r>
    </w:p>
    <w:p>
      <w:pPr>
        <w:spacing w:after="0" w:line="77" w:lineRule="exact"/>
        <w:rPr>
          <w:sz w:val="24"/>
          <w:szCs w:val="24"/>
          <w:color w:val="auto"/>
        </w:rPr>
      </w:pPr>
    </w:p>
    <w:p>
      <w:pPr>
        <w:sectPr>
          <w:pgSz w:w="11900" w:h="16838" w:orient="portrait"/>
          <w:cols w:equalWidth="0" w:num="2">
            <w:col w:w="7140" w:space="720"/>
            <w:col w:w="3560"/>
          </w:cols>
          <w:pgMar w:left="240" w:top="949" w:right="239" w:bottom="1440" w:gutter="0" w:footer="0" w:header="0"/>
          <w:type w:val="continuous"/>
        </w:sectPr>
      </w:pPr>
    </w:p>
    <w:p>
      <w:pPr>
        <w:ind w:left="37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6960" w:space="720"/>
            <w:col w:w="3740"/>
          </w:cols>
          <w:pgMar w:left="240" w:top="949" w:right="239" w:bottom="1440" w:gutter="0" w:footer="0" w:header="0"/>
          <w:type w:val="continuous"/>
        </w:sectPr>
      </w:pP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164" w:lineRule="exact"/>
        <w:rPr>
          <w:sz w:val="24"/>
          <w:szCs w:val="24"/>
          <w:color w:val="auto"/>
        </w:rPr>
      </w:pPr>
    </w:p>
    <w:p>
      <w:pPr>
        <w:jc w:val="both"/>
        <w:spacing w:after="0" w:line="23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79" w:lineRule="exact"/>
        <w:rPr>
          <w:sz w:val="24"/>
          <w:szCs w:val="24"/>
          <w:color w:val="auto"/>
        </w:rPr>
      </w:pPr>
    </w:p>
    <w:tbl>
      <w:tblPr>
        <w:tblLayout w:type="fixed"/>
        <w:tblInd w:w="60" w:type="dxa"/>
        <w:tblCellMar>
          <w:top w:w="0" w:type="dxa"/>
          <w:left w:w="0" w:type="dxa"/>
          <w:bottom w:w="0" w:type="dxa"/>
          <w:right w:w="0" w:type="dxa"/>
        </w:tblCellMar>
      </w:tblP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80" w:type="dxa"/>
            <w:vAlign w:val="bottom"/>
          </w:tcPr>
          <w:p>
            <w:pPr>
              <w:ind w:left="640"/>
              <w:spacing w:after="0" w:line="221" w:lineRule="exact"/>
              <w:rPr>
                <w:sz w:val="20"/>
                <w:szCs w:val="20"/>
                <w:color w:val="auto"/>
              </w:rPr>
            </w:pPr>
            <w:r>
              <w:rPr>
                <w:rFonts w:ascii="MS PGothic" w:cs="MS PGothic" w:eastAsia="MS PGothic" w:hAnsi="MS PGothic"/>
                <w:sz w:val="22"/>
                <w:szCs w:val="22"/>
                <w:color w:val="auto"/>
              </w:rPr>
              <w:t>☐</w:t>
            </w:r>
          </w:p>
        </w:tc>
        <w:tc>
          <w:tcPr>
            <w:tcW w:w="3600" w:type="dxa"/>
            <w:vAlign w:val="bottom"/>
          </w:tcPr>
          <w:p>
            <w:pPr>
              <w:ind w:left="122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Non-accelerated file</w:t>
            </w:r>
          </w:p>
        </w:tc>
        <w:tc>
          <w:tcPr>
            <w:tcW w:w="2280" w:type="dxa"/>
            <w:vAlign w:val="bottom"/>
          </w:tcPr>
          <w:p>
            <w:pPr>
              <w:ind w:left="640"/>
              <w:spacing w:after="0" w:line="221" w:lineRule="exact"/>
              <w:rPr>
                <w:sz w:val="20"/>
                <w:szCs w:val="20"/>
                <w:color w:val="auto"/>
              </w:rPr>
            </w:pPr>
            <w:r>
              <w:rPr>
                <w:rFonts w:ascii="MS PGothic" w:cs="MS PGothic" w:eastAsia="MS PGothic" w:hAnsi="MS PGothic"/>
                <w:sz w:val="22"/>
                <w:szCs w:val="22"/>
                <w:color w:val="auto"/>
              </w:rPr>
              <w:t>☐</w:t>
            </w:r>
          </w:p>
        </w:tc>
        <w:tc>
          <w:tcPr>
            <w:tcW w:w="3600" w:type="dxa"/>
            <w:vAlign w:val="bottom"/>
          </w:tcPr>
          <w:p>
            <w:pPr>
              <w:ind w:left="122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(Do not check if a smaller reporting company)</w:t>
            </w:r>
          </w:p>
        </w:tc>
        <w:tc>
          <w:tcPr>
            <w:tcW w:w="3600" w:type="dxa"/>
            <w:vAlign w:val="bottom"/>
          </w:tcPr>
          <w:p>
            <w:pPr>
              <w:ind w:left="122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74"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Pr>
          <w:p>
            <w:pPr>
              <w:spacing w:after="0"/>
              <w:rPr>
                <w:sz w:val="20"/>
                <w:szCs w:val="20"/>
                <w:color w:val="auto"/>
              </w:rPr>
            </w:pPr>
          </w:p>
        </w:tc>
        <w:tc>
          <w:tcPr>
            <w:tcW w:w="416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Class</w:t>
            </w:r>
          </w:p>
        </w:tc>
        <w:tc>
          <w:tcPr>
            <w:tcW w:w="200" w:type="dxa"/>
            <w:vAlign w:val="bottom"/>
          </w:tcPr>
          <w:p>
            <w:pPr>
              <w:spacing w:after="0"/>
              <w:rPr>
                <w:sz w:val="20"/>
                <w:szCs w:val="20"/>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Number of Shares Outstanding</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$0.0001 par value</w:t>
            </w:r>
          </w:p>
        </w:tc>
        <w:tc>
          <w:tcPr>
            <w:tcW w:w="200" w:type="dxa"/>
            <w:vAlign w:val="bottom"/>
            <w:shd w:val="clear" w:color="auto" w:fill="CCEEFF"/>
          </w:tcPr>
          <w:p>
            <w:pPr>
              <w:spacing w:after="0"/>
              <w:rPr>
                <w:sz w:val="18"/>
                <w:szCs w:val="18"/>
                <w:color w:val="auto"/>
              </w:rPr>
            </w:pP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13,626,637 shares outstanding as of May 9, 2018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$0.0001 par value</w:t>
            </w:r>
          </w:p>
        </w:tc>
        <w:tc>
          <w:tcPr>
            <w:tcW w:w="200" w:type="dxa"/>
            <w:vAlign w:val="bottom"/>
            <w:shd w:val="clear" w:color="auto" w:fill="CCEEFF"/>
          </w:tcPr>
          <w:p>
            <w:pPr>
              <w:spacing w:after="0"/>
              <w:rPr>
                <w:sz w:val="18"/>
                <w:szCs w:val="18"/>
                <w:color w:val="auto"/>
              </w:rPr>
            </w:pPr>
          </w:p>
        </w:tc>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2,213,510 shares outstanding as of May 9, 2018</w:t>
            </w:r>
          </w:p>
        </w:tc>
        <w:tc>
          <w:tcPr>
            <w:tcW w:w="1440" w:type="dxa"/>
            <w:vAlign w:val="bottom"/>
          </w:tcPr>
          <w:p>
            <w:pPr>
              <w:spacing w:after="0"/>
              <w:rPr>
                <w:sz w:val="18"/>
                <w:szCs w:val="18"/>
                <w:color w:val="auto"/>
              </w:rPr>
            </w:pPr>
          </w:p>
        </w:tc>
      </w:tr>
      <w:tr>
        <w:trPr>
          <w:trHeight w:val="216"/>
        </w:trPr>
        <w:tc>
          <w:tcPr>
            <w:tcW w:w="144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36"/>
        </w:trPr>
        <w:tc>
          <w:tcPr>
            <w:tcW w:w="144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1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72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38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Item 1. Financial Statements (unaudited)</w:t>
            </w:r>
          </w:p>
        </w:tc>
        <w:tc>
          <w:tcPr>
            <w:tcW w:w="102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Condensed Consolidated Balance Sheets as of March 31, 2018 and December 31, 2017</w:t>
            </w:r>
          </w:p>
        </w:tc>
        <w:tc>
          <w:tcPr>
            <w:tcW w:w="102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Condensed Consolidated Statements of Operations and Comprehensive Loss for the Three Months Ended March 31, 2018 and 2017</w:t>
            </w:r>
          </w:p>
        </w:tc>
        <w:tc>
          <w:tcPr>
            <w:tcW w:w="102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Condensed Consolidated Statements of Cash Flows for the Three Months Ended March 31, 2018 and 2017</w:t>
            </w:r>
          </w:p>
        </w:tc>
        <w:tc>
          <w:tcPr>
            <w:tcW w:w="102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Notes to Condensed Consolidated Financial Statements</w:t>
            </w:r>
          </w:p>
        </w:tc>
        <w:tc>
          <w:tcPr>
            <w:tcW w:w="102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0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Item 3.</w:t>
            </w:r>
          </w:p>
        </w:tc>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Quantitative and Qualitative Disclosures about Market Risks</w:t>
            </w:r>
          </w:p>
        </w:tc>
        <w:tc>
          <w:tcPr>
            <w:tcW w:w="10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Item 4.</w:t>
            </w:r>
          </w:p>
        </w:tc>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Controls and Procedures</w:t>
            </w:r>
          </w:p>
        </w:tc>
        <w:tc>
          <w:tcPr>
            <w:tcW w:w="10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Item 1A. Risk Factors</w:t>
            </w:r>
          </w:p>
        </w:tc>
        <w:tc>
          <w:tcPr>
            <w:tcW w:w="10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Item 2.</w:t>
            </w:r>
          </w:p>
        </w:tc>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Item 6.</w:t>
            </w:r>
          </w:p>
        </w:tc>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Exhibits</w:t>
            </w:r>
          </w:p>
        </w:tc>
        <w:tc>
          <w:tcPr>
            <w:tcW w:w="10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SIGNATURE</w:t>
            </w:r>
          </w:p>
        </w:tc>
        <w:tc>
          <w:tcPr>
            <w:tcW w:w="10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(including its predecessor prior to its redomestication from California to Delaware in November 2016) and its subsidiaries, including ACM Shanghai, collectively.</w:t>
      </w:r>
    </w:p>
    <w:p>
      <w:pPr>
        <w:spacing w:after="0" w:line="13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SAPS, TEBO and ULTRA C are our trademarks. This report also contains other companies’ trademarks, registered marks and trade names, which are the property of those companies.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6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the registration statement of which this report is a part,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center"/>
              <w:ind w:right="260"/>
              <w:spacing w:after="0"/>
              <w:rPr>
                <w:sz w:val="20"/>
                <w:szCs w:val="20"/>
                <w:color w:val="auto"/>
              </w:rPr>
            </w:pPr>
            <w:r>
              <w:rPr>
                <w:rFonts w:ascii="Arial" w:cs="Arial" w:eastAsia="Arial" w:hAnsi="Arial"/>
                <w:sz w:val="18"/>
                <w:szCs w:val="18"/>
                <w:i w:val="1"/>
                <w:iCs w:val="1"/>
                <w:color w:val="auto"/>
                <w:w w:val="90"/>
              </w:rPr>
              <w:t>(unaudited)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60"/>
              <w:spacing w:after="0"/>
              <w:rPr>
                <w:sz w:val="20"/>
                <w:szCs w:val="20"/>
                <w:color w:val="auto"/>
              </w:rPr>
            </w:pPr>
            <w:r>
              <w:rPr>
                <w:rFonts w:ascii="Arial" w:cs="Arial" w:eastAsia="Arial" w:hAnsi="Arial"/>
                <w:sz w:val="18"/>
                <w:szCs w:val="18"/>
                <w:i w:val="1"/>
                <w:iCs w:val="1"/>
                <w:color w:val="auto"/>
                <w:w w:val="86"/>
              </w:rPr>
              <w:t>(in thousands, except shareand</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88"/>
              </w:rPr>
              <w:t>per share data)</w:t>
            </w: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w w:val="92"/>
              </w:rPr>
              <w:t>Accounts receivable, less allowance for doubtful accounts of $ nil as of March 31, 2018 and $ nil as of December 31,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2017 (note 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Inventory (note 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 (note 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 (note 15)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affiliates, equity method (note 10)</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71,934</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9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borrowings (note 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10,376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liability (note 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Advances from customers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payables and accrued expenses (note 7)</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21,817</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 (note 9)</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28,034</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88"/>
              </w:rPr>
              <w:t>Common stock – Class A, par value $0.0001: 100,000,000 shares authorized; 13,390,270 shares issued and outstanding as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of March 31, 2018 and 12,935,546 shares issued and outstanding as of December 31, 2017 (note 13)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 Class B, par value $0.0001: 7,303,533 shares authorized; 2,409,738 shares issued and outstanding as of</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31, 2018 and 2,409,738 shares issued and outstanding as of December 31, 2017 (note 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(9,961)</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43,002</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71,934</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91"/>
              </w:rPr>
              <w:t>Three Months Ended 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3"/>
              <w:spacing w:after="0" w:line="162" w:lineRule="exact"/>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73"/>
              <w:spacing w:after="0" w:line="162" w:lineRule="exact"/>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i w:val="1"/>
                <w:iCs w:val="1"/>
                <w:color w:val="auto"/>
              </w:rPr>
              <w:t>(unaudited)</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60"/>
              <w:spacing w:after="0"/>
              <w:rPr>
                <w:sz w:val="20"/>
                <w:szCs w:val="20"/>
                <w:color w:val="auto"/>
              </w:rPr>
            </w:pPr>
            <w:r>
              <w:rPr>
                <w:rFonts w:ascii="Arial" w:cs="Arial" w:eastAsia="Arial" w:hAnsi="Arial"/>
                <w:sz w:val="18"/>
                <w:szCs w:val="18"/>
                <w:i w:val="1"/>
                <w:iCs w:val="1"/>
                <w:color w:val="auto"/>
                <w:w w:val="86"/>
              </w:rPr>
              <w:t>(in thousands, except share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88"/>
              </w:rPr>
              <w:t>per share data)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Total operating expenses, net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(755)</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Loss before income taxes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(2,758)</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(note 15)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Net loss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Net loss attributable to ACM Research,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(2,075)</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loss attributable to non-controlling interests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Total comprehensive loss attributable to ACM Research, Inc. (note 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(2,075)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per common share (note 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Weighted-average common shares outstanding used in computing per share amounts (note 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15,383,086</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4,817,745</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0"/>
        </w:trPr>
        <w:tc>
          <w:tcPr>
            <w:tcW w:w="8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00" w:type="dxa"/>
            <w:vAlign w:val="bottom"/>
          </w:tcPr>
          <w:p>
            <w:pPr>
              <w:jc w:val="right"/>
              <w:spacing w:after="0"/>
              <w:rPr>
                <w:sz w:val="20"/>
                <w:szCs w:val="20"/>
                <w:color w:val="auto"/>
              </w:rPr>
            </w:pPr>
            <w:r>
              <w:rPr>
                <w:rFonts w:ascii="Arial" w:cs="Arial" w:eastAsia="Arial" w:hAnsi="Arial"/>
                <w:sz w:val="18"/>
                <w:szCs w:val="18"/>
                <w:color w:val="auto"/>
              </w:rPr>
              <w:t>15,383,086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4,817,745</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w w:val="91"/>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83"/>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center"/>
              <w:ind w:left="453"/>
              <w:spacing w:after="0"/>
              <w:rPr>
                <w:sz w:val="20"/>
                <w:szCs w:val="20"/>
                <w:color w:val="auto"/>
              </w:rPr>
            </w:pPr>
            <w:r>
              <w:rPr>
                <w:rFonts w:ascii="Arial" w:cs="Arial" w:eastAsia="Arial" w:hAnsi="Arial"/>
                <w:sz w:val="18"/>
                <w:szCs w:val="18"/>
                <w:i w:val="1"/>
                <w:iCs w:val="1"/>
                <w:color w:val="auto"/>
                <w:w w:val="90"/>
              </w:rPr>
              <w:t>(unaudited)</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3"/>
          </w:tcPr>
          <w:p>
            <w:pPr>
              <w:jc w:val="center"/>
              <w:ind w:left="473"/>
              <w:spacing w:after="0"/>
              <w:rPr>
                <w:sz w:val="20"/>
                <w:szCs w:val="20"/>
                <w:color w:val="auto"/>
              </w:rPr>
            </w:pPr>
            <w:r>
              <w:rPr>
                <w:rFonts w:ascii="Arial" w:cs="Arial" w:eastAsia="Arial" w:hAnsi="Arial"/>
                <w:sz w:val="18"/>
                <w:szCs w:val="18"/>
                <w:i w:val="1"/>
                <w:iCs w:val="1"/>
                <w:color w:val="auto"/>
                <w:w w:val="87"/>
              </w:rPr>
              <w:t>(in thousands)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operations to net cash provided by operating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 earnings from investments in equity method affiliates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changes in operating assets and liabilities: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(1,791)</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(2,364)</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Advances from customers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payables and accrued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(7,393)</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7,387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short-term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stock option exercise to common stock</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(2,495)</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Interest paid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under the brand name “Ultra C,” lines of equipment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2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The Company also offers a range of custom-made equipment, including cleaners, coaters and developers, to back-end wafer assembly and packaging factories, principally in the PRC.</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2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In August 2017 ACM purchased 18.77% of ACM Shanghai’s equity interests held by Shanghai Science and Technology Venture Capital Co., Ltd. (“SSTVC”). On November 8, 2017, ACM purchased the remaining 18.36% of ACM Shanghai’s equity interest held by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condensed consolidated financial statements have been adjusted retrospectively to reflect the reverse stock split.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 2017, the Registration Statement on Form S-1 (File No. 333- 220451) for ACM’s initial public offering of Class A common stock (the “IPO”) was declared effective by the U.S. Securities and Exchange Commission. Shares of Class A common stock began trading on the Nasdaq Global Market on November 3, 2017, and the closing for the IPO was held on November 7, 2017.</w:t>
      </w:r>
    </w:p>
    <w:p>
      <w:pPr>
        <w:spacing w:after="0" w:line="127"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consolidated accounts include ACM and its subsidiaries, ACM Shanghai, ACM Wuxi, CleanChip and ACM Korea. Subsidiaries are those entities in which ACM, directly and indirectly, controls more than one half of the voting power. All significant intercompany transactions and balances have been eliminated upon consolidation.</w:t>
      </w:r>
    </w:p>
    <w:p>
      <w:pPr>
        <w:spacing w:after="0" w:line="12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(“SEC”) for reporting on Form 10-Q. Accordingly, they do not include all the information and footnotes required by GAAP for complete financial statements herein. The unaudited condensed consolidated financial statements herein should be read in conjunction with the historical consolidated financial statements of the Company for the year ended December 31, 2017 included in our Annual Report on Form 10-K for the year ended December 31, 2017.</w:t>
      </w:r>
    </w:p>
    <w:p>
      <w:pPr>
        <w:spacing w:after="0" w:line="1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accompanying condensed consolidated balance sheet as of March 31, 2018, the condensed consolidated statements of operations and comprehensive loss for the three months ended March 31, 2018 and 2017, and the condensed consolidated statements of cash flows for the three months ended March 31, 2018 and 2017 are unaudited. In the opinion of management, the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March 31, 2018 and the results of operations for the three months ended March 31, 2018 are not necessarily indicative of the results to be expected for any future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 Management of the Company believes that the estimates, judgments and assumptions are reasonable, based on information available at the time they are made. Actual results could differ materially from those estimates.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Net Loss per Common Share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5"/>
                <w:szCs w:val="15"/>
                <w:b w:val="1"/>
                <w:bCs w:val="1"/>
                <w:color w:val="auto"/>
                <w:w w:val="93"/>
              </w:rPr>
              <w:t>Three Months Ended March 31,</w:t>
            </w:r>
          </w:p>
        </w:tc>
      </w:tr>
      <w:tr>
        <w:trPr>
          <w:trHeight w:val="169"/>
        </w:trPr>
        <w:tc>
          <w:tcPr>
            <w:tcW w:w="8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5"/>
              <w:spacing w:after="0" w:line="162" w:lineRule="exact"/>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line="162" w:lineRule="exact"/>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4"/>
                <w:szCs w:val="14"/>
                <w:color w:val="auto"/>
              </w:rPr>
            </w:pPr>
          </w:p>
        </w:tc>
      </w:tr>
      <w:tr>
        <w:trPr>
          <w:trHeight w:val="24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(2,474)</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r>
      <w:tr>
        <w:trPr>
          <w:trHeight w:val="27"/>
        </w:trPr>
        <w:tc>
          <w:tcPr>
            <w:tcW w:w="88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Net loss available to common stockholders,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(2,089)</w:t>
            </w:r>
          </w:p>
        </w:tc>
      </w:tr>
      <w:tr>
        <w:trPr>
          <w:trHeight w:val="21"/>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15,383,086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4,817,745</w:t>
            </w:r>
          </w:p>
        </w:tc>
        <w:tc>
          <w:tcPr>
            <w:tcW w:w="140" w:type="dxa"/>
            <w:vAlign w:val="bottom"/>
          </w:tcPr>
          <w:p>
            <w:pPr>
              <w:spacing w:after="0"/>
              <w:rPr>
                <w:sz w:val="18"/>
                <w:szCs w:val="18"/>
                <w:color w:val="auto"/>
              </w:rPr>
            </w:pPr>
          </w:p>
        </w:tc>
      </w:tr>
      <w:tr>
        <w:trPr>
          <w:trHeight w:val="223"/>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Weighted average shares outstanding, diluted</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15,383,086</w:t>
            </w: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4,817,745</w:t>
            </w:r>
          </w:p>
        </w:tc>
        <w:tc>
          <w:tcPr>
            <w:tcW w:w="140" w:type="dxa"/>
            <w:vAlign w:val="bottom"/>
            <w:tcBorders>
              <w:top w:val="single" w:sz="8" w:color="CCEEFF"/>
            </w:tcBorders>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per common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r>
      <w:tr>
        <w:trPr>
          <w:trHeight w:val="21"/>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months ended March 31, 2018 and 2017, the net loss per common share attributable to each class is the same under the “two-class” method. As such, the two classes of common stock have been presented on a combined basis in the consolidated statements of operations and comprehensive income (loss) and in the above computation of net loss per common share.</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Diluted net loss per common share reflects the potential dilution from securities that could share in ACM’s earnings. ACM’s potential dilutive securities consist of convertible preferred stocks, stock options and warrants for the three months ended March 31, 2018 and 2017. Certain potential dilutive securities were excluded from the net loss per share calculation because the impact would be anti-dilutive.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May 2017, the Financial Accounting Standards Board (“FASB”) issued Accounting Standards Update (“ASU”) No. 2017-09,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Scope of Modification Accounting </w:t>
      </w:r>
      <w:r>
        <w:rPr>
          <w:rFonts w:ascii="Arial" w:cs="Arial" w:eastAsia="Arial" w:hAnsi="Arial"/>
          <w:sz w:val="18"/>
          <w:szCs w:val="18"/>
          <w:color w:val="auto"/>
        </w:rPr>
        <w:t>(“ASU 2017-09”), which provides guidance on determining which changes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adoption of ASU 2017-09 did not have a material impact on the Company’s consolidated financial statements.</w:t>
      </w:r>
    </w:p>
    <w:p>
      <w:pPr>
        <w:spacing w:after="0" w:line="13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February 2017, the FASB issued ASU No.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w:t>
      </w:r>
      <w:r>
        <w:rPr>
          <w:rFonts w:ascii="Arial" w:cs="Arial" w:eastAsia="Arial" w:hAnsi="Arial"/>
          <w:sz w:val="16"/>
          <w:szCs w:val="16"/>
          <w:color w:val="auto"/>
        </w:rPr>
        <w:t>(“ASU 2017-05”), which clarifies the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nonfinancial asset 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adoption of ASU 2017-05 did not have a material impact on the Company’s consolidated financial statements.</w:t>
      </w:r>
    </w:p>
    <w:p>
      <w:pPr>
        <w:spacing w:after="0" w:line="10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adoption of ASU 2016-18 did not have a material impact on the Company’s consolidated financial statements.</w:t>
      </w:r>
    </w:p>
    <w:p>
      <w:pPr>
        <w:spacing w:after="0" w:line="10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Payments </w:t>
      </w:r>
      <w:r>
        <w:rPr>
          <w:rFonts w:ascii="Arial" w:cs="Arial" w:eastAsia="Arial" w:hAnsi="Arial"/>
          <w:sz w:val="16"/>
          <w:szCs w:val="16"/>
          <w:color w:val="auto"/>
        </w:rPr>
        <w:t>(“ASU 2016-15”), which addresses the following cash flow issues: (1) debt prepayment or debt extinguishment costs; (2) settlement of zero-coupon</w:t>
      </w:r>
      <w:r>
        <w:rPr>
          <w:rFonts w:ascii="Arial" w:cs="Arial" w:eastAsia="Arial" w:hAnsi="Arial"/>
          <w:sz w:val="16"/>
          <w:szCs w:val="16"/>
          <w:i w:val="1"/>
          <w:iCs w:val="1"/>
          <w:color w:val="auto"/>
        </w:rPr>
        <w:t xml:space="preserve"> </w:t>
      </w:r>
      <w:r>
        <w:rPr>
          <w:rFonts w:ascii="Arial" w:cs="Arial" w:eastAsia="Arial" w:hAnsi="Arial"/>
          <w:sz w:val="16"/>
          <w:szCs w:val="16"/>
          <w:color w:val="auto"/>
        </w:rPr>
        <w:t>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adoption of ASU 2016-15 did not have material impact on the Company’s consolidated financial statements.</w:t>
      </w:r>
    </w:p>
    <w:p>
      <w:pPr>
        <w:spacing w:after="0" w:line="10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The amendments in this update require all equity investments to be measured at fair value with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recognized through net income (other than those accounted for under equity method of accounting or those that result in consolidation of the investee). The amendments in this update also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In addition, the amendments in this update eliminate the requirement for to disclose the method(s) and significant assumptions used to estimate the fair value that is required to be disclosed for financial instruments measured at amortized cost on the balance sheet for public entities. For public business entities, the amendments in ASU 2016-01 are effective for fiscal years beginning after December 15, 2017, including interim periods within those fiscal years. Except for the early application guidance discussed in ASU 2016-01, early adoption of the amendments in this update is not permitted. The adoption of the ASU 2016-01 did not have a material impact on the Company’s consolidated financial statements.</w:t>
      </w:r>
    </w:p>
    <w:p>
      <w:pPr>
        <w:spacing w:after="0" w:line="109"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amended the existing accounting standards for revenue recognition. ASU 2014-09 establishes principles for recognizing revenue upon the transfer of promised goods or services to customers, in an amount that reflects the expected consideration received in exchange for those goods or services. ASU 2014-09 and its related clarifying ASUs are effective for annual reporting periods beginning after December 15, 2017 and interim periods within those annual periods.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the related amendments (the “New Revenue Standard”) to all contracts which were not completed as of January 1, 2018 using the modified retrospective method. The Company does not have open contracts that may result any changes on the revenues applying the New Revenue Standard.</w:t>
      </w:r>
    </w:p>
    <w:p>
      <w:pPr>
        <w:spacing w:after="0" w:line="127"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Company derives revenue principally from the sale of single-wafer wet cleaning equipment. Revenue from contracts with customers is recognized using the following five steps pursuant to the New Revenue Standard:</w:t>
      </w:r>
    </w:p>
    <w:p>
      <w:pPr>
        <w:spacing w:after="0" w:line="118" w:lineRule="exact"/>
        <w:rPr>
          <w:sz w:val="20"/>
          <w:szCs w:val="20"/>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51" w:lineRule="exact"/>
        <w:rPr>
          <w:sz w:val="20"/>
          <w:szCs w:val="20"/>
          <w:color w:val="auto"/>
        </w:rPr>
      </w:pPr>
    </w:p>
    <w:p>
      <w:pPr>
        <w:jc w:val="both"/>
        <w:ind w:right="20" w:firstLine="324"/>
        <w:spacing w:after="0" w:line="370"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606-10-25-16 through 18 in order to verify which promises should be assessed for classification as distinct performance obligations. The Company’s contracts with customers include more than one performance obligation, for instance, the delivery of an equipment generally includes the promise to install the equipment in the customer’s facility. The Company’s performance obligations in a sale of equipment generally include production, delivery, installation, together with the provision of warranty.</w:t>
      </w:r>
    </w:p>
    <w:p>
      <w:pPr>
        <w:spacing w:after="0" w:line="10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SSP is directly observable through standalone sales, then such sales should be considered in the establishment of SSP for the performance obligation. All of the Company’s products were sold in stand-alone arrangement, the Company does not have observable SSPs for most performance obligations as they are not regularly sold on a standalone basis. Production, delivery, installation, together with provision of warranty, as a single unite of accounting.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107" w:lineRule="exact"/>
        <w:rPr>
          <w:sz w:val="20"/>
          <w:szCs w:val="20"/>
          <w:color w:val="auto"/>
        </w:rPr>
      </w:pPr>
    </w:p>
    <w:p>
      <w:pPr>
        <w:ind w:left="820" w:hanging="488"/>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when the Company can objectively demonstrate that the tool meets all of the required acceptance criteria;</w:t>
      </w:r>
    </w:p>
    <w:p>
      <w:pPr>
        <w:spacing w:after="0" w:line="118" w:lineRule="exact"/>
        <w:rPr>
          <w:rFonts w:ascii="Arial" w:cs="Arial" w:eastAsia="Arial" w:hAnsi="Arial"/>
          <w:sz w:val="18"/>
          <w:szCs w:val="18"/>
          <w:color w:val="auto"/>
        </w:rPr>
      </w:pPr>
    </w:p>
    <w:p>
      <w:pPr>
        <w:ind w:left="820" w:hanging="488"/>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no lapsing acceptance provision and when the Company can objectively demonstrate that the tool meets all of the required acceptance;</w:t>
      </w:r>
    </w:p>
    <w:p>
      <w:pPr>
        <w:spacing w:after="0" w:line="118" w:lineRule="exact"/>
        <w:rPr>
          <w:rFonts w:ascii="Arial" w:cs="Arial" w:eastAsia="Arial" w:hAnsi="Arial"/>
          <w:sz w:val="18"/>
          <w:szCs w:val="18"/>
          <w:color w:val="auto"/>
        </w:rPr>
      </w:pPr>
    </w:p>
    <w:p>
      <w:pPr>
        <w:ind w:left="820" w:right="20" w:hanging="488"/>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spacing w:after="0" w:line="118"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sales arrangements don’t include a general right of return.</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offers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The Company does not expect revenue from extended maintenance service contracts to represent a material portion of its revenue in the future.</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such, the Company has concluded that its revenue recognition under the adoption of ASC Topic 606 will remain the same as previously reported and will not have material impacts to its condensed consolidated financial statements.</w:t>
      </w:r>
    </w:p>
    <w:p>
      <w:pPr>
        <w:spacing w:after="0" w:line="11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Company incurs costs related to the acquisition of its contract with customers in the form of sales commissions. Sales commissions are paid to third party representatives and distributors. Contractual agreements with these parties outline commissions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in accordance with the practical expedient in ASC Topic 606 when the underlying contract asset is less than one year. These costs are recorded within sales and marketing expenses.</w:t>
      </w:r>
    </w:p>
    <w:p>
      <w:pPr>
        <w:spacing w:after="0" w:line="10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Generally, all contracts have expected durations of one year or less. Accordingly, we apply the practical expedient allowed in ASC Topic 606 and does not disclose information about remaining performance obligations that have original expected durations of one year or less.</w:t>
      </w:r>
    </w:p>
    <w:p>
      <w:pPr>
        <w:spacing w:after="0" w:line="1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does not incur any costs to fulfill the contracts with customers that are not already reported in compliance with another applicable standard (for example, inventory or plant, property and equipment).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from Accumulated Other Comprehensive Income </w:t>
      </w:r>
      <w:r>
        <w:rPr>
          <w:rFonts w:ascii="Arial" w:cs="Arial" w:eastAsia="Arial" w:hAnsi="Arial"/>
          <w:sz w:val="16"/>
          <w:szCs w:val="16"/>
          <w:color w:val="auto"/>
        </w:rPr>
        <w:t>(“ASU 2018-02”), which provides financial statement preparers with an option to reclassify stranded tax</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within accumulated other comprehensive income to retained earnings in each period in which the effect of the change in the U.S. federal corporate income tax rate in the Tax Cuts and Jobs Act (or portion thereof) is recorded. The amendments in this ASU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in this ASU should be applied either in the period of adoption or retrospectively to each period (or periods) in which the effect of the change in the U.S. federal corporate income tax rate in the Tax Cuts and Jobs Act is recognized. The Company is evaluating the impact of the adoption of ASU No. 2018-02 on its consolidated financial statements.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 2017-11”), which addresses the complexity of accounting for certain financial instruments with down round features. Down round features are</w:t>
      </w:r>
      <w:r>
        <w:rPr>
          <w:rFonts w:ascii="Arial" w:cs="Arial" w:eastAsia="Arial" w:hAnsi="Arial"/>
          <w:sz w:val="16"/>
          <w:szCs w:val="16"/>
          <w:i w:val="1"/>
          <w:iCs w:val="1"/>
          <w:color w:val="auto"/>
        </w:rPr>
        <w:t xml:space="preserve"> </w:t>
      </w:r>
      <w:r>
        <w:rPr>
          <w:rFonts w:ascii="Arial" w:cs="Arial" w:eastAsia="Arial" w:hAnsi="Arial"/>
          <w:sz w:val="16"/>
          <w:szCs w:val="16"/>
          <w:color w:val="auto"/>
        </w:rPr>
        <w:t>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The Company is evaluating the impact of the adoption of ASU 2017-11 on its consolidated financial statements.</w:t>
      </w:r>
    </w:p>
    <w:p>
      <w:pPr>
        <w:spacing w:after="0" w:line="10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The Company is evaluating the impact of the adoption of ASU 2017-04 on its consolidated financial statements.</w:t>
      </w:r>
    </w:p>
    <w:p>
      <w:pPr>
        <w:spacing w:after="0" w:line="1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amendments in this update create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supersede the leases requirements in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The Company is evaluating the impact of the adoption of ASU 2016-02 on its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2018 and December 31, 2017, accounts receivable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38"/>
              <w:spacing w:after="0"/>
              <w:rPr>
                <w:sz w:val="20"/>
                <w:szCs w:val="20"/>
                <w:color w:val="auto"/>
              </w:rPr>
            </w:pPr>
            <w:r>
              <w:rPr>
                <w:rFonts w:ascii="Arial" w:cs="Arial" w:eastAsia="Arial" w:hAnsi="Arial"/>
                <w:sz w:val="15"/>
                <w:szCs w:val="15"/>
                <w:b w:val="1"/>
                <w:bCs w:val="1"/>
                <w:color w:val="auto"/>
              </w:rPr>
              <w:t>March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4160" w:type="dxa"/>
            <w:vAlign w:val="bottom"/>
            <w:tcBorders>
              <w:top w:val="single" w:sz="8" w:color="CCEEFF"/>
              <w:bottom w:val="single" w:sz="8" w:color="auto"/>
            </w:tcBorders>
          </w:tcPr>
          <w:p>
            <w:pPr>
              <w:spacing w:after="0"/>
              <w:rPr>
                <w:sz w:val="24"/>
                <w:szCs w:val="24"/>
                <w:color w:val="auto"/>
              </w:rPr>
            </w:pPr>
          </w:p>
        </w:tc>
        <w:tc>
          <w:tcPr>
            <w:tcW w:w="4640" w:type="dxa"/>
            <w:vAlign w:val="bottom"/>
            <w:tcBorders>
              <w:top w:val="single" w:sz="8" w:color="CCEEFF"/>
              <w:bottom w:val="single" w:sz="8" w:color="auto"/>
            </w:tcBorders>
          </w:tcPr>
          <w:p>
            <w:pPr>
              <w:jc w:val="right"/>
              <w:ind w:right="2932"/>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reviews accounts receivable on a periodic basis and makes general and specific allowances when there is doubt as to the collectability of individual balances. No allowance for doubtful accounts was considered necessary at March 31, 2018 and December 31, 2017. At March 31, 2018, $3,130 of accounts receivable were pledged as collateral for borrowings from financial institutions.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2018 and December 31, 2017, inventory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36"/>
              <w:spacing w:after="0"/>
              <w:rPr>
                <w:sz w:val="20"/>
                <w:szCs w:val="20"/>
                <w:color w:val="auto"/>
              </w:rPr>
            </w:pPr>
            <w:r>
              <w:rPr>
                <w:rFonts w:ascii="Arial" w:cs="Arial" w:eastAsia="Arial" w:hAnsi="Arial"/>
                <w:sz w:val="15"/>
                <w:szCs w:val="15"/>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inventory, gross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inventory,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19,865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March 31, 2018 and December 31, 2017, the Company did not have an inventory reserve and no inventory was pledged as collateral for borrowings from financial institutions.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 NET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2018 and December 31, 2017, property, plant and equipment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Office equipment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Leasehold improvement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(8,263)</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$85 and $52 for the three months ended March 31, 2018 and 2017,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2018 and December 31, 2017, short-term borrowings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March 31, 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Line of credit up to RMB30 million from Bank of China Pudong Branch, due on March 5, 2018 with annual interest rate</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of 5.69%, secured by certain of the Company’s intellectual property and fully repaid on March 5, 2018</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w w:val="99"/>
              </w:rPr>
              <w:t>Line of credit up to RMB30 million from Bank of China Pudong Branch, due on September 11, 2018 with annual</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interest rate of 5.69%, secured by certain of the Company’s intellectual property and the Company’s CEO</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9"/>
              </w:rPr>
              <w:t>Line of credit up to RMB30 million from Bank of China Pudong Branch, due on September 24, 2018 with annual</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5.69%, secured by certain of the Company’s intellectual property and the Company’s CEO</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w w:val="94"/>
              </w:rPr>
              <w:t>Line of credit up to RMB25 million from Bank of Shanghai Pudong Branch, due on various dates in October 2018 with</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an annual interest rate of 5.66%, guaranteed by the Company’s CEO</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Line of credit up to RMB25 million from Bank of Shanghai Pudong Branch, due on November 20, 2018 with an annual</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5.66%, guaranteed by the Company’s CEO</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w w:val="95"/>
              </w:rPr>
              <w:t>Line of credit up to RMB5 million from Shanghai Rural Commercial Bank, due on November 21, 2018 with an annual</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interest rate of 5.44%, guaranteed by the Company’s CEO</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5"/>
              </w:rPr>
              <w:t>Line of credit up to RMB10 million from Shanghai Rural Commercial Bank, due on January 23, 2019 with an annual</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5"/>
              </w:rPr>
              <w:t>interest rate of 5.44%, guaranteed by the Company’s CEO and secured by a pledge on accounts receivable (note 3)</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820" w:type="dxa"/>
            <w:vAlign w:val="bottom"/>
            <w:gridSpan w:val="2"/>
          </w:tcPr>
          <w:p>
            <w:pPr>
              <w:spacing w:after="0"/>
              <w:rPr>
                <w:sz w:val="20"/>
                <w:szCs w:val="20"/>
                <w:color w:val="auto"/>
              </w:rPr>
            </w:pPr>
            <w:r>
              <w:rPr>
                <w:rFonts w:ascii="Arial" w:cs="Arial" w:eastAsia="Arial" w:hAnsi="Arial"/>
                <w:sz w:val="18"/>
                <w:szCs w:val="18"/>
                <w:color w:val="auto"/>
                <w:w w:val="94"/>
              </w:rPr>
              <w:t>Line of credit up to RMB10 million from Bank of Communications, due on December 28, 2018 with an annual interest</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rate of 5.66%</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March 31, 2018 and 2017, interest expense related to short-term borrowings amounted to $103 and $78,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OTHER PAYABLE AND ACCRUED EXPENSES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2018 and December 31, 2017, other payable and accrued expenses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Arial" w:cs="Arial" w:eastAsia="Arial" w:hAnsi="Arial"/>
                <w:sz w:val="15"/>
                <w:szCs w:val="15"/>
                <w:b w:val="1"/>
                <w:bCs w:val="1"/>
                <w:color w:val="auto"/>
              </w:rPr>
              <w:t>March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Lease expenses and payable for leasehold improvement due to a related party (note 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Commissions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payroll</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machine testing fees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6,542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vMerge w:val="restart"/>
          </w:tcPr>
          <w:p>
            <w:pPr>
              <w:jc w:val="right"/>
              <w:ind w:right="2932"/>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20" w:type="dxa"/>
            <w:vAlign w:val="bottom"/>
            <w:vMerge w:val="continue"/>
          </w:tcPr>
          <w:p>
            <w:pPr>
              <w:spacing w:after="0"/>
              <w:rPr>
                <w:sz w:val="24"/>
                <w:szCs w:val="24"/>
                <w:color w:val="auto"/>
              </w:rPr>
            </w:pPr>
          </w:p>
        </w:tc>
        <w:tc>
          <w:tcPr>
            <w:tcW w:w="88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WARRANT LIABILITY</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9, 2016, Shengxin (Shanghai) Management Consulting Limited Partnership (“SMC”), a related party (note 11), delivered RMB 20,124 (approximately $2,981 as of the close of business on such date) in cash (the “SMC Investment”) to ACM Shanghai for potential investment pursuant to terms to be subsequently negotiated</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The warrant issued to SMC, while outstanding as of December 31, 2017, was classified as a liability as the warrant was conditional puttable in accordance with FASB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fair value of the warrant was adjusted for changes in fair value at each reporting period but could not be lower than the proceeds of the SMC Investment. The corresponding non-cash gain or loss of the changes in fair value was recorded in earnings. The methodology used to value the warrant was the Black-Scholes valuation model.</w:t>
      </w:r>
    </w:p>
    <w:p>
      <w:pPr>
        <w:spacing w:after="0" w:line="130"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On March 30, 2018, ACM entered into a warrant exercise agreement with ACM Shanghai and SMC pursuant to which SMC exercised its warrant in full by issuing to ACM a senior secured promissory note in the principal amount of approximately $3,000. ACM then transferred the SMC note to ACM Shanghai in exchange for an intercompany promissory note of ACM Shanghai in the principal amount of approximately $3,000.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LONG-TERM LIABILITIES</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long-term liabilities represent government subsidies received from PRC governmental authorities for development and commercialization of certain technology but not yet recognized. As of March 31, 2018, and December 31, 2017, other long-term liabilities consisted of the following unearned government subsidies: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38"/>
              <w:spacing w:after="0"/>
              <w:rPr>
                <w:sz w:val="20"/>
                <w:szCs w:val="20"/>
                <w:color w:val="auto"/>
              </w:rPr>
            </w:pPr>
            <w:r>
              <w:rPr>
                <w:rFonts w:ascii="Arial" w:cs="Arial" w:eastAsia="Arial" w:hAnsi="Arial"/>
                <w:sz w:val="15"/>
                <w:szCs w:val="15"/>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Subsidies to Stress Free Polishing project, commenced in 2008 and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METHOD INVESTMENT</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 Undistributed earnings attributable to ACM’s equity method investment represented $1 of the consolidated retained earnings at March 31,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BALANCES AND TRANSACTIONS</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18, 2017, ACM and Ninebell, its equity method investment affiliate (note 10), entered into a loan agreement pursuant to which ACM made an interest-free loan of $946 to Ninebell, payable in 180 days or automatically extended another 180 days if in default. The loan was secured by a pledge of Ninebell’s accounts receivable due from ACM and all money that Ninebell received from ACM. Ninebell repaid the loan in March 2018. During the three months ended March 31, 2018 and 2017, ACM purchased materials from Ninebell amounting to $970 and $840, respectively. As of March 31, 2018 and December 31, 2017, accounts payable due to Ninebell was $350 and $2,118,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0" w:lineRule="exact"/>
        <w:rPr>
          <w:sz w:val="20"/>
          <w:szCs w:val="20"/>
          <w:color w:val="auto"/>
        </w:rPr>
      </w:pPr>
    </w:p>
    <w:p>
      <w:pPr>
        <w:spacing w:after="0" w:line="31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to lease manufacturing and office space located in Shanghai, China. An affiliate of Zhangjiang Group holds 787,098 shares of Class A common stock that it acquired in September 2017 for $5,903. Pursuant to the lease agreement, Zhangjiang Group provided $771 to ACM Shanghai for leasehold improvements. In September 2016 the lease agreement was amended to modify payment terms and extend the lease through December 31, 2017. As of March 31, 2018, ACM Shanghai was leasing the property on a month-to-month basis. On April 26, 2018, ACM Shanghai renewed the operating lease, effective as of January 1, 2018 and continuing through December 31, 2022. During the first year, monthly payments are RMB 366, effective January 1, 2018. The required security deposit is RMB 1,077. During the three months ended March 31, 2018 and 2017, the Company incurred leasing expenses under the lease agreement of $172 and $159, respectively. As of March 31, 2018 and December 31, 2017, payables to Zhangjiang Group for lease expenses and leasehold improvements recorded as other payables and accrued expenses amounted to $2,248 and $2,024, respectively (note 7).</w:t>
      </w:r>
    </w:p>
    <w:p>
      <w:pPr>
        <w:spacing w:after="0" w:line="1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9, 2016, ACM Shanghai received the SMC Investment from SMC for potential investment pursuant to terms to be subsequently negotiated (note 8). SMC is a limited partnership incorporated in the PRC, whose partners consist of employees of ACM Shanghai.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 for a total exercise price of $2,981. On March 30, 2018, SMC exercised the warrant and purchased 397,502 shares of Class A common stock (note 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ACM entered into a two-year lease agreement in March 2015 for office and warehouse space of approximately 3,000 square feet for its headquarters in Fremont, California, at a rate of $2 per month. On March 22, 2017, ACM amended the lease agreement to extend the term through March 31, 2019 and increase the base rent to $3 per month.</w:t>
      </w:r>
    </w:p>
    <w:p>
      <w:pPr>
        <w:spacing w:after="0" w:line="12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ACM Shanghai entered into an operating lease agreement with Zhangjiang Group (a related party, see note 11) in 2007 for manufacturing and office space of approximately 63,510 square feet in Shanghai, China. The lease with Zhangjiang Group expired on December 31, 2017 and as of March 31, 2018, ACM Shanghai was leasing the property on a month-to-month basis. On April 26, 2018, ACM Shanghai entered into a renewed lease with Zhangjiang Group for the period from January 1, 2018 through December 31, 2022. Under the lease, ACM Shanghai will pay a monthly rental fee of approximately RMB366.</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ACM Wuxi leases office space in Wuxi, PRC. The lease for ACM Wuxi's office space was renewed on April 1, 2018 with a two-year term expiring on March 31, 2020. The monthly rental fee is RMB50.</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5, 2017 ACM Korea entered into a lease for its office space with a two-year term expiring on December 4, 2019. The monthly rental fee is KRW1,200. On February 5, 2018, ACM Korea entered into a lease for its R&amp;D facility with a two-year term expiring on February 18, 2020. The monthly rental fee is KRW1,800.</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under non-cancelable lease agreements as of March 31, 2018 and December 31, 2017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36"/>
              <w:spacing w:after="0"/>
              <w:rPr>
                <w:sz w:val="20"/>
                <w:szCs w:val="20"/>
                <w:color w:val="auto"/>
              </w:rPr>
            </w:pPr>
            <w:r>
              <w:rPr>
                <w:rFonts w:ascii="Arial" w:cs="Arial" w:eastAsia="Arial" w:hAnsi="Arial"/>
                <w:sz w:val="15"/>
                <w:szCs w:val="15"/>
                <w:b w:val="1"/>
                <w:bCs w:val="1"/>
                <w:color w:val="auto"/>
              </w:rPr>
              <w:t>March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was $495 and $315 for the three months ended March 31, 2018 and 2017,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is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if declared by the Board of Directors unless the Board of Directors declares different dividends to the Class A common stock and Class B common stock by getting approval from a majority of common stock holders.</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August 2017 ACM entered into a securities purchase agreement with PDHTI and its subsidiary Pudong Science and Technology (Cayman) Co., Ltd. (“PST”), in which ACM agreed to bid, in an auction process mandated by PRC regulations, to purchase PDHTI’s 10.78% equity interest in ACM Shanghai and to sell shares of Class A common stock to PST. On September 8, 2017, ACM issued 1,119,576 shares of Class A common stock to PST for a purchase price of $7.50 per share, representing an aggregate purchase price of $8,397.</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August 2017 ACM entered into a securities purchase agreement with ZSTVC and its subsidiary Zhangjiang AJ Company Limited (“ZJAJ”), in which ACM agreed to bid, in an auction process mandated by PRC regulations, to purchase ZSTVC’s 7.58% equity interest in ACM Shanghai and to sell shares of Class A common stock to ZJAJ. On September 8, 2017, ACM issued 787,098 shares of Class A common stock to ZJAJ for a purchase price of $7.50 per share, or an aggregate purchase price of $5,903.</w:t>
      </w:r>
    </w:p>
    <w:p>
      <w:pPr>
        <w:spacing w:after="0" w:line="13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10).</w:t>
      </w:r>
    </w:p>
    <w:p>
      <w:pPr>
        <w:spacing w:after="0" w:line="1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November 2017 ACM issued 2,233,000 shares of Class A common stock and received net proceeds of $11,664 from the IPO and concurrently ACM issued an additional 1,333,334 shares of Class A common stock in a private placement for net proceeds of $7,053.</w:t>
      </w:r>
    </w:p>
    <w:p>
      <w:pPr>
        <w:spacing w:after="0" w:line="11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Upon the completion of the IPO on November 2, 2017, the Company issued a five-year warrant (the “Underwriter's Warrant”) to Roth Capital Partners, LLC, the lead underwriter of the IPO, for the purchase of up to 80,000 shares of Class A common stock at an exercise price of $6.16 per share. The Underwriter’s Warrant was immediately exercisable and expires on November 1, 2022. The Underwriter's Warrant is equity classified and its fair value was $137 at the IPO closing date, using the Black Scholes model with the following assumptions: volatility of 28.26%, a dividend rate of 0%, and a risk-free discount rate of 2%.</w:t>
      </w:r>
    </w:p>
    <w:p>
      <w:pPr>
        <w:spacing w:after="0" w:line="9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10).</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various dates during 2017, ACM issued 472,889 shares of Class A common stock for options exercised by certain employee and non-employees. At various dates during the three months ended March 31, 2018, ACM issued 57,222 shares of Class A common stock for options exercised by certain employee and non-employees.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30, 2018, SMC exercised its warrant (note 8) and purchased 397,502 shares of Class A common stock.</w:t>
      </w:r>
    </w:p>
    <w:p>
      <w:pPr>
        <w:spacing w:after="0" w:line="158"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At March 31, 2018 and December 31, 2017, the number of shares of Class A common stock issued and outstanding was 13,390,270 and 12,935,546, respectively. At March 31, 2018 and December 31, 2017, the number of shares of Class B common stock issued and outstanding was 2,409,738.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1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ACM’s stock-based compensation awards consisting of employee and non-employee awards were issued under the 1998 Stock Option Plan and 2016 Omnibus Incentive Plan.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Condensed Consolidated Financial Statements (unaudited)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ectPr>
          <w:pgSz w:w="11900" w:h="16838" w:orient="portrait"/>
          <w:cols w:equalWidth="0" w:num="1">
            <w:col w:w="11420"/>
          </w:cols>
          <w:pgMar w:left="240" w:top="131" w:right="239" w:bottom="1440" w:gutter="0" w:footer="0" w:header="0"/>
        </w:sectPr>
      </w:pP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employee share option activities during the three months ended March 31,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4"/>
              <w:spacing w:after="0"/>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56"/>
              <w:spacing w:after="0"/>
              <w:rPr>
                <w:sz w:val="20"/>
                <w:szCs w:val="20"/>
                <w:color w:val="auto"/>
              </w:rPr>
            </w:pPr>
            <w:r>
              <w:rPr>
                <w:rFonts w:ascii="Arial" w:cs="Arial" w:eastAsia="Arial" w:hAnsi="Arial"/>
                <w:sz w:val="15"/>
                <w:szCs w:val="15"/>
                <w:b w:val="1"/>
                <w:bCs w:val="1"/>
                <w:color w:val="auto"/>
                <w:w w:val="97"/>
              </w:rPr>
              <w:t>Weighted</w:t>
            </w:r>
          </w:p>
        </w:tc>
      </w:tr>
      <w:tr>
        <w:trPr>
          <w:trHeight w:val="162"/>
        </w:trPr>
        <w:tc>
          <w:tcPr>
            <w:tcW w:w="608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w w:val="86"/>
              </w:rPr>
              <w:t>Average Exercise</w:t>
            </w:r>
          </w:p>
        </w:tc>
      </w:tr>
      <w:tr>
        <w:trPr>
          <w:trHeight w:val="182"/>
        </w:trPr>
        <w:tc>
          <w:tcPr>
            <w:tcW w:w="6080" w:type="dxa"/>
            <w:vAlign w:val="bottom"/>
          </w:tcPr>
          <w:p>
            <w:pPr>
              <w:spacing w:after="0"/>
              <w:rPr>
                <w:sz w:val="15"/>
                <w:szCs w:val="15"/>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7"/>
              </w:rPr>
              <w:t>Option Shares</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Date Fair Value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96"/>
              <w:spacing w:after="0"/>
              <w:rPr>
                <w:sz w:val="20"/>
                <w:szCs w:val="20"/>
                <w:color w:val="auto"/>
              </w:rPr>
            </w:pPr>
            <w:r>
              <w:rPr>
                <w:rFonts w:ascii="Arial" w:cs="Arial" w:eastAsia="Arial" w:hAnsi="Arial"/>
                <w:sz w:val="15"/>
                <w:szCs w:val="15"/>
                <w:b w:val="1"/>
                <w:bCs w:val="1"/>
                <w:color w:val="auto"/>
              </w:rPr>
              <w:t>Price</w:t>
            </w:r>
          </w:p>
        </w:tc>
      </w:tr>
      <w:tr>
        <w:trPr>
          <w:trHeight w:val="208"/>
        </w:trPr>
        <w:tc>
          <w:tcPr>
            <w:tcW w:w="608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2,045,616</w:t>
            </w:r>
          </w:p>
        </w:tc>
        <w:tc>
          <w:tcPr>
            <w:tcW w:w="260" w:type="dxa"/>
            <w:vAlign w:val="bottom"/>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(57,222)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(2,575)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(72,192)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Outstanding at March 31, 2018</w:t>
            </w:r>
          </w:p>
        </w:tc>
        <w:tc>
          <w:tcPr>
            <w:tcW w:w="1120" w:type="dxa"/>
            <w:vAlign w:val="bottom"/>
          </w:tcPr>
          <w:p>
            <w:pPr>
              <w:jc w:val="right"/>
              <w:spacing w:after="0"/>
              <w:rPr>
                <w:sz w:val="20"/>
                <w:szCs w:val="20"/>
                <w:color w:val="auto"/>
              </w:rPr>
            </w:pPr>
            <w:r>
              <w:rPr>
                <w:rFonts w:ascii="Arial" w:cs="Arial" w:eastAsia="Arial" w:hAnsi="Arial"/>
                <w:sz w:val="18"/>
                <w:szCs w:val="18"/>
                <w:color w:val="auto"/>
              </w:rPr>
              <w:t>2,413,627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Vested and exercisable at March 31, 2018</w:t>
            </w:r>
          </w:p>
        </w:tc>
        <w:tc>
          <w:tcPr>
            <w:tcW w:w="1120" w:type="dxa"/>
            <w:vAlign w:val="bottom"/>
          </w:tcPr>
          <w:p>
            <w:pPr>
              <w:jc w:val="right"/>
              <w:spacing w:after="0"/>
              <w:rPr>
                <w:sz w:val="20"/>
                <w:szCs w:val="20"/>
                <w:color w:val="auto"/>
              </w:rPr>
            </w:pPr>
            <w:r>
              <w:rPr>
                <w:rFonts w:ascii="Arial" w:cs="Arial" w:eastAsia="Arial" w:hAnsi="Arial"/>
                <w:sz w:val="18"/>
                <w:szCs w:val="18"/>
                <w:color w:val="auto"/>
              </w:rPr>
              <w:t>1,120,598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100"/>
        <w:spacing w:after="0" w:line="320" w:lineRule="auto"/>
        <w:rPr>
          <w:sz w:val="20"/>
          <w:szCs w:val="20"/>
          <w:color w:val="auto"/>
        </w:rPr>
      </w:pPr>
      <w:r>
        <w:rPr>
          <w:rFonts w:ascii="Arial" w:cs="Arial" w:eastAsia="Arial" w:hAnsi="Arial"/>
          <w:sz w:val="13"/>
          <w:szCs w:val="13"/>
          <w:b w:val="1"/>
          <w:bCs w:val="1"/>
          <w:color w:val="auto"/>
        </w:rPr>
        <w:t>Weighted Average Remaining Contractual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866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7.57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7.86 years</w:t>
      </w:r>
    </w:p>
    <w:p>
      <w:pPr>
        <w:spacing w:after="0" w:line="373" w:lineRule="exact"/>
        <w:rPr>
          <w:sz w:val="20"/>
          <w:szCs w:val="20"/>
          <w:color w:val="auto"/>
        </w:rPr>
      </w:pPr>
    </w:p>
    <w:p>
      <w:pPr>
        <w:sectPr>
          <w:pgSz w:w="11900" w:h="16838" w:orient="portrait"/>
          <w:cols w:equalWidth="0" w:num="2">
            <w:col w:w="9920" w:space="240"/>
            <w:col w:w="1260"/>
          </w:cols>
          <w:pgMar w:left="240" w:top="131" w:right="239" w:bottom="1440" w:gutter="0" w:footer="0" w:header="0"/>
          <w:type w:val="continuous"/>
        </w:sectPr>
      </w:pPr>
    </w:p>
    <w:p>
      <w:pPr>
        <w:jc w:val="both"/>
        <w:ind w:firstLine="324"/>
        <w:spacing w:after="0" w:line="298" w:lineRule="auto"/>
        <w:rPr>
          <w:sz w:val="20"/>
          <w:szCs w:val="20"/>
          <w:color w:val="auto"/>
        </w:rPr>
      </w:pPr>
      <w:r>
        <w:rPr>
          <w:rFonts w:ascii="Arial" w:cs="Arial" w:eastAsia="Arial" w:hAnsi="Arial"/>
          <w:sz w:val="16"/>
          <w:szCs w:val="16"/>
          <w:color w:val="auto"/>
        </w:rPr>
        <w:t>The Company recognized employee stock-based compensation expense of $93 and $61 during the three months ended March 31, 2018 and 2017, respectively. As of March 31, 2018 and December 31, 2017, $1,597 and $1,690 respectively, of total unrecognized employee stock-based compensation expense, net of estimated forfeitures, related to stock-based awards were expected to be recognized over a weighted-average period of 2.05 years and 1.77 years, respectively. Total recognized compensation cost may be adjusted for future changes in estimated forfeitures.</w:t>
      </w:r>
    </w:p>
    <w:p>
      <w:pPr>
        <w:spacing w:after="0" w:line="99"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fair value of each option granted to an employee during the three months ended March 31, 2018 was estimated on the grant date using the Black-Scholes valuation model with the following assumptions. No options were granted to employees during the three months ended March 31, 2018.</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March 31,</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39.14%</w:t>
            </w: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14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stock price was market close price at grant date of January 25, 2018.</w:t>
      </w:r>
    </w:p>
    <w:p>
      <w:pPr>
        <w:spacing w:after="0" w:line="15"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in accordance with Staff Accounting Bulletin 110.</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comparable companies in the period equal to the expected term of each grant.</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non-employee share option activities during the three months ended March 31,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4"/>
              <w:spacing w:after="0" w:line="162" w:lineRule="exact"/>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76"/>
              <w:spacing w:after="0" w:line="162"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62"/>
        </w:trPr>
        <w:tc>
          <w:tcPr>
            <w:tcW w:w="6080" w:type="dxa"/>
            <w:vAlign w:val="bottom"/>
          </w:tcPr>
          <w:p>
            <w:pPr>
              <w:spacing w:after="0"/>
              <w:rPr>
                <w:sz w:val="14"/>
                <w:szCs w:val="14"/>
                <w:color w:val="auto"/>
              </w:rPr>
            </w:pPr>
          </w:p>
        </w:tc>
        <w:tc>
          <w:tcPr>
            <w:tcW w:w="1120" w:type="dxa"/>
            <w:vAlign w:val="bottom"/>
          </w:tcPr>
          <w:p>
            <w:pPr>
              <w:jc w:val="right"/>
              <w:ind w:right="135"/>
              <w:spacing w:after="0" w:line="162" w:lineRule="exact"/>
              <w:rPr>
                <w:sz w:val="20"/>
                <w:szCs w:val="20"/>
                <w:color w:val="auto"/>
              </w:rPr>
            </w:pPr>
            <w:r>
              <w:rPr>
                <w:rFonts w:ascii="Arial" w:cs="Arial" w:eastAsia="Arial" w:hAnsi="Arial"/>
                <w:sz w:val="15"/>
                <w:szCs w:val="15"/>
                <w:b w:val="1"/>
                <w:bCs w:val="1"/>
                <w:color w:val="auto"/>
              </w:rPr>
              <w:t>Number of</w:t>
            </w:r>
          </w:p>
        </w:tc>
        <w:tc>
          <w:tcPr>
            <w:tcW w:w="26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Contractual</w:t>
            </w:r>
          </w:p>
        </w:tc>
      </w:tr>
      <w:tr>
        <w:trPr>
          <w:trHeight w:val="182"/>
        </w:trPr>
        <w:tc>
          <w:tcPr>
            <w:tcW w:w="6080" w:type="dxa"/>
            <w:vAlign w:val="bottom"/>
          </w:tcPr>
          <w:p>
            <w:pPr>
              <w:spacing w:after="0"/>
              <w:rPr>
                <w:sz w:val="15"/>
                <w:szCs w:val="15"/>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Date Fair Value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5"/>
                <w:szCs w:val="15"/>
                <w:b w:val="1"/>
                <w:bCs w:val="1"/>
                <w:color w:val="auto"/>
                <w:w w:val="92"/>
              </w:rPr>
              <w:t>Price</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40" w:type="dxa"/>
            <w:vAlign w:val="bottom"/>
          </w:tcPr>
          <w:p>
            <w:pPr>
              <w:spacing w:after="0"/>
              <w:rPr>
                <w:sz w:val="15"/>
                <w:szCs w:val="15"/>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1,326,676</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 years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Expired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1"/>
        </w:trPr>
        <w:tc>
          <w:tcPr>
            <w:tcW w:w="6080" w:type="dxa"/>
            <w:vAlign w:val="bottom"/>
          </w:tcPr>
          <w:p>
            <w:pPr>
              <w:spacing w:after="0"/>
              <w:rPr>
                <w:sz w:val="20"/>
                <w:szCs w:val="20"/>
                <w:color w:val="auto"/>
              </w:rPr>
            </w:pPr>
            <w:r>
              <w:rPr>
                <w:rFonts w:ascii="Arial" w:cs="Arial" w:eastAsia="Arial" w:hAnsi="Arial"/>
                <w:sz w:val="18"/>
                <w:szCs w:val="18"/>
                <w:color w:val="auto"/>
              </w:rPr>
              <w:t>Outstanding at March 31, 2018</w:t>
            </w:r>
          </w:p>
        </w:tc>
        <w:tc>
          <w:tcPr>
            <w:tcW w:w="1120" w:type="dxa"/>
            <w:vAlign w:val="bottom"/>
          </w:tcPr>
          <w:p>
            <w:pPr>
              <w:jc w:val="right"/>
              <w:spacing w:after="0"/>
              <w:rPr>
                <w:sz w:val="20"/>
                <w:szCs w:val="20"/>
                <w:color w:val="auto"/>
              </w:rPr>
            </w:pPr>
            <w:r>
              <w:rPr>
                <w:rFonts w:ascii="Arial" w:cs="Arial" w:eastAsia="Arial" w:hAnsi="Arial"/>
                <w:sz w:val="18"/>
                <w:szCs w:val="18"/>
                <w:color w:val="auto"/>
              </w:rPr>
              <w:t>1,326,676</w:t>
            </w:r>
          </w:p>
        </w:tc>
        <w:tc>
          <w:tcPr>
            <w:tcW w:w="4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7.29 years</w:t>
            </w: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March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recognized non-employee stock-based compensation expense of $2,083 and $774 during the three months ended March 31, 2018 and 2017, respectively.</w:t>
      </w:r>
    </w:p>
    <w:p>
      <w:pPr>
        <w:spacing w:after="0" w:line="118"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fair value of each option granted to a non-employee during the three months ended March 31, 2018 was calculated by application of the Black-Scholes valuation model with the following assumptions. No options were granted to any non-employee during the three months ended March 31,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Arial" w:cs="Arial" w:eastAsia="Arial" w:hAnsi="Arial"/>
                <w:sz w:val="15"/>
                <w:szCs w:val="15"/>
                <w:b w:val="1"/>
                <w:bCs w:val="1"/>
                <w:color w:val="auto"/>
              </w:rPr>
              <w:t>March 31,</w:t>
            </w:r>
          </w:p>
        </w:tc>
      </w:tr>
      <w:tr>
        <w:trPr>
          <w:trHeight w:val="237"/>
        </w:trPr>
        <w:tc>
          <w:tcPr>
            <w:tcW w:w="2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$12.30</w:t>
            </w: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3.33-5.36</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45.48%</w:t>
            </w: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2.39%-2.56%</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0.00%</w:t>
            </w:r>
          </w:p>
        </w:tc>
      </w:tr>
    </w:tbl>
    <w:p>
      <w:pPr>
        <w:spacing w:after="0" w:line="14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Common stock price was market close price at March 31, 2018.</w:t>
      </w:r>
    </w:p>
    <w:p>
      <w:pPr>
        <w:spacing w:after="0" w:line="15"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in accordance with Staff Accounting Bulletin 110.</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comparable companies in the period equal to the expected term of each grant.</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in particular the Company’s three-year historical cumulative losses, recent operating losses and U.S. pre-tax loss for the three months ended March 31, 2018, the Company recorded a valuation allowance against its U.S. net deferred tax assets. In order to fully realize the U.S. deferred tax assets, the Company will need to generate sufficient taxable income in future periods before the expiration of the deferred tax assets governed by the tax code.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each period since inception, the Company has recorded a valuation allowance for the full amount of net deferred tax assets in the US, as the realization of deferred tax assets is uncertain. ACM Shanghai has shown a three-year historical cumulative profit and has projections of future income. As a result, the Company maintained a partial consolidated valuation allowance for the three months ended March 31, 2018 and December 31, 2017.</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effective tax rate differs from statutory rates of 21% for U.S. federal income tax purposes and 15% to 25% for Chinese income tax purposes due to the effects of the valuation allowance and certain permanent differences from book-tax differences. As a result, the Company recorded a tax provision of $22 and $781 for the three months ended March 31, 2018 and 2017, respectively.</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2018, the Company's total unrecognized tax benefits were approximately $44, which would not affect the effective tax rate if recognized. The Company will recognize interest and penalties, when they occur, related to uncertain tax provisions as a component of tax expense. No interest or penalties were recognized for the three months ended March 31, 2018.</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2017. To the extent the Company has tax attribute carry-forwards, the tax years in which the attribute was generated may still be adjusted upon examination by the U.S. Internal Revenue Service, state or foreign tax authorities to the extent utilized in a future period. The Tax Cuts and Jobs Act (the “Tax Act”) enacted on December 22, 2017 introduced significant changes to U.S. income tax law. Effective January 1, 2018, the Tax Act reduced the U.S. statutory tax rate from 35% to 21% and created new taxes on certain foreign-sourced earnings and certain intercompany payments. Due to the timing of the enactment and the complexity involved in applying the provisions of the Tax Act, the Company made reasonable estimates of the effects and recorded provisional amounts in its financial statements as of December 31, 2017. As the Company collects and prepares necessary data, and interprets the Tax Act and any additional guidance issued by the U.S. Treasury Department, the U.S. Internal Revenue Service and other standard-setting bodies, the Company may make adjustments to the provisional amounts. Those adjustments may materially affect the Company’s provision for income taxes and effective tax rate in the period in which the adjustments are made. There were no adjustments made in the three months ended March 31, 2018. The accounting for the tax effects of the Tax Act will be completed later in 2018.</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64"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Company leases offices under non-cancelable operating lease agreements. See note 12 for future minimum lease payments under non-cancelable operating lease agreements with initial terms of one year or more.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have any capital commitments during the reported periods.</w:t>
      </w:r>
    </w:p>
    <w:p>
      <w:pPr>
        <w:spacing w:after="0" w:line="1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From time to time the Company is subject to legal proceedings, including claims in the ordinary course of business and claims with respect to patent infringements.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2017, or our Annual Report. The following discussion contains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Factors that could cause or contribute to these differences include those discussed below and elsewhere in this report, particularly in the section titled “Item 1A. Risk Factors” in Part I of our Annual Report.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seek to market our wet processing equipment by first establishing a referenceable base of leading logic and memory chip makers, whose use of our products can influence decisions by other manufacturers. We believe this process will help us to penetrate the mature integrated circuit manufacturing markets and to build credibility with industry leaders. We have placed evaluation SAPS equipment with selected memory and logic chip customers since 2009 and recognized revenue from SAPS equipment since 2011. Using a similar “demo-to-sales” process, we began placing TEBO evaluation equipment with selected customers in 2016 and recognized revenue from our initial sale of TEBO equipment in December 2016. As of March 31, 2018, we had sold and deployed more than 35 single-wafer wet cleaning tools. We recognized revenue from the selected customers’ purchases of single-wafer wet cleaning equipment totaling $9.5 million, more than 97.97% of our quarterly review for the first three months of 2018 and $27.1 million, or 74.2% of our revenue, in 2017.</w:t>
      </w:r>
    </w:p>
    <w:p>
      <w:pPr>
        <w:spacing w:after="0" w:line="1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market and sell our products worldwide using a combination of our direct sales force and third-party representatives. We employ direct sales teams in Asia, Europe and North America, and have located these teams near our customers, primarily in the People’s Republic of China or PRC, Korea, Taiwan and the United States. To supplement our direct sales teams, we have contacts with several independent sales representatives in the PRC, Taiwan and Korea. We also provide after-sales services to our customers by installing new replacement parts as well as making small scale modifications to improve our customers’ product yields.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established our operational center in Shanghai in 2006 to help us establish and build relationships with chip manufacturers in China and throughout Asia. In addition to our SAPS and TEBO tools, we offer a range of custom-made wafer assembly and packaging equipment, such as coaters and developers, to wafer assembly and packaging factories, principally in the PRC.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incorporated in California in 1998 and redomesticated to Delaware in November 2016. Initially we focused on developing tools for semiconductor manufacturing process steps involving the integration of ultra-low-K materials and copper. In the early 2000s we sold tools based on stress-free copper-polishing technology.</w:t>
      </w:r>
    </w:p>
    <w:p>
      <w:pPr>
        <w:spacing w:after="0" w:line="12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In 2006 we moved our operational center to Shanghai, where we began to conduct our business through our subsidiary ACM Shanghai. This move was made to help us establish and build relationships with chip manufacturers in the PRC. In 2007 we began to focus our development efforts on single-wafer wet-cleaning solutions for the front-end chip fabrication process. In 2009 we introduced SAPS megasonic technology, which can be applied in wet wafer cleaning at numerous steps during the chip fabrication process. In 2016 we introduced TEBO technology, which can be applied at numerous steps during the fabrication of small node conventional two-dimensional and three-dimensional patterned wafers.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both"/>
        <w:ind w:firstLine="324"/>
        <w:spacing w:after="0" w:line="294" w:lineRule="auto"/>
        <w:rPr>
          <w:sz w:val="20"/>
          <w:szCs w:val="20"/>
          <w:color w:val="auto"/>
        </w:rPr>
      </w:pPr>
      <w:r>
        <w:rPr>
          <w:rFonts w:ascii="Arial" w:cs="Arial" w:eastAsia="Arial" w:hAnsi="Arial"/>
          <w:sz w:val="16"/>
          <w:szCs w:val="16"/>
          <w:color w:val="auto"/>
        </w:rPr>
        <w:t>In 2011 ACM Shanghai formed a wholly owned subsidiary in the PRC, ACM Research (Wuxi), Inc., to manage sales and service operations. 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 In December 2017 we formed a wholly owned subsidiary in the Republic of Korea, ACM Research Korea CO., LTD., to serve our customers based in the Republic of Korea and perform sales, marketing, research and development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Equity Transactions</w:t>
      </w:r>
    </w:p>
    <w:p>
      <w:pPr>
        <w:spacing w:after="0" w:line="1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Issuance and Subsequent Exercise of Warrant</w:t>
      </w:r>
      <w:r>
        <w:rPr>
          <w:rFonts w:ascii="Arial" w:cs="Arial" w:eastAsia="Arial" w:hAnsi="Arial"/>
          <w:sz w:val="16"/>
          <w:szCs w:val="16"/>
          <w:color w:val="auto"/>
        </w:rPr>
        <w:t>. In December 2016 Shengxin (Shanghai) Management Consulting Limited Partnership, or SMC, paid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20,123,500 RMB (approximately $3.0 million as of the date of funding) to ACM Shanghai for investment pursuant to terms to be subsequently negotiated. SMC is a PRC limited partnership owned by Jian Wang and other employees of our subsidiary ACM Shanghai. Jian Wang, who is the general partner of SMC, is our Vice President, Research and Development and the brother of David H. Wang, who is our Chief Executive Officer, President and Chair of the Board. In connection with that investment, we issued to SMC in March 2017 a warrant exercisable to purchase 397,502 shares of Class A common stock at a price of $7.50 per share, for a total exercise price of approximately $3.0 million. The warrant was exercisable for cash or on a cashless basis, at the option of SMC, at any time on or before May 17, 2023 to acquire all, but not less than all, of the shares of Class A common stock subject to the warrant. In March 2018 we entered into a warrant exercise agreement with ACM Shanghai and SMC pursuant to which SMC exercised the SMC warrant in full by issuance to us of a senior secured promissory note in the principal amount of approximately $3.0 million. We transferred the SMC note to ACM Shanghai, in exchange for an intercompany promissory note issued by ACM Shanghai to us in the principal amount of approximately $3.0 million.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Strategic Investment in Key Supplier. </w:t>
      </w:r>
      <w:r>
        <w:rPr>
          <w:rFonts w:ascii="Arial" w:cs="Arial" w:eastAsia="Arial" w:hAnsi="Arial"/>
          <w:sz w:val="18"/>
          <w:szCs w:val="18"/>
          <w:color w:val="auto"/>
        </w:rPr>
        <w:t>Ninebell Co., Ltd., or Ninebell, which is located in Seoul, Korea, is the principal supplier of robotic delivery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subassemblies used in our single-wafer cleaning equipment. On September 6, 2017 we and Ninebell entered into:</w:t>
      </w:r>
    </w:p>
    <w:p>
      <w:pPr>
        <w:spacing w:after="0" w:line="118" w:lineRule="exact"/>
        <w:rPr>
          <w:sz w:val="20"/>
          <w:szCs w:val="20"/>
          <w:color w:val="auto"/>
        </w:rPr>
      </w:pPr>
    </w:p>
    <w:p>
      <w:pPr>
        <w:ind w:left="660" w:hanging="328"/>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ordinary share purchase agreement, effective as of September 11, 2017, pursuant to which, contemporaneously with signing, Ninebell issued to us, for a purchase price of $1.2 million, ordinary shares representing 20% of Ninebell’s post-closing equity; and</w:t>
      </w:r>
    </w:p>
    <w:p>
      <w:pPr>
        <w:spacing w:after="0" w:line="118"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we issued 133,334 shares of Class A common stock to Ninebell for a purchase price of $7.50 per share, or an aggregate purchase price of $1.0 million.</w:t>
      </w:r>
    </w:p>
    <w:p>
      <w:pPr>
        <w:spacing w:after="0" w:line="72" w:lineRule="exact"/>
        <w:rPr>
          <w:sz w:val="20"/>
          <w:szCs w:val="20"/>
          <w:color w:val="auto"/>
        </w:rPr>
      </w:pPr>
    </w:p>
    <w:p>
      <w:pPr>
        <w:jc w:val="both"/>
        <w:ind w:right="420" w:firstLine="324"/>
        <w:spacing w:after="0" w:line="259" w:lineRule="auto"/>
        <w:rPr>
          <w:sz w:val="20"/>
          <w:szCs w:val="20"/>
          <w:color w:val="auto"/>
        </w:rPr>
      </w:pPr>
      <w:r>
        <w:rPr>
          <w:rFonts w:ascii="Arial" w:cs="Arial" w:eastAsia="Arial" w:hAnsi="Arial"/>
          <w:sz w:val="18"/>
          <w:szCs w:val="18"/>
          <w:color w:val="auto"/>
        </w:rPr>
        <w:t>In addition, under the ordinary share purchase agreement, Ninebell granted us a preemptive right for all future issuances of equity-related securities by Ninebell and the founder of Ninebell, who is the only other equity holder of Ninebell, granted us a right of first refusal with respect to any future sales of his equity securities.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IPO and Concurrent Private Placements. </w:t>
      </w:r>
      <w:r>
        <w:rPr>
          <w:rFonts w:ascii="Arial" w:cs="Arial" w:eastAsia="Arial" w:hAnsi="Arial"/>
          <w:sz w:val="18"/>
          <w:szCs w:val="18"/>
          <w:color w:val="auto"/>
        </w:rPr>
        <w:t>In November 2017 we issued 2,233,000 shares of Class A common stock and received net proceeds of $11.7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initial public offering, or the IPO, and concurrently we issued an additional 1,333,334 shares of Class A common stock through a private placement for net proceeds of $7.1 million.</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Acquisition of Outstanding Minority Interests in Our Operating Company</w:t>
      </w:r>
      <w:r>
        <w:rPr>
          <w:rFonts w:ascii="Arial" w:cs="Arial" w:eastAsia="Arial" w:hAnsi="Arial"/>
          <w:sz w:val="18"/>
          <w:szCs w:val="18"/>
          <w:color w:val="auto"/>
        </w:rPr>
        <w:t>. Until August 31, 2017, ACM Research owned 62.87% of the outstanding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in ACM Shanghai and three PRC-based third-party investors held the remaining 37.13% of equity interests, which were reflected as “non-controlling interests” in our consolidated balance sheets and related notes. In 2017 we took the following actions in order to enable ACM Research to acquire, consistent with requirements of arrangements previously entered into in connection with the investors’ acquisition of ACM Shanghai equity interests, the outstanding non-controlling interests in ACM Shanghai:</w:t>
      </w:r>
    </w:p>
    <w:p>
      <w:pPr>
        <w:spacing w:after="0" w:line="129" w:lineRule="exact"/>
        <w:rPr>
          <w:sz w:val="20"/>
          <w:szCs w:val="20"/>
          <w:color w:val="auto"/>
        </w:rPr>
      </w:pPr>
    </w:p>
    <w:p>
      <w:pPr>
        <w:jc w:val="both"/>
        <w:ind w:left="660" w:hanging="328"/>
        <w:spacing w:after="0" w:line="323"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March 2017 we entered into a securities purchase agreement with Shanghai Science and Technology Venture Capital Co., Ltd., or SSTVC, which held 18.77% of the ACM Shanghai equity interests. Pursuant to that agreement, effective as of August 31, 2017, we (a) acquired, for a purchase price of $5.8 million, SSTVC’s equity interests in ACM Shanghai and (b) issued to SSTVC, for a purchase price of $5.8 million, shares of Series E preferred stock that has converted, upon the closing of the IPO, into 1,666,170 shares of Class A common stock, at an effective purchase price of $3.48 per share.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4" w:name="page25"/>
    <w:bookmarkEnd w:id="24"/>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2017 we entered into a securities purchase agreement with Shanghai Pudong High-Tech Investment Co., Ltd., or PDHTI, and its subsidiary Pudong Science and Technology (Cayman) Co., Ltd., or PST, pursuant to which we (a) submitted the winning bid, in an auction process mandated by PRC regulations, to purchase PDHTI’s 10.78% equity interests in ACM Shanghai, which we completed on November 8, 2017, and (b) issued to PST, on September 8, 2017, 1,119,576 shares of Class A common stock for a purchase price of $7.50 per share, representing an aggregate purchase price of $8.4 million.</w:t>
      </w:r>
    </w:p>
    <w:p>
      <w:pPr>
        <w:spacing w:after="0" w:line="129"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August 2017 we entered into a securities purchase agreement with Shanghai Zhangjiang Science &amp; Technology Venture Capital Co., Ltd., or ZSTVC, and its subsidiary Zhangjiang AJ Company Limited, or ZJAJ, pursuant to which we (a) submitted the winning bid, in an auction process mandated by PRC regulations, to purchase ZSTVC’s 7.58% equity interests in ACM Shanghai, which we completed on November 8, 2017, and (b) issued to ZJAJ, on September 8, 2017, 787,098 shares of Class A common stock for a purchase price of $7.50 per share, or an aggregate purchase price of $5.9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Since November 8, 2017, ACM Research has owned all of the outstanding equity interests in ACM Shanghai.</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PRC Government Research and Development Funding</w:t>
      </w:r>
    </w:p>
    <w:p>
      <w:pPr>
        <w:spacing w:after="0" w:line="16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ACM Shanghai has received three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most recent grant was made in 2014 and relates to the development of electro copper-plating technology. PRC governmental authorities provide the majority of the funding, although ACM Shanghai is also required to invest certain amounts in the projects.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127" w:lineRule="exact"/>
        <w:rPr>
          <w:sz w:val="20"/>
          <w:szCs w:val="20"/>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subsidies relating to current expenses are reflected as reductions of those expenses in the periods in which they are reported. Those reductions totaled $240,000 in the first three months of 2018, compared to $960,000 in the first three months of 2017.</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subsidies for interest on short-term borrowings are reported as reductions of interest expense in the periods the interest is accrued. We had no such reductions of interest expense in the first three months of 2018 or the first three months of 2017.</w:t>
      </w:r>
    </w:p>
    <w:p>
      <w:pPr>
        <w:spacing w:after="0" w:line="118" w:lineRule="exact"/>
        <w:rPr>
          <w:rFonts w:ascii="Arial" w:cs="Arial" w:eastAsia="Arial" w:hAnsi="Arial"/>
          <w:sz w:val="18"/>
          <w:szCs w:val="18"/>
          <w:color w:val="auto"/>
        </w:rPr>
      </w:pPr>
    </w:p>
    <w:p>
      <w:pPr>
        <w:jc w:val="both"/>
        <w:ind w:left="660" w:hanging="328"/>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$38,000 in the first three months of 2018 and $32,000 in the first three months of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information below with respect to three measures of financial performance:</w:t>
      </w:r>
    </w:p>
    <w:p>
      <w:pPr>
        <w:spacing w:after="0" w:line="158" w:lineRule="exact"/>
        <w:rPr>
          <w:sz w:val="20"/>
          <w:szCs w:val="20"/>
          <w:color w:val="auto"/>
        </w:rPr>
      </w:pPr>
    </w:p>
    <w:p>
      <w:pPr>
        <w:ind w:left="660" w:hanging="328"/>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71"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1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1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presented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free cash flow and adjusted operating income (loss) are not prepared in accordance with GAAP, and should not be considered in isolation of, or as an alternative to, measures prepared in accordance with GAAP. There are a number of limitations related to the use of adjusted EBITDA rather than net income (loss), which is the nearest GAAP equivalent. Some of these limitations are:</w:t>
      </w:r>
    </w:p>
    <w:p>
      <w:pPr>
        <w:spacing w:after="0" w:line="127" w:lineRule="exact"/>
        <w:rPr>
          <w:sz w:val="20"/>
          <w:szCs w:val="20"/>
          <w:color w:val="auto"/>
        </w:rPr>
      </w:pPr>
    </w:p>
    <w:p>
      <w:pPr>
        <w:ind w:left="660" w:right="2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11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29"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180" w:lineRule="exact"/>
        <w:rPr>
          <w:rFonts w:ascii="Arial" w:cs="Arial" w:eastAsia="Arial" w:hAnsi="Arial"/>
          <w:sz w:val="16"/>
          <w:szCs w:val="16"/>
          <w:color w:val="auto"/>
        </w:rPr>
      </w:pPr>
    </w:p>
    <w:p>
      <w:pPr>
        <w:ind w:left="660" w:right="2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21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net income (loss), the most directly comparable GAAP financial measure,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5"/>
                <w:szCs w:val="15"/>
                <w:b w:val="1"/>
                <w:bCs w:val="1"/>
                <w:color w:val="auto"/>
                <w:w w:val="93"/>
              </w:rPr>
              <w:t>Three Months Ended March 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83"/>
              </w:rPr>
              <w:t>2017</w:t>
            </w:r>
          </w:p>
        </w:tc>
        <w:tc>
          <w:tcPr>
            <w:tcW w:w="14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Data:</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(2,089)</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w:t>
            </w: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Adjusted EBITDA in the first three months of 2018, as compared with the comparable period in 2017, reflected an increase of $700,000 in net loss and a $1.3 million increase in stock based compensation offset by a decrease of $760,000 in income tax expense.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 PRC Government Research and Development Funding.”</w:t>
      </w:r>
    </w:p>
    <w:p>
      <w:pPr>
        <w:spacing w:after="0" w:line="10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the first three months of 2018 and 2017, free cash flow did not differ from net cash provided by operating activities, the most directly comparable GAAP financial measure: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5"/>
                <w:szCs w:val="15"/>
                <w:b w:val="1"/>
                <w:bCs w:val="1"/>
                <w:color w:val="auto"/>
                <w:w w:val="93"/>
              </w:rPr>
              <w:t>Three Months Ended 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6"/>
              <w:spacing w:after="0" w:line="162" w:lineRule="exact"/>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5"/>
              <w:spacing w:after="0" w:line="162" w:lineRule="exact"/>
              <w:rPr>
                <w:sz w:val="20"/>
                <w:szCs w:val="20"/>
                <w:color w:val="auto"/>
              </w:rPr>
            </w:pPr>
            <w:r>
              <w:rPr>
                <w:rFonts w:ascii="Arial" w:cs="Arial" w:eastAsia="Arial" w:hAnsi="Arial"/>
                <w:sz w:val="15"/>
                <w:szCs w:val="15"/>
                <w:b w:val="1"/>
                <w:bCs w:val="1"/>
                <w:color w:val="auto"/>
                <w:w w:val="83"/>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Data:</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(7,393)</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(7,788)</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Free cash flow in the first three months of 2018, as compared with the comparable period in 2017, reflected the factors driving net cash provided by operating activities, principally decreases in accounts receivable, accounts payable and inventory and an increase in stock-based compensation expense. Consistent with our methodology for calculating adjusted EBITDA, we do not adjust free cash flow for the effects of PRC government subsidies, because we take those subsidies into account in incurring expenses and capital expenditures.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7" w:name="page28"/>
    <w:bookmarkEnd w:id="27"/>
    <w:p>
      <w:pPr>
        <w:jc w:val="both"/>
        <w:ind w:firstLine="324"/>
        <w:spacing w:after="0" w:line="309" w:lineRule="auto"/>
        <w:rPr>
          <w:sz w:val="20"/>
          <w:szCs w:val="20"/>
          <w:color w:val="auto"/>
        </w:rPr>
      </w:pPr>
      <w:r>
        <w:rPr>
          <w:rFonts w:ascii="Arial" w:cs="Arial" w:eastAsia="Arial" w:hAnsi="Arial"/>
          <w:sz w:val="15"/>
          <w:szCs w:val="15"/>
          <w:color w:val="auto"/>
        </w:rPr>
        <w:t>Adjusted operating income (loss)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(loss) from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ind w:left="80"/>
              <w:spacing w:after="0"/>
              <w:rPr>
                <w:sz w:val="20"/>
                <w:szCs w:val="20"/>
                <w:color w:val="auto"/>
              </w:rPr>
            </w:pPr>
            <w:r>
              <w:rPr>
                <w:rFonts w:ascii="Arial" w:cs="Arial" w:eastAsia="Arial" w:hAnsi="Arial"/>
                <w:sz w:val="15"/>
                <w:szCs w:val="15"/>
                <w:b w:val="1"/>
                <w:bCs w:val="1"/>
                <w:color w:val="auto"/>
              </w:rPr>
              <w:t>Three Months Ended March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5"/>
                <w:szCs w:val="15"/>
                <w:b w:val="1"/>
                <w:bCs w:val="1"/>
                <w:color w:val="auto"/>
              </w:rPr>
              <w:t>Actual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4"/>
              <w:spacing w:after="0" w:line="149" w:lineRule="exact"/>
              <w:rPr>
                <w:sz w:val="20"/>
                <w:szCs w:val="20"/>
                <w:color w:val="auto"/>
              </w:rPr>
            </w:pPr>
            <w:r>
              <w:rPr>
                <w:rFonts w:ascii="Arial" w:cs="Arial" w:eastAsia="Arial" w:hAnsi="Arial"/>
                <w:sz w:val="15"/>
                <w:szCs w:val="15"/>
                <w:b w:val="1"/>
                <w:bCs w:val="1"/>
                <w:color w:val="auto"/>
                <w:w w:val="93"/>
              </w:rPr>
              <w:t>Adjusted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5"/>
                <w:szCs w:val="15"/>
                <w:b w:val="1"/>
                <w:bCs w:val="1"/>
                <w:color w:val="auto"/>
              </w:rPr>
              <w:t>Actual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4"/>
              <w:spacing w:after="0" w:line="149" w:lineRule="exact"/>
              <w:rPr>
                <w:sz w:val="20"/>
                <w:szCs w:val="20"/>
                <w:color w:val="auto"/>
              </w:rPr>
            </w:pPr>
            <w:r>
              <w:rPr>
                <w:rFonts w:ascii="Arial" w:cs="Arial" w:eastAsia="Arial" w:hAnsi="Arial"/>
                <w:sz w:val="15"/>
                <w:szCs w:val="15"/>
                <w:b w:val="1"/>
                <w:bCs w:val="1"/>
                <w:color w:val="auto"/>
                <w:w w:val="93"/>
              </w:rPr>
              <w:t>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(GAAP)</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SBC</w:t>
            </w:r>
          </w:p>
        </w:tc>
        <w:tc>
          <w:tcPr>
            <w:tcW w:w="10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5"/>
              </w:rPr>
              <w:t>(Non-GAAP)</w:t>
            </w:r>
          </w:p>
        </w:tc>
        <w:tc>
          <w:tcPr>
            <w:tcW w:w="16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(GAAP)</w:t>
            </w:r>
          </w:p>
        </w:tc>
        <w:tc>
          <w:tcPr>
            <w:tcW w:w="20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SBC</w:t>
            </w:r>
          </w:p>
        </w:tc>
        <w:tc>
          <w:tcPr>
            <w:tcW w:w="10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w w:val="95"/>
              </w:rPr>
              <w:t>(Non-GAAP)</w:t>
            </w:r>
          </w:p>
        </w:tc>
        <w:tc>
          <w:tcPr>
            <w:tcW w:w="0" w:type="dxa"/>
            <w:vAlign w:val="bottom"/>
          </w:tcPr>
          <w:p>
            <w:pPr>
              <w:spacing w:after="0"/>
              <w:rPr>
                <w:sz w:val="1"/>
                <w:szCs w:val="1"/>
                <w:color w:val="auto"/>
              </w:rPr>
            </w:pPr>
          </w:p>
        </w:tc>
      </w:tr>
      <w:tr>
        <w:trPr>
          <w:trHeight w:val="24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(Loss):</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(4,613)</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(3,258)</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(1,514)</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(928)</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(1,904)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(2,175)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Adjusted operating loss in the first three months of 2018, as compared with the comparable period in 2017, reflected an increase of $1.3 million in stock-based compensation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and operating expenses during the periods presented below have included stock-based compensation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2600" w:type="dxa"/>
            <w:vAlign w:val="bottom"/>
            <w:gridSpan w:val="6"/>
          </w:tcPr>
          <w:p>
            <w:pPr>
              <w:ind w:left="220"/>
              <w:spacing w:after="0"/>
              <w:rPr>
                <w:sz w:val="20"/>
                <w:szCs w:val="20"/>
                <w:color w:val="auto"/>
              </w:rPr>
            </w:pPr>
            <w:r>
              <w:rPr>
                <w:rFonts w:ascii="Arial" w:cs="Arial" w:eastAsia="Arial" w:hAnsi="Arial"/>
                <w:sz w:val="15"/>
                <w:szCs w:val="15"/>
                <w:b w:val="1"/>
                <w:bCs w:val="1"/>
                <w:color w:val="auto"/>
              </w:rPr>
              <w:t>Three Months Ended March 31,</w:t>
            </w:r>
          </w:p>
        </w:tc>
      </w:tr>
      <w:tr>
        <w:trPr>
          <w:trHeight w:val="223"/>
        </w:trPr>
        <w:tc>
          <w:tcPr>
            <w:tcW w:w="88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83"/>
              </w:rPr>
              <w:t>2017</w:t>
            </w:r>
          </w:p>
        </w:tc>
        <w:tc>
          <w:tcPr>
            <w:tcW w:w="140" w:type="dxa"/>
            <w:vAlign w:val="bottom"/>
          </w:tcPr>
          <w:p>
            <w:pPr>
              <w:spacing w:after="0"/>
              <w:rPr>
                <w:sz w:val="19"/>
                <w:szCs w:val="19"/>
                <w:color w:val="auto"/>
              </w:rPr>
            </w:pPr>
          </w:p>
        </w:tc>
      </w:tr>
      <w:tr>
        <w:trPr>
          <w:trHeight w:val="241"/>
        </w:trPr>
        <w:tc>
          <w:tcPr>
            <w:tcW w:w="8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w w:val="89"/>
              </w:rPr>
              <w:t>(in thousands)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882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8"/>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2,106</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19"/>
                <w:szCs w:val="19"/>
                <w:color w:val="auto"/>
              </w:rPr>
            </w:pPr>
          </w:p>
        </w:tc>
      </w:tr>
      <w:tr>
        <w:trPr>
          <w:trHeight w:val="237"/>
        </w:trPr>
        <w:tc>
          <w:tcPr>
            <w:tcW w:w="88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2,175</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40" w:type="dxa"/>
            <w:vAlign w:val="bottom"/>
            <w:shd w:val="clear" w:color="auto" w:fill="CCEEFF"/>
          </w:tcPr>
          <w:p>
            <w:pPr>
              <w:spacing w:after="0"/>
              <w:rPr>
                <w:sz w:val="20"/>
                <w:szCs w:val="20"/>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We recognized stock-based compensation expense to employees of $93,000 in the first three months of 2018, compared to $61,000 in the first three months of 2017. As of March 31, 2018 and December 31, 2017, $1.6 million and $1.7 million, respectively, of total unrecognized employee stock-based compensation expense, net of estimated forfeitures, related to stock-based awards were expected to be recognized over a weighted-average period of 2.05 years and 1.77 years, respectively. Total recognized compensation cost may be adjusted for future changes in estimated forfeitures.</w:t>
      </w:r>
    </w:p>
    <w:p>
      <w:pPr>
        <w:spacing w:after="0" w:line="99" w:lineRule="exact"/>
        <w:rPr>
          <w:sz w:val="20"/>
          <w:szCs w:val="20"/>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We recognized stock-based compensation expense to non-employees of $2.1 million in the first three months of 2018, compared to $774,000 in the first three months of 2017. The fair value of each option granted to a non-employee is re-measured at each period end until the vesting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 Actual results could differ from those estimates. There were no significant changes in our critical accounting estimates during the first three months of 2018 to augment the critical accounting estimates disclosed in “Item 7. Management’s Discussion and Analysis of Financial Condition and Results of Operations</w:t>
      </w:r>
    </w:p>
    <w:p>
      <w:pPr>
        <w:spacing w:after="0" w:line="2" w:lineRule="exact"/>
        <w:rPr>
          <w:sz w:val="20"/>
          <w:szCs w:val="20"/>
          <w:color w:val="auto"/>
        </w:rPr>
      </w:pPr>
    </w:p>
    <w:p>
      <w:pPr>
        <w:ind w:left="5620" w:right="2560" w:hanging="5612"/>
        <w:spacing w:after="0" w:line="683" w:lineRule="auto"/>
        <w:tabs>
          <w:tab w:leader="none" w:pos="1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and Significant Judgments and Estimates” included in our Annual Report, except we note that: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28" w:name="page29"/>
    <w:bookmarkEnd w:id="28"/>
    <w:p>
      <w:pPr>
        <w:jc w:val="both"/>
        <w:ind w:left="540" w:right="60" w:hanging="206"/>
        <w:spacing w:after="0" w:line="256"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Effective January 1, 2018, we adopted FASB’s ACS Topic 606,</w:t>
      </w:r>
      <w:r>
        <w:rPr>
          <w:rFonts w:ascii="Arial" w:cs="Arial" w:eastAsia="Arial" w:hAnsi="Arial"/>
          <w:sz w:val="18"/>
          <w:szCs w:val="18"/>
          <w:i w:val="1"/>
          <w:iCs w:val="1"/>
          <w:color w:val="auto"/>
        </w:rPr>
        <w:t xml:space="preserve"> Revenue From Contracts With Customers</w:t>
      </w:r>
      <w:r>
        <w:rPr>
          <w:rFonts w:ascii="Arial" w:cs="Arial" w:eastAsia="Arial" w:hAnsi="Arial"/>
          <w:sz w:val="18"/>
          <w:szCs w:val="18"/>
          <w:color w:val="auto"/>
        </w:rPr>
        <w:t>,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presentation and disclosure of revenue in our financial statements. Adoption of this new revenue standard did not impact our financials presented previously. We recognize revenue when control of the promised goods or services is transferred to our customer, in an amount that reflects the consideration we expect to be entitled to in exchange for those goods or services.</w:t>
      </w:r>
    </w:p>
    <w:p>
      <w:pPr>
        <w:spacing w:after="0" w:line="129" w:lineRule="exact"/>
        <w:rPr>
          <w:rFonts w:ascii="Arial" w:cs="Arial" w:eastAsia="Arial" w:hAnsi="Arial"/>
          <w:sz w:val="18"/>
          <w:szCs w:val="18"/>
          <w:color w:val="auto"/>
        </w:rPr>
      </w:pPr>
    </w:p>
    <w:p>
      <w:pPr>
        <w:jc w:val="both"/>
        <w:ind w:left="540" w:right="60" w:hanging="206"/>
        <w:spacing w:after="0" w:line="25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Please see note 14 to our condensed consolidated financial statements included elsewhere in this report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a presentation of weighted-average assumptions used in the Black-Scholes option pricing model to determine the fair value of stock option grants made during the first three months of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2017</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2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Total operating expenses, net</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(loss) from operations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 net</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Income (loss) before income taxes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2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Net loss attributable to ACM Research, Inc.</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vMerge w:val="restart"/>
          </w:tcPr>
          <w:p>
            <w:pPr>
              <w:ind w:left="320"/>
              <w:spacing w:after="0"/>
              <w:rPr>
                <w:sz w:val="20"/>
                <w:szCs w:val="20"/>
                <w:color w:val="auto"/>
              </w:rPr>
            </w:pPr>
            <w:r>
              <w:rPr>
                <w:rFonts w:ascii="Arial" w:cs="Arial" w:eastAsia="Arial" w:hAnsi="Arial"/>
                <w:sz w:val="18"/>
                <w:szCs w:val="18"/>
                <w:b w:val="1"/>
                <w:bCs w:val="1"/>
                <w:i w:val="1"/>
                <w:iCs w:val="1"/>
                <w:color w:val="auto"/>
                <w:w w:val="93"/>
              </w:rPr>
              <w:t>Comparison of Three Months Ended March 31, 2018 and 2017</w:t>
            </w: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40" w:type="dxa"/>
            <w:vAlign w:val="bottom"/>
          </w:tcPr>
          <w:p>
            <w:pPr>
              <w:ind w:left="640"/>
              <w:spacing w:after="0"/>
              <w:rPr>
                <w:sz w:val="20"/>
                <w:szCs w:val="20"/>
                <w:color w:val="auto"/>
              </w:rPr>
            </w:pPr>
            <w:r>
              <w:rPr>
                <w:rFonts w:ascii="Arial" w:cs="Arial" w:eastAsia="Arial" w:hAnsi="Arial"/>
                <w:sz w:val="18"/>
                <w:szCs w:val="18"/>
                <w:i w:val="1"/>
                <w:iCs w:val="1"/>
                <w:color w:val="auto"/>
              </w:rPr>
              <w:t>Revenue</w:t>
            </w: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5"/>
                <w:szCs w:val="15"/>
                <w:b w:val="1"/>
                <w:bCs w:val="1"/>
                <w:color w:val="auto"/>
                <w:w w:val="93"/>
              </w:rPr>
              <w:t>Three Months Ended March 31,</w:t>
            </w:r>
          </w:p>
        </w:tc>
        <w:tc>
          <w:tcPr>
            <w:tcW w:w="1280" w:type="dxa"/>
            <w:vAlign w:val="bottom"/>
            <w:gridSpan w:val="3"/>
            <w:vMerge w:val="restart"/>
          </w:tcPr>
          <w:p>
            <w:pPr>
              <w:jc w:val="center"/>
              <w:ind w:right="200"/>
              <w:spacing w:after="0"/>
              <w:rPr>
                <w:sz w:val="20"/>
                <w:szCs w:val="20"/>
                <w:color w:val="auto"/>
              </w:rPr>
            </w:pPr>
            <w:r>
              <w:rPr>
                <w:rFonts w:ascii="Arial" w:cs="Arial" w:eastAsia="Arial" w:hAnsi="Arial"/>
                <w:sz w:val="15"/>
                <w:szCs w:val="15"/>
                <w:b w:val="1"/>
                <w:bCs w:val="1"/>
                <w:color w:val="auto"/>
                <w:w w:val="93"/>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2017 v 2018</w:t>
            </w:r>
          </w:p>
        </w:tc>
        <w:tc>
          <w:tcPr>
            <w:tcW w:w="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ind w:left="580"/>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9,743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552"/>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563" w:right="179" w:bottom="1440" w:gutter="0" w:footer="0" w:header="0"/>
        </w:sectPr>
      </w:pPr>
    </w:p>
    <w:bookmarkStart w:id="29" w:name="page30"/>
    <w:bookmarkEnd w:id="29"/>
    <w:p>
      <w:pPr>
        <w:jc w:val="both"/>
        <w:ind w:firstLine="324"/>
        <w:spacing w:after="0" w:line="268" w:lineRule="auto"/>
        <w:rPr>
          <w:sz w:val="20"/>
          <w:szCs w:val="20"/>
          <w:color w:val="auto"/>
        </w:rPr>
      </w:pPr>
      <w:r>
        <w:rPr>
          <w:rFonts w:ascii="Arial" w:cs="Arial" w:eastAsia="Arial" w:hAnsi="Arial"/>
          <w:sz w:val="18"/>
          <w:szCs w:val="18"/>
          <w:color w:val="auto"/>
        </w:rPr>
        <w:t>The increase in revenue of $4.1 million in the three months ended March 31, 2018 reflected increases in revenue from single-wafer cleaning equipment of $4.0 million and $0.1 million increase from service and parts. The increases are from our existing customers.</w:t>
      </w:r>
    </w:p>
    <w:p>
      <w:pPr>
        <w:spacing w:after="0" w:line="1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revenue from sales of single-wafer wet cleaning equipment totaled $9.5 million, or 97.97% of our revenue, in the first three months of 2018, compared with $7.5 million, or 99.43% of revenue, in the first three months of 2017.</w:t>
      </w:r>
    </w:p>
    <w:p>
      <w:pPr>
        <w:spacing w:after="0" w:line="11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generated most of our revenue from a limited number of customers as the result of our strategy of initially placing SAPS- and TEBO-based equipment with a small number of leading chip manufacturers that are driving technology trends and key capability implementation. In the first three months of 2018, 97.97% of our revenue was derived from SK Hynix, Inc., a leading Korean memory chip company. In the first three months of 2017, 99.43% of our revenue was derived from three customers: Sky Hynix, Inc. accounted for 58.06% of our revenue; JiangYin ChangDian Advanced Packaging Co. Ltd., a leading PRC foundry, accounted for 27.32% of our revenue; and Semiconductor Manufacturing International Corporation, a leading PRC foundry, accounted for 14.05% of our revenue. Please see “Item 1A.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 of our Annual Report.</w:t>
      </w:r>
    </w:p>
    <w:p>
      <w:pPr>
        <w:spacing w:after="0" w:line="1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of our sales in 2017 and the first three months of 2018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Revenue and 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2760" w:type="dxa"/>
            <w:vAlign w:val="bottom"/>
            <w:gridSpan w:val="6"/>
          </w:tcPr>
          <w:p>
            <w:pPr>
              <w:jc w:val="right"/>
              <w:ind w:right="500"/>
              <w:spacing w:after="0"/>
              <w:rPr>
                <w:sz w:val="20"/>
                <w:szCs w:val="20"/>
                <w:color w:val="auto"/>
              </w:rPr>
            </w:pPr>
            <w:r>
              <w:rPr>
                <w:rFonts w:ascii="Arial" w:cs="Arial" w:eastAsia="Arial" w:hAnsi="Arial"/>
                <w:sz w:val="15"/>
                <w:szCs w:val="15"/>
                <w:b w:val="1"/>
                <w:bCs w:val="1"/>
                <w:color w:val="auto"/>
              </w:rPr>
              <w:t>Three Months Ended March 31,</w:t>
            </w: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b w:val="1"/>
                <w:bCs w:val="1"/>
                <w:color w:val="auto"/>
              </w:rPr>
              <w:t>2017 v 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4,621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5,122</w:t>
            </w:r>
          </w:p>
        </w:tc>
        <w:tc>
          <w:tcPr>
            <w:tcW w:w="26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Cost of revenue increased $1.4 million, and gross profit increased $2.7 million, from the three months ended March 31, 2018 to the comparable period in 2017.</w:t>
      </w:r>
    </w:p>
    <w:p>
      <w:pPr>
        <w:spacing w:after="0" w:line="18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Gross margin increased 10%, primarily due to the sale of three higher-margin SAPs tools compared to the mixed front and back end tools in 2017. Gross margin may vary from period to period, primarily related to the level of utilization and the timing and mix of purchase orders. We expect gross margin to be between 40% and 45% for the foreseeable future, with direct manufacturing costs approximating 50% to 55% of revenue and overhead costs totaling approximately 5% of revenue.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i w:val="1"/>
          <w:iCs w:val="1"/>
          <w:color w:val="auto"/>
        </w:rPr>
        <w:t>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2480" w:type="dxa"/>
            <w:vAlign w:val="bottom"/>
            <w:tcBorders>
              <w:bottom w:val="single" w:sz="8" w:color="auto"/>
            </w:tcBorders>
            <w:gridSpan w:val="5"/>
          </w:tcPr>
          <w:p>
            <w:pPr>
              <w:jc w:val="right"/>
              <w:ind w:right="135"/>
              <w:spacing w:after="0"/>
              <w:rPr>
                <w:sz w:val="20"/>
                <w:szCs w:val="20"/>
                <w:color w:val="auto"/>
              </w:rPr>
            </w:pPr>
            <w:r>
              <w:rPr>
                <w:rFonts w:ascii="Arial" w:cs="Arial" w:eastAsia="Arial" w:hAnsi="Arial"/>
                <w:sz w:val="15"/>
                <w:szCs w:val="15"/>
                <w:b w:val="1"/>
                <w:bCs w:val="1"/>
                <w:color w:val="auto"/>
              </w:rPr>
              <w:t>Three Months Ended March 31,</w:t>
            </w:r>
          </w:p>
        </w:tc>
        <w:tc>
          <w:tcPr>
            <w:tcW w:w="280" w:type="dxa"/>
            <w:vAlign w:val="bottom"/>
          </w:tcPr>
          <w:p>
            <w:pPr>
              <w:spacing w:after="0"/>
              <w:rPr>
                <w:sz w:val="15"/>
                <w:szCs w:val="15"/>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5"/>
                <w:szCs w:val="15"/>
                <w:b w:val="1"/>
                <w:bCs w:val="1"/>
                <w:color w:val="auto"/>
                <w:w w:val="93"/>
              </w:rPr>
              <w:t>% Change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2017 v 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1,855</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5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w w:val="82"/>
              </w:rPr>
              <w:t>59.5%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7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1,541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928</w:t>
            </w: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w w:val="79"/>
              </w:rPr>
              <w:t>66.1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3,630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94.7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r>
              <w:rPr>
                <w:rFonts w:ascii="Arial" w:cs="Arial" w:eastAsia="Arial" w:hAnsi="Arial"/>
                <w:sz w:val="18"/>
                <w:szCs w:val="18"/>
                <w:color w:val="auto"/>
                <w:w w:val="84"/>
              </w:rPr>
              <w:t>7,026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3,955</w:t>
            </w:r>
          </w:p>
        </w:tc>
        <w:tc>
          <w:tcPr>
            <w:tcW w:w="1500" w:type="dxa"/>
            <w:vAlign w:val="bottom"/>
            <w:gridSpan w:val="3"/>
          </w:tcPr>
          <w:p>
            <w:pPr>
              <w:ind w:left="1060"/>
              <w:spacing w:after="0"/>
              <w:rPr>
                <w:sz w:val="20"/>
                <w:szCs w:val="20"/>
                <w:color w:val="auto"/>
              </w:rPr>
            </w:pPr>
            <w:r>
              <w:rPr>
                <w:rFonts w:ascii="Arial" w:cs="Arial" w:eastAsia="Arial" w:hAnsi="Arial"/>
                <w:sz w:val="18"/>
                <w:szCs w:val="18"/>
                <w:color w:val="auto"/>
                <w:w w:val="82"/>
              </w:rPr>
              <w:t>77.6%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6"/>
          <w:szCs w:val="16"/>
          <w:i w:val="1"/>
          <w:iCs w:val="1"/>
          <w:color w:val="auto"/>
        </w:rPr>
        <w:t xml:space="preserve">Sales and marketing expense </w:t>
      </w:r>
      <w:r>
        <w:rPr>
          <w:rFonts w:ascii="Arial" w:cs="Arial" w:eastAsia="Arial" w:hAnsi="Arial"/>
          <w:sz w:val="16"/>
          <w:szCs w:val="16"/>
          <w:color w:val="auto"/>
        </w:rPr>
        <w:t>increased $692,000 in the three months ended March 31, 2018 as compared to the corresponding period in 2017, primarily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increases in service expenses, personnel costs and sales commissions. Sales and marketing expense accounted for 19.0% of our revenue in the first three months of 2018 compared with 20.5% of revenue in the first three months of 2017. Sales and marketing expense consists primarily of:</w:t>
      </w:r>
    </w:p>
    <w:p>
      <w:pPr>
        <w:spacing w:after="0" w:line="7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158"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increased $613,000 in the three months ended March 31, 2018 as compared to the corresponding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as a result of increases in testing fees and personnel costs. Research and development expense represented 15.3% and 16.3% of our revenue in the three months ended March 31, 2018 and 2017, respectively. Without reduction by grant amounts received from PRC governmental authorities (see “—PRC Government Research and Development Funding”), gross research and development expense totaled $1.8 million, or 18.1% of revenue, in the three months ended March 31, 2018 and $1.9 million, or 33.4% of revenue, in the three months ended March 31, 2017. Research and development expense relates to the development of new products and processes and encompasses our research, development and customer support activities. Research and development expense consists primarily of:</w:t>
      </w:r>
    </w:p>
    <w:p>
      <w:pPr>
        <w:spacing w:after="0" w:line="13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$1.8 million in the three months ended March 31, 2018 as compared to the corresponding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resulting from a $1.3 million increase in stock based compensation expenses and from expenses associated with being a publicly traded company. General and administrative expense accounted for 37.3% of our revenue in the first three months of 2018 compared with 32.9% of revenue in the first three months of 2017. General and administrative expense consists primarily of:</w:t>
      </w:r>
    </w:p>
    <w:p>
      <w:pPr>
        <w:spacing w:after="0" w:line="130" w:lineRule="exact"/>
        <w:rPr>
          <w:sz w:val="20"/>
          <w:szCs w:val="20"/>
          <w:color w:val="auto"/>
        </w:rPr>
      </w:pPr>
    </w:p>
    <w:p>
      <w:pPr>
        <w:ind w:left="660" w:hanging="328"/>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157" w:lineRule="exact"/>
        <w:rPr>
          <w:rFonts w:ascii="Arial" w:cs="Arial" w:eastAsia="Arial" w:hAnsi="Arial"/>
          <w:sz w:val="18"/>
          <w:szCs w:val="18"/>
          <w:color w:val="auto"/>
        </w:rPr>
      </w:pPr>
    </w:p>
    <w:p>
      <w:pPr>
        <w:ind w:left="660" w:right="7960" w:hanging="328"/>
        <w:spacing w:after="0" w:line="50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allocated overhead for rent and utilities. </w:t>
      </w:r>
      <w:r>
        <w:rPr>
          <w:rFonts w:ascii="Arial" w:cs="Arial" w:eastAsia="Arial" w:hAnsi="Arial"/>
          <w:sz w:val="16"/>
          <w:szCs w:val="16"/>
          <w:i w:val="1"/>
          <w:iCs w:val="1"/>
          <w:color w:val="auto"/>
        </w:rPr>
        <w:t>Other Income and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2760" w:type="dxa"/>
            <w:vAlign w:val="bottom"/>
            <w:gridSpan w:val="6"/>
          </w:tcPr>
          <w:p>
            <w:pPr>
              <w:jc w:val="right"/>
              <w:ind w:right="500"/>
              <w:spacing w:after="0"/>
              <w:rPr>
                <w:sz w:val="20"/>
                <w:szCs w:val="20"/>
                <w:color w:val="auto"/>
              </w:rPr>
            </w:pPr>
            <w:r>
              <w:rPr>
                <w:rFonts w:ascii="Arial" w:cs="Arial" w:eastAsia="Arial" w:hAnsi="Arial"/>
                <w:sz w:val="15"/>
                <w:szCs w:val="15"/>
                <w:b w:val="1"/>
                <w:bCs w:val="1"/>
                <w:color w:val="auto"/>
              </w:rPr>
              <w:t>Three Months Ended March 31,</w:t>
            </w: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5"/>
                <w:szCs w:val="15"/>
                <w:b w:val="1"/>
                <w:bCs w:val="1"/>
                <w:color w:val="auto"/>
              </w:rPr>
              <w:t>2017 v 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080" w:type="dxa"/>
            <w:vAlign w:val="bottom"/>
          </w:tcPr>
          <w:p>
            <w:pPr>
              <w:jc w:val="right"/>
              <w:spacing w:after="0"/>
              <w:rPr>
                <w:sz w:val="20"/>
                <w:szCs w:val="20"/>
                <w:color w:val="auto"/>
              </w:rPr>
            </w:pPr>
            <w:r>
              <w:rPr>
                <w:rFonts w:ascii="Arial" w:cs="Arial" w:eastAsia="Arial" w:hAnsi="Arial"/>
                <w:sz w:val="18"/>
                <w:szCs w:val="18"/>
                <w:color w:val="auto"/>
              </w:rPr>
              <w:t>1,079.7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Interest expense consists of interest incurred from outstanding short-term borrowings. Interest expense increased by $24,000 in the three months ended March 31, 2018 from $76,000 in the three months ended March 31, 2017, principally as a result of increased borrowings under short-term bank loans. We earn interest income from depositary accounts. Interest income was nominal in the three months ended March 31, 2018 and 2017.</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Non-operating income (expense), net primarily reflects (a) gains or losses recognized from the effect of exchange rates on our foreign currency-denominated asset and liability balances and (b) depreciation of assets acquired with government subsidies, as described under "—PRC Government Research and Development Funding”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21" w:gutter="0" w:footer="0" w:header="0"/>
        </w:sectPr>
      </w:pPr>
    </w:p>
    <w:bookmarkStart w:id="31" w:name="page32"/>
    <w:bookmarkEnd w:id="31"/>
    <w:p>
      <w:pPr>
        <w:ind w:left="340"/>
        <w:spacing w:after="0"/>
        <w:rPr>
          <w:sz w:val="20"/>
          <w:szCs w:val="20"/>
          <w:color w:val="auto"/>
        </w:rPr>
      </w:pPr>
      <w:r>
        <w:rPr>
          <w:rFonts w:ascii="Arial" w:cs="Arial" w:eastAsia="Arial" w:hAnsi="Arial"/>
          <w:sz w:val="18"/>
          <w:szCs w:val="18"/>
          <w:color w:val="auto"/>
        </w:rPr>
        <w:t>Income Tax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6"/>
          </w:tcPr>
          <w:p>
            <w:pPr>
              <w:jc w:val="right"/>
              <w:ind w:right="340"/>
              <w:spacing w:after="0"/>
              <w:rPr>
                <w:sz w:val="20"/>
                <w:szCs w:val="20"/>
                <w:color w:val="auto"/>
              </w:rPr>
            </w:pPr>
            <w:r>
              <w:rPr>
                <w:rFonts w:ascii="Arial" w:cs="Arial" w:eastAsia="Arial" w:hAnsi="Arial"/>
                <w:sz w:val="15"/>
                <w:szCs w:val="15"/>
                <w:b w:val="1"/>
                <w:bCs w:val="1"/>
                <w:color w:val="auto"/>
              </w:rPr>
              <w:t>Three Months Ended March 31,</w:t>
            </w: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2018</w:t>
            </w:r>
          </w:p>
        </w:tc>
        <w:tc>
          <w:tcPr>
            <w:tcW w:w="3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4"/>
              <w:spacing w:after="0" w:line="162" w:lineRule="exact"/>
              <w:rPr>
                <w:sz w:val="20"/>
                <w:szCs w:val="20"/>
                <w:color w:val="auto"/>
              </w:rPr>
            </w:pPr>
            <w:r>
              <w:rPr>
                <w:rFonts w:ascii="Arial" w:cs="Arial" w:eastAsia="Arial" w:hAnsi="Arial"/>
                <w:sz w:val="15"/>
                <w:szCs w:val="15"/>
                <w:b w:val="1"/>
                <w:bCs w:val="1"/>
                <w:color w:val="auto"/>
                <w:w w:val="83"/>
              </w:rPr>
              <w:t>2017</w:t>
            </w:r>
          </w:p>
        </w:tc>
        <w:tc>
          <w:tcPr>
            <w:tcW w:w="140" w:type="dxa"/>
            <w:vAlign w:val="bottom"/>
          </w:tcPr>
          <w:p>
            <w:pPr>
              <w:spacing w:after="0"/>
              <w:rPr>
                <w:sz w:val="14"/>
                <w:szCs w:val="14"/>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i w:val="1"/>
                <w:iCs w:val="1"/>
                <w:color w:val="auto"/>
                <w:w w:val="87"/>
              </w:rPr>
              <w:t>(in thousands)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Foreign</w:t>
            </w:r>
          </w:p>
        </w:tc>
        <w:tc>
          <w:tcPr>
            <w:tcW w:w="7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income tax expense</w:t>
            </w:r>
          </w:p>
        </w:tc>
        <w:tc>
          <w:tcPr>
            <w:tcW w:w="7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 state</w:t>
            </w:r>
          </w:p>
        </w:tc>
        <w:tc>
          <w:tcPr>
            <w:tcW w:w="7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deferred income tax expense</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(781)</w:t>
            </w: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income tax expense</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On December 22, 2017, the 2017 Tax Cuts and Jobs Act, or the Tax Act, was enacted into law. The new legislation contains several key tax provisions that affect us, including a one-time mandatory transition tax on accumulated foreign earnings and a reduction of the corporate income tax rate to 21% effective January 1, 2018. Due to the timing of the enactment and the complexity involved in applying the provisions of the Tax Act, we made reasonable estimates of the effects and recorded provisional amounts in our financial statements as of December 31, 2017.</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we collect and prepare necessary data, and interpret the Tax Act and any additional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the first three months of 2018. The accounting for the tax effects of the Tax Act will be completed later in 2018.</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Chinese income tax purpose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with an effective period of three years.</w:t>
      </w:r>
    </w:p>
    <w:p>
      <w:pPr>
        <w:spacing w:after="0" w:line="10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color w:val="auto"/>
        </w:rPr>
        <w:t>Liquidity and Capital Resources</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first three months of 2018, we funded our technology development and operations principally through application of proceeds from the IPO and concurrent private placements in November 2017 and, to a lesser extent, from short-term borrowings by ACM Shanghai from local financial institutions. During the three-month period, our operations used cash flow of $7.4 million and we did not received research and development grants from local and central PRC governmental authorities.</w:t>
      </w:r>
    </w:p>
    <w:p>
      <w:pPr>
        <w:spacing w:after="0" w:line="13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believe our existing cash and cash equivalents (including our net proceeds of the IPO and the concurrent private placements),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we may need to raise additional funds through additional bank credit arrangements or public or private debt or equity financings. We also may need to raise additional funds in the event we determine in the future to effect one or more acquisitions of businesses, technologies and products. If additional funding is required, we may not be able to obtain bank credit arrangements or to affect an equity or debt financing on terms acceptable to us or at all.</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Funds</w:t>
      </w:r>
    </w:p>
    <w:p>
      <w:pPr>
        <w:spacing w:after="0" w:line="1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Equity and Equity-Related Securities. </w:t>
      </w:r>
      <w:r>
        <w:rPr>
          <w:rFonts w:ascii="Arial" w:cs="Arial" w:eastAsia="Arial" w:hAnsi="Arial"/>
          <w:sz w:val="18"/>
          <w:szCs w:val="18"/>
          <w:color w:val="auto"/>
        </w:rPr>
        <w:t>During the first three months of 2018, we received proceeds of $62,000 from sales of common stock pursuant to option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ACM Shanghai is a party to lines of credit with three banks,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Annual</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8"/>
              </w:rPr>
              <w:t>Interest</w:t>
            </w:r>
          </w:p>
        </w:tc>
        <w:tc>
          <w:tcPr>
            <w:tcW w:w="14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4"/>
              </w:rPr>
              <w:t>Maximum Borrowing</w:t>
            </w:r>
          </w:p>
        </w:tc>
        <w:tc>
          <w:tcPr>
            <w:tcW w:w="20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2"/>
              </w:rPr>
              <w:t>Amount Outstanding at</w:t>
            </w:r>
          </w:p>
        </w:tc>
      </w:tr>
      <w:tr>
        <w:trPr>
          <w:trHeight w:val="182"/>
        </w:trPr>
        <w:tc>
          <w:tcPr>
            <w:tcW w:w="3100" w:type="dxa"/>
            <w:vAlign w:val="bottom"/>
            <w:tcBorders>
              <w:bottom w:val="single" w:sz="8" w:color="auto"/>
            </w:tcBorders>
          </w:tcPr>
          <w:p>
            <w:pPr>
              <w:ind w:left="1320"/>
              <w:spacing w:after="0"/>
              <w:rPr>
                <w:sz w:val="20"/>
                <w:szCs w:val="20"/>
                <w:color w:val="auto"/>
              </w:rPr>
            </w:pPr>
            <w:r>
              <w:rPr>
                <w:rFonts w:ascii="Arial" w:cs="Arial" w:eastAsia="Arial" w:hAnsi="Arial"/>
                <w:sz w:val="15"/>
                <w:szCs w:val="15"/>
                <w:b w:val="1"/>
                <w:bCs w:val="1"/>
                <w:color w:val="auto"/>
              </w:rPr>
              <w:t>Lender</w:t>
            </w:r>
          </w:p>
        </w:tc>
        <w:tc>
          <w:tcPr>
            <w:tcW w:w="240" w:type="dxa"/>
            <w:vAlign w:val="bottom"/>
          </w:tcPr>
          <w:p>
            <w:pPr>
              <w:spacing w:after="0"/>
              <w:rPr>
                <w:sz w:val="15"/>
                <w:szCs w:val="15"/>
                <w:color w:val="auto"/>
              </w:rPr>
            </w:pPr>
          </w:p>
        </w:tc>
        <w:tc>
          <w:tcPr>
            <w:tcW w:w="160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Agreement Date</w:t>
            </w:r>
          </w:p>
        </w:tc>
        <w:tc>
          <w:tcPr>
            <w:tcW w:w="220" w:type="dxa"/>
            <w:vAlign w:val="bottom"/>
          </w:tcPr>
          <w:p>
            <w:pPr>
              <w:spacing w:after="0"/>
              <w:rPr>
                <w:sz w:val="15"/>
                <w:szCs w:val="15"/>
                <w:color w:val="auto"/>
              </w:rPr>
            </w:pPr>
          </w:p>
        </w:tc>
        <w:tc>
          <w:tcPr>
            <w:tcW w:w="172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Maturity Date</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Rate</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Amount(1)</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March 31, 2018(1)</w:t>
            </w: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i w:val="1"/>
                <w:iCs w:val="1"/>
                <w:color w:val="auto"/>
              </w:rPr>
              <w:t>(in</w:t>
            </w:r>
          </w:p>
        </w:tc>
        <w:tc>
          <w:tcPr>
            <w:tcW w:w="1800" w:type="dxa"/>
            <w:vAlign w:val="bottom"/>
            <w:gridSpan w:val="2"/>
          </w:tcPr>
          <w:p>
            <w:pPr>
              <w:jc w:val="right"/>
              <w:ind w:right="1056"/>
              <w:spacing w:after="0"/>
              <w:rPr>
                <w:sz w:val="20"/>
                <w:szCs w:val="20"/>
                <w:color w:val="auto"/>
              </w:rPr>
            </w:pPr>
            <w:r>
              <w:rPr>
                <w:rFonts w:ascii="Arial" w:cs="Arial" w:eastAsia="Arial" w:hAnsi="Arial"/>
                <w:sz w:val="18"/>
                <w:szCs w:val="18"/>
                <w:i w:val="1"/>
                <w:iCs w:val="1"/>
                <w:color w:val="auto"/>
                <w:w w:val="71"/>
              </w:rPr>
              <w:t>thousands)</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Bank of China Pudong Branch</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August 2017</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September 2018</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RMB30,000</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RMB20,000</w:t>
            </w:r>
          </w:p>
        </w:tc>
      </w:tr>
      <w:tr>
        <w:trPr>
          <w:trHeight w:val="216"/>
        </w:trPr>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8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$3,180</w:t>
            </w:r>
          </w:p>
        </w:tc>
      </w:tr>
      <w:tr>
        <w:trPr>
          <w:trHeight w:val="208"/>
        </w:trPr>
        <w:tc>
          <w:tcPr>
            <w:tcW w:w="3100" w:type="dxa"/>
            <w:vAlign w:val="bottom"/>
          </w:tcPr>
          <w:p>
            <w:pPr>
              <w:spacing w:after="0"/>
              <w:rPr>
                <w:sz w:val="20"/>
                <w:szCs w:val="20"/>
                <w:color w:val="auto"/>
              </w:rPr>
            </w:pPr>
            <w:r>
              <w:rPr>
                <w:rFonts w:ascii="Arial" w:cs="Arial" w:eastAsia="Arial" w:hAnsi="Arial"/>
                <w:sz w:val="18"/>
                <w:szCs w:val="18"/>
                <w:color w:val="auto"/>
              </w:rPr>
              <w:t>Bank of Shanghai Pudong Branch</w:t>
            </w:r>
          </w:p>
        </w:tc>
        <w:tc>
          <w:tcPr>
            <w:tcW w:w="2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August 2017</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September 2018</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RMB25,000</w:t>
            </w:r>
          </w:p>
        </w:tc>
        <w:tc>
          <w:tcPr>
            <w:tcW w:w="200" w:type="dxa"/>
            <w:vAlign w:val="bottom"/>
          </w:tcPr>
          <w:p>
            <w:pPr>
              <w:spacing w:after="0"/>
              <w:rPr>
                <w:sz w:val="18"/>
                <w:szCs w:val="18"/>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RM20,260</w:t>
            </w:r>
          </w:p>
        </w:tc>
      </w:tr>
      <w:tr>
        <w:trPr>
          <w:trHeight w:val="222"/>
        </w:trPr>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$3,975</w:t>
            </w:r>
          </w:p>
        </w:tc>
        <w:tc>
          <w:tcPr>
            <w:tcW w:w="1800" w:type="dxa"/>
            <w:vAlign w:val="bottom"/>
            <w:gridSpan w:val="2"/>
          </w:tcPr>
          <w:p>
            <w:pPr>
              <w:jc w:val="right"/>
              <w:ind w:right="16"/>
              <w:spacing w:after="0"/>
              <w:rPr>
                <w:sz w:val="20"/>
                <w:szCs w:val="20"/>
                <w:color w:val="auto"/>
              </w:rPr>
            </w:pPr>
            <w:r>
              <w:rPr>
                <w:rFonts w:ascii="Arial" w:cs="Arial" w:eastAsia="Arial" w:hAnsi="Arial"/>
                <w:sz w:val="18"/>
                <w:szCs w:val="18"/>
                <w:color w:val="auto"/>
              </w:rPr>
              <w:t>$3,221</w:t>
            </w:r>
          </w:p>
        </w:tc>
      </w:tr>
      <w:tr>
        <w:trPr>
          <w:trHeight w:val="218"/>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Shanghai Rural Commercial Bank</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November 2018</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RMB15,000</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RM15,000</w:t>
            </w:r>
          </w:p>
        </w:tc>
      </w:tr>
      <w:tr>
        <w:trPr>
          <w:trHeight w:val="216"/>
        </w:trPr>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─January 2019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8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$2,385</w:t>
            </w:r>
          </w:p>
        </w:tc>
      </w:tr>
      <w:tr>
        <w:trPr>
          <w:trHeight w:val="208"/>
        </w:trPr>
        <w:tc>
          <w:tcPr>
            <w:tcW w:w="3100" w:type="dxa"/>
            <w:vAlign w:val="bottom"/>
          </w:tcPr>
          <w:p>
            <w:pPr>
              <w:spacing w:after="0"/>
              <w:rPr>
                <w:sz w:val="20"/>
                <w:szCs w:val="20"/>
                <w:color w:val="auto"/>
              </w:rPr>
            </w:pPr>
            <w:r>
              <w:rPr>
                <w:rFonts w:ascii="Arial" w:cs="Arial" w:eastAsia="Arial" w:hAnsi="Arial"/>
                <w:sz w:val="18"/>
                <w:szCs w:val="18"/>
                <w:color w:val="auto"/>
              </w:rPr>
              <w:t>Bank of Communications</w:t>
            </w:r>
          </w:p>
        </w:tc>
        <w:tc>
          <w:tcPr>
            <w:tcW w:w="2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November 2017</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December 2018</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RMB10,000</w:t>
            </w:r>
          </w:p>
        </w:tc>
        <w:tc>
          <w:tcPr>
            <w:tcW w:w="200" w:type="dxa"/>
            <w:vAlign w:val="bottom"/>
          </w:tcPr>
          <w:p>
            <w:pPr>
              <w:spacing w:after="0"/>
              <w:rPr>
                <w:sz w:val="18"/>
                <w:szCs w:val="18"/>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RMB10,000</w:t>
            </w: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$1,590</w:t>
            </w:r>
          </w:p>
        </w:tc>
        <w:tc>
          <w:tcPr>
            <w:tcW w:w="1800" w:type="dxa"/>
            <w:vAlign w:val="bottom"/>
            <w:gridSpan w:val="2"/>
          </w:tcPr>
          <w:p>
            <w:pPr>
              <w:jc w:val="right"/>
              <w:ind w:right="16"/>
              <w:spacing w:after="0"/>
              <w:rPr>
                <w:sz w:val="20"/>
                <w:szCs w:val="20"/>
                <w:color w:val="auto"/>
              </w:rPr>
            </w:pPr>
            <w:r>
              <w:rPr>
                <w:rFonts w:ascii="Arial" w:cs="Arial" w:eastAsia="Arial" w:hAnsi="Arial"/>
                <w:sz w:val="18"/>
                <w:szCs w:val="18"/>
                <w:color w:val="auto"/>
              </w:rPr>
              <w:t>$1,590</w:t>
            </w: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RMB70,000</w:t>
            </w:r>
          </w:p>
        </w:tc>
        <w:tc>
          <w:tcPr>
            <w:tcW w:w="200" w:type="dxa"/>
            <w:vAlign w:val="bottom"/>
          </w:tcPr>
          <w:p>
            <w:pPr>
              <w:spacing w:after="0"/>
              <w:rPr>
                <w:sz w:val="18"/>
                <w:szCs w:val="18"/>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RMB65,260</w:t>
            </w:r>
          </w:p>
        </w:tc>
      </w:tr>
      <w:tr>
        <w:trPr>
          <w:trHeight w:val="222"/>
        </w:trPr>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$12,720</w:t>
            </w:r>
          </w:p>
        </w:tc>
        <w:tc>
          <w:tcPr>
            <w:tcW w:w="1800" w:type="dxa"/>
            <w:vAlign w:val="bottom"/>
            <w:gridSpan w:val="2"/>
          </w:tcPr>
          <w:p>
            <w:pPr>
              <w:jc w:val="right"/>
              <w:ind w:right="16"/>
              <w:spacing w:after="0"/>
              <w:rPr>
                <w:sz w:val="20"/>
                <w:szCs w:val="20"/>
                <w:color w:val="auto"/>
              </w:rPr>
            </w:pPr>
            <w:r>
              <w:rPr>
                <w:rFonts w:ascii="Arial" w:cs="Arial" w:eastAsia="Arial" w:hAnsi="Arial"/>
                <w:sz w:val="18"/>
                <w:szCs w:val="18"/>
                <w:color w:val="auto"/>
              </w:rPr>
              <w:t>$10,376</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 Converted from RMB to dollars as of March 31, 2018.</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of the amounts owing under the line of credit with Bank of China Pudong Branch are secured by ACM Shanghai’s intellectual property. All of the amounts owing under the lines of credit with Bank of Shanghai Pudong Branch and Shanghai Rural Commercial Bank are guaranteed by David Wang, our Chair of the Board, Chief Executive Officer and President.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Working Capital</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working capital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March 31,</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w w:val="89"/>
              </w:rPr>
              <w:t>2018</w:t>
            </w:r>
          </w:p>
        </w:tc>
        <w:tc>
          <w:tcPr>
            <w:tcW w:w="14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10180" w:type="dxa"/>
            <w:vAlign w:val="bottom"/>
          </w:tcPr>
          <w:p>
            <w:pPr>
              <w:spacing w:after="0"/>
              <w:rPr>
                <w:sz w:val="20"/>
                <w:szCs w:val="20"/>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i w:val="1"/>
                <w:iCs w:val="1"/>
                <w:color w:val="auto"/>
                <w:w w:val="87"/>
              </w:rPr>
              <w:t>(in thousands)</w:t>
            </w:r>
          </w:p>
        </w:tc>
      </w:tr>
      <w:tr>
        <w:trPr>
          <w:trHeight w:val="218"/>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27,793</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Working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62,844</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and cash equivalents at March 31, 2018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Uses of Funds</w:t>
      </w:r>
    </w:p>
    <w:p>
      <w:pPr>
        <w:spacing w:after="0" w:line="15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i w:val="1"/>
          <w:iCs w:val="1"/>
          <w:color w:val="auto"/>
        </w:rPr>
        <w:t xml:space="preserve">Cash Flow for Operating Activities. </w:t>
      </w:r>
      <w:r>
        <w:rPr>
          <w:rFonts w:ascii="Arial" w:cs="Arial" w:eastAsia="Arial" w:hAnsi="Arial"/>
          <w:sz w:val="16"/>
          <w:szCs w:val="16"/>
          <w:color w:val="auto"/>
        </w:rPr>
        <w:t>Our operations used cash flow of $7.4 million in the first three months of 2018. Our cash flow from operating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is influenced by (a) the amount of cash we invest in personnel and technology development to support anticipated future growth in our business, (b) increases in the number of customers using our products and services, and (c) the amount and timing of payments by customers.</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We estimate that our capital expenditures in 2018 will total approximately $3.2 million. We are not currently party to any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related to future capital expenditures. We incurred $386,000 of capital expenditures in the first three months of 2018. We are not currently party to any purchase contracts related to future capital expenditures.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Contractual Obligations and Requirements</w:t>
      </w:r>
      <w:r>
        <w:rPr>
          <w:rFonts w:ascii="Arial" w:cs="Arial" w:eastAsia="Arial" w:hAnsi="Arial"/>
          <w:sz w:val="18"/>
          <w:szCs w:val="18"/>
          <w:color w:val="auto"/>
        </w:rPr>
        <w:t>. Our contractual obligations and other commercial commitments are summarized in the section captioned</w:t>
      </w:r>
      <w:r>
        <w:rPr>
          <w:rFonts w:ascii="Arial" w:cs="Arial" w:eastAsia="Arial" w:hAnsi="Arial"/>
          <w:sz w:val="18"/>
          <w:szCs w:val="18"/>
          <w:i w:val="1"/>
          <w:iCs w:val="1"/>
          <w:color w:val="auto"/>
        </w:rPr>
        <w:t xml:space="preserve"> </w:t>
      </w:r>
      <w:r>
        <w:rPr>
          <w:rFonts w:ascii="Arial" w:cs="Arial" w:eastAsia="Arial" w:hAnsi="Arial"/>
          <w:sz w:val="18"/>
          <w:szCs w:val="18"/>
          <w:color w:val="auto"/>
        </w:rPr>
        <w:t>“Item 7. Management’s Discussion and Analysis of Financial Condition and Results of Operations—Liquidity and Capital Resources—Contractual Obligations and Requirements” in our Annual Report. Other than changes that occurred in the ordinary course of business, we had no material changes to our contractual obligations reported in our Annual Report during the first three months of 2018. For additional discussion, see note 17 to our condensed consolidated financial statements included elsewhere in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4"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As of March 31, 2018, we did not have any significant off-balance sheet arrangements, as defined in Item 303(a)(4)(ii) of Regulation S-K of the Securities and Exchange Commission, except the operating lease commitment disclosed in the unaudited condensed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164"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Although our financial statements are denominated in U.S. dollars, a sizable portion of our revenues and costs are denominated in other currencies, primarily the Renminbi. The Renminbi is not freely convertible into 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 To date, we have not entered into any hedging transactions in an effort to reduce our exposure to foreign currency exchange 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2018, we had unrestricted cash and cash equivalents totaling $15.2 million. These amounts were held for working capital purposes and were held primarily in checking accounts of various banks. We believe we do not have any material exposure to changes in our cash balance as a result of changes in interest rates. Declines in interest rates, however, would reduce future 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management, with the participation of our chief executive officer and interim chief financial officer, evaluated the effectiveness of our disclosure controls and procedures as of March 31, 2018.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of 1934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Securities Exchange Act of 1934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2018, and due to the material weakness in our internal control over financial reporting described in “Item 1A. Risk Factors—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 in our Annual Report, our chief executive officer and interim chief financial officer concluded that, as of such date, our disclosure controls and procedures over financial reporting were not effective during the three months ended March 31, 2018, as discussed below.</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Changes in Internal Control over Financial Reporting and Remediation Efforts</w:t>
      </w:r>
    </w:p>
    <w:p>
      <w:pPr>
        <w:spacing w:after="0" w:line="164"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During the three months ended March 31, 2018, no changes, other than those in conjunction with certain remediation efforts described below, were identified to our internal control over financial reporting that materially affected, or were reasonably likely to materially affect, our internal control over financial reporting.</w:t>
      </w:r>
    </w:p>
    <w:p>
      <w:pPr>
        <w:spacing w:after="0" w:line="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its audits of our consolidated financial statements as of, and for the year ended, December 31, 2017, BDO China Shu Lun Pan Certified Public Accountants LLP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GAAP and to prepare and review our consolidated financial statements and related disclosures to fulfill GAAP and Securities and Exchange Commission financial reporting requirements.</w:t>
      </w:r>
    </w:p>
    <w:p>
      <w:pPr>
        <w:spacing w:after="0" w:line="19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the three months ended March 31, 2018, we hired additional accounting and finance personnel and engaged outside consulting firms in order to improve our internal control over the financial reporting process. We will continue to monitor the effectiveness of our internal control over financial reporting and will seek to employ any additional tools and resources deemed necessary to enhance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Investing in Class A common stock involves a high degree of risk. You should consider and read carefully all of the information contained in this report, including the consolidated financial statements and related notes set forth in “Item 1. Financial Statements” of Part I above, before making an investment decision. You should also review carefully the risk factors discussed in “Item 1A. Risk Factors” in our Annual Report. There have been no material changes to those risk factors since the filing of our Annual Report with the Securities and Exchange Commission on March 23, 2018. The occurrence of any of the risks described in our Annual Report,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January 2018 we issued and sold to an employee an aggregate of 22,915 unregistered shares of Class A common stock upon the exercise of stock options at a per share exercise price of $1.50. This transaction did not involve any underwriters, underwriting discounts or commissions, or any public offering. We believe the offer, sale and issuance of these shares was exempt from registration under the Securities Act of 1933 by virtue of Section 4(a)(2) thereof (or Regulation D promulgated thereunder) because the issuance of securities to the recipient did not involve a public offering, or in reliance on Rule 701 because the transaction was pursuant to a contract relating to compensation as provided under such rule. The recipient of the shares represented his intentions to acquire the securities for investment only and not with a view to or for sale in connection with any distribution thereof, and appropriate legends were placed upon the shares issued in these transactions. The recipient had adequate access, through a relationship with us, to information about us. The sales of these shares were made without any general solicitation or advertising.</w:t>
      </w:r>
    </w:p>
    <w:p>
      <w:pPr>
        <w:spacing w:after="0" w:line="17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March 2018 we agreed to issue 397,502 shares of Class A common stock pursuant to an exercise of a warrant in exchange for a senior secured promissory note in the principal amount of approximately $3 million, as described above under “Item 2. Management’s Discussion and Analysis of Financial Condition and Results of Operations—Recent Equity Transactions─Issuance and Subsequent Exercise of Warrant.” This transaction did not involve any underwriters, underwriting discounts or commissions or any public offering. We believe the offers, sales and issuance of these shares was exempt from registration under the Securities Act of 1933 by virtue of Section 4(a)(2) thereof because the issuance of securities to the recipients did not involve a public offering. SMC, the recipient of the shares, represented its intentions to acquire the shares for investment only and not with a view to or for sale in connection with any distribution thereof, and appropriate legends were placed upon the stock certificates issued in these transactions. SMC represented that it had adequate access to information about us. The issuance and sale of these shares were made without any general solicitation or advertising.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IPO Proceeds</w:t>
      </w:r>
    </w:p>
    <w:p>
      <w:pPr>
        <w:spacing w:after="0" w:line="1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Registration Statement on Form S-1 (File No. 333- 220451) for the IPO was declared effective by the SEC on November 2, 2017. Shares of Class A common stock began trading on the Nasdaq Global Market on November 3, 2017.</w:t>
      </w:r>
    </w:p>
    <w:p>
      <w:pPr>
        <w:spacing w:after="0" w:line="1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underwriters of the IPO were Roth Capital Partners, LLC, Craig-Hallum Capital Group LLC and The Benchmark Company, LLC. The offering commenced on November 2, 2017 and did not terminate until the sale of all of the shares offered.</w:t>
      </w:r>
    </w:p>
    <w:p>
      <w:pPr>
        <w:spacing w:after="0" w:line="11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paid to the underwriters of the IPO underwriting discounts and commissions totaling $841,036 in connection with the sale of 2,233,000 shares of Class A common stock. In addition, we incurred expenses of $1.9 million which, when added to the underwriting discounts and commissions, amounted to total expenses of $2.7 million. As a result, the IPO net proceeds, after deducting underwriting discounts and commissions and offering expenses, were $17.3 million. No offering expenses were paid directly or indirectly to any of our directors or officers (or their associates) or persons owning 10.0% or more of any class of our equity securities or to any other affiliates.</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has been no material change in the planned use of IPO proceeds from that described in the final prospectus filed with the Securities and Exchange Commission pursuant to Rule 424(b)(4) under the Securities Act of 1933 on November 3, 2017.</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date we have applied $9 million of the proceeds to purchase inventories and $2 million in the ordinary course of business operations.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Exhibit Number</w:t>
            </w:r>
          </w:p>
        </w:tc>
        <w:tc>
          <w:tcPr>
            <w:tcW w:w="120" w:type="dxa"/>
            <w:vAlign w:val="bottom"/>
          </w:tcPr>
          <w:p>
            <w:pPr>
              <w:spacing w:after="0"/>
              <w:rPr>
                <w:sz w:val="15"/>
                <w:szCs w:val="15"/>
                <w:color w:val="auto"/>
              </w:rPr>
            </w:pPr>
          </w:p>
        </w:tc>
        <w:tc>
          <w:tcPr>
            <w:tcW w:w="99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01</w:t>
              </w:r>
            </w:hyperlink>
          </w:p>
        </w:tc>
        <w:tc>
          <w:tcPr>
            <w:tcW w:w="9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Advisory Board Agreement dated May 1, 2016 by and between ACM Research, Inc. and Chenming Hu</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02</w:t>
              </w:r>
            </w:hyperlink>
          </w:p>
        </w:tc>
        <w:tc>
          <w:tcPr>
            <w:tcW w:w="9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w w:val="91"/>
              </w:rPr>
              <w:t>Warrant Exercise Agreement dated March 30, 2018 by and among ACM Research, Inc., ACM Research (Shanghai), Inc., and Shengxin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(Shanghai) Management Consulting Limited Partnership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shd w:val="clear" w:color="auto" w:fill="CCEEFF"/>
          </w:tcPr>
          <w:p>
            <w:pPr>
              <w:spacing w:after="0" w:line="177"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03</w:t>
              </w:r>
            </w:hyperlink>
          </w:p>
        </w:tc>
        <w:tc>
          <w:tcPr>
            <w:tcW w:w="98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CCEEFF"/>
            </w:tcBorders>
            <w:gridSpan w:val="2"/>
            <w:shd w:val="clear" w:color="auto" w:fill="CCEEFF"/>
          </w:tcPr>
          <w:p>
            <w:pPr>
              <w:ind w:left="120"/>
              <w:spacing w:after="0" w:line="177" w:lineRule="exact"/>
              <w:rPr>
                <w:sz w:val="20"/>
                <w:szCs w:val="20"/>
                <w:color w:val="auto"/>
              </w:rPr>
            </w:pPr>
            <w:r>
              <w:rPr>
                <w:rFonts w:ascii="Arial" w:cs="Arial" w:eastAsia="Arial" w:hAnsi="Arial"/>
                <w:sz w:val="18"/>
                <w:szCs w:val="18"/>
                <w:color w:val="auto"/>
                <w:w w:val="91"/>
              </w:rPr>
              <w:t>Senior Secured Promissory Note dated March 30, 2018 issued by Shengxin (Shanghai) Management Consulting Limited Partnership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ACM Research (Shanghai),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04</w:t>
              </w:r>
            </w:hyperlink>
          </w:p>
        </w:tc>
        <w:tc>
          <w:tcPr>
            <w:tcW w:w="980" w:type="dxa"/>
            <w:vAlign w:val="bottom"/>
          </w:tcPr>
          <w:p>
            <w:pPr>
              <w:spacing w:after="0"/>
              <w:rPr>
                <w:sz w:val="15"/>
                <w:szCs w:val="15"/>
                <w:color w:val="auto"/>
              </w:rPr>
            </w:pPr>
          </w:p>
        </w:tc>
        <w:tc>
          <w:tcPr>
            <w:tcW w:w="100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Intercompany Promissory Note dated March 30, 2018 issued by ACM Research (Shanghai), Inc. to ACM Research, Inc.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01</w:t>
              </w:r>
            </w:hyperlink>
          </w:p>
        </w:tc>
        <w:tc>
          <w:tcPr>
            <w:tcW w:w="9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02</w:t>
              </w:r>
            </w:hyperlink>
          </w:p>
        </w:tc>
        <w:tc>
          <w:tcPr>
            <w:tcW w:w="9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01</w:t>
              </w:r>
            </w:hyperlink>
          </w:p>
        </w:tc>
        <w:tc>
          <w:tcPr>
            <w:tcW w:w="9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Certification of Principal Executive Officer and Principal Financial Officer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11, 2018</w:t>
      </w:r>
      <w:r>
        <w:rPr>
          <w:sz w:val="20"/>
          <w:szCs w:val="20"/>
          <w:color w:val="auto"/>
        </w:rPr>
        <w:tab/>
      </w:r>
      <w:r>
        <w:rPr>
          <w:rFonts w:ascii="Arial" w:cs="Arial" w:eastAsia="Arial" w:hAnsi="Arial"/>
          <w:sz w:val="16"/>
          <w:szCs w:val="16"/>
          <w:color w:val="auto"/>
        </w:rPr>
        <w:t>By: /s/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Accounting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15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157" w:lineRule="exact"/>
        <w:rPr>
          <w:rFonts w:ascii="Arial" w:cs="Arial" w:eastAsia="Arial" w:hAnsi="Arial"/>
          <w:sz w:val="18"/>
          <w:szCs w:val="18"/>
          <w:color w:val="auto"/>
        </w:rPr>
      </w:pPr>
    </w:p>
    <w:p>
      <w:pPr>
        <w:ind w:left="340" w:hanging="332"/>
        <w:spacing w:after="0" w:line="370" w:lineRule="auto"/>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left="340" w:hanging="332"/>
        <w:spacing w:after="0" w:line="26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660" w:hanging="328"/>
        <w:spacing w:after="0" w:line="332"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Dated: May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Lisa Feng, certify that:</w:t>
      </w:r>
    </w:p>
    <w:p>
      <w:pPr>
        <w:spacing w:after="0" w:line="15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157" w:lineRule="exact"/>
        <w:rPr>
          <w:rFonts w:ascii="Arial" w:cs="Arial" w:eastAsia="Arial" w:hAnsi="Arial"/>
          <w:sz w:val="18"/>
          <w:szCs w:val="18"/>
          <w:color w:val="auto"/>
        </w:rPr>
      </w:pPr>
    </w:p>
    <w:p>
      <w:pPr>
        <w:ind w:left="340" w:hanging="332"/>
        <w:spacing w:after="0" w:line="370"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left="340" w:hanging="33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660" w:hanging="328"/>
        <w:spacing w:after="0" w:line="332"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Dated: May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Interim Chief Financial Officer, Chief Accounting Officer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Treasurer(Principal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32.01</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 SECTION 906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ACM Research, Inc. for the quarterly period ended March 31, 2018, as filed with the Securities and Exchange Commission on the date hereof (the “Report”), each of the undersigned certifies, pursuant to 18 U.S.C. 1350, as adopted pursuant to Section 906 of the Sarbanes-Oxley Act of 2002, that, to his or her knowledge:</w:t>
      </w:r>
    </w:p>
    <w:p>
      <w:pPr>
        <w:spacing w:after="0" w:line="12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ACM Research, Inc.</w:t>
      </w:r>
    </w:p>
    <w:p>
      <w:pPr>
        <w:spacing w:after="0" w:line="181"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Dated: May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Dated: May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Interim Chief Financial Officer, Chief Accounting Officer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Treasurer(Principal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BOARD AGREEMENT</w:t>
      </w:r>
    </w:p>
    <w:p>
      <w:pPr>
        <w:spacing w:after="0" w:line="15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THIS ADVISORY BOARD AGREEMENT </w:t>
      </w:r>
      <w:r>
        <w:rPr>
          <w:rFonts w:ascii="Arial" w:cs="Arial" w:eastAsia="Arial" w:hAnsi="Arial"/>
          <w:sz w:val="18"/>
          <w:szCs w:val="18"/>
          <w:color w:val="auto"/>
        </w:rPr>
        <w:t>is made effective as of May 1st, 2016, (the “Effective Date”) by and between ACM Research, Inc., a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U.S.A. corporation (the “Company”), and Prof. Chenming Hu (the “Advisor”).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Company desires to obtain the services of Advisor to serve on the Company’s Board of Advisors (the “AB”), and the Advisor desires to serve on the AB,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and conditions.</w:t>
      </w:r>
    </w:p>
    <w:p>
      <w:pPr>
        <w:spacing w:after="0" w:line="106"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Company has spent significant time, effort, and money to develop certain Proprietary Information (as defined below), which Company considers vital to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goodwill.</w:t>
      </w:r>
    </w:p>
    <w:p>
      <w:pPr>
        <w:spacing w:after="0" w:line="11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 The Proprietary Information may necessarily be communicated to or received by Advisor in the course of serving on the AB for the Company, and Company desires to obtain the Services of Advisor, only if, in doing so, it can protect its Proprietary Information and goodwill.</w:t>
      </w:r>
    </w:p>
    <w:p>
      <w:pPr>
        <w:spacing w:after="0" w:line="11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 Company does not, however, desire to receive from Advisor, or for Advisor to either induce the use of or use in connection with the performance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any information which is confidential to or ownership of which resides in a third party, whether acquired either prior to or subsequent to Advisor’s retention 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the parties hereto hereby agree as follows:</w:t>
      </w:r>
    </w:p>
    <w:p>
      <w:pPr>
        <w:spacing w:after="0" w:line="185" w:lineRule="exact"/>
        <w:rPr>
          <w:sz w:val="20"/>
          <w:szCs w:val="20"/>
          <w:color w:val="auto"/>
        </w:rPr>
      </w:pPr>
    </w:p>
    <w:p>
      <w:pPr>
        <w:ind w:right="240" w:firstLine="8"/>
        <w:spacing w:after="0" w:line="339" w:lineRule="auto"/>
        <w:tabs>
          <w:tab w:leader="none" w:pos="382"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Advisory Board Member</w:t>
      </w:r>
      <w:r>
        <w:rPr>
          <w:rFonts w:ascii="Arial" w:cs="Arial" w:eastAsia="Arial" w:hAnsi="Arial"/>
          <w:sz w:val="16"/>
          <w:szCs w:val="16"/>
          <w:color w:val="auto"/>
        </w:rPr>
        <w:t>. Company hereby retains Advisor to serve on its Advisory Board. The term of this Agreement (the “Term”) shall be the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on the Effective Date and terminating upon ten (10) calendar days prior written notice delivered by either party to the other for any reason.</w:t>
      </w:r>
    </w:p>
    <w:p>
      <w:pPr>
        <w:spacing w:after="0" w:line="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Upon any termination of the Services as provided in the preceding sentence, this Agreement shall terminate except that the provisions set forth in Sections 2.b, 4 and 6 of this Agreement shall survive such termination.</w:t>
      </w:r>
    </w:p>
    <w:p>
      <w:pPr>
        <w:spacing w:after="0" w:line="139"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Position, Duties, Responsibilities</w:t>
      </w:r>
      <w:r>
        <w:rPr>
          <w:rFonts w:ascii="Arial" w:cs="Arial" w:eastAsia="Arial" w:hAnsi="Arial"/>
          <w:sz w:val="18"/>
          <w:szCs w:val="18"/>
          <w:color w:val="auto"/>
        </w:rPr>
        <w:t>.</w:t>
      </w:r>
    </w:p>
    <w:p>
      <w:pPr>
        <w:spacing w:after="0" w:line="185" w:lineRule="exact"/>
        <w:rPr>
          <w:sz w:val="20"/>
          <w:szCs w:val="20"/>
          <w:color w:val="auto"/>
        </w:rPr>
      </w:pPr>
    </w:p>
    <w:p>
      <w:pPr>
        <w:ind w:right="60" w:firstLine="8"/>
        <w:spacing w:after="0" w:line="258" w:lineRule="auto"/>
        <w:tabs>
          <w:tab w:leader="none" w:pos="34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r>
        <w:rPr>
          <w:rFonts w:ascii="Arial" w:cs="Arial" w:eastAsia="Arial" w:hAnsi="Arial"/>
          <w:sz w:val="18"/>
          <w:szCs w:val="18"/>
          <w:color w:val="auto"/>
        </w:rPr>
        <w:t>. Advisor shall perform those services (“Services”) as reasonably requested by the Company from time to time, including but not limited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described on Exhibit A attached hereto. Advisor shall devote Advisor’s commercially reasonable efforts and attention to the performance of the Services for the Company on a timely basis. Advisor shall also make himself available to answer questions, provide advice and provide Services to the Company upon reasonable request and notice from the Company.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200" w:firstLine="8"/>
        <w:spacing w:after="0" w:line="339" w:lineRule="auto"/>
        <w:tabs>
          <w:tab w:leader="none" w:pos="358"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Independent Contractor; No Conflict</w:t>
      </w:r>
      <w:r>
        <w:rPr>
          <w:rFonts w:ascii="Arial" w:cs="Arial" w:eastAsia="Arial" w:hAnsi="Arial"/>
          <w:sz w:val="16"/>
          <w:szCs w:val="16"/>
          <w:color w:val="auto"/>
        </w:rPr>
        <w:t>. It is understood and agreed, and it is the intention of the parties hereto, that Advisor is an independent contractor,</w:t>
      </w:r>
      <w:r>
        <w:rPr>
          <w:rFonts w:ascii="Arial" w:cs="Arial" w:eastAsia="Arial" w:hAnsi="Arial"/>
          <w:sz w:val="16"/>
          <w:szCs w:val="16"/>
          <w:b w:val="1"/>
          <w:bCs w:val="1"/>
          <w:color w:val="auto"/>
        </w:rPr>
        <w:t xml:space="preserve"> </w:t>
      </w:r>
      <w:r>
        <w:rPr>
          <w:rFonts w:ascii="Arial" w:cs="Arial" w:eastAsia="Arial" w:hAnsi="Arial"/>
          <w:sz w:val="16"/>
          <w:szCs w:val="16"/>
          <w:color w:val="auto"/>
        </w:rPr>
        <w:t>and not the employee, agent, joint venturer, or partner of Company for any purposes whatsoever. Advisor is skilled in providing the Services,</w:t>
      </w:r>
    </w:p>
    <w:p>
      <w:pPr>
        <w:spacing w:after="0" w:line="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 the extent necessary, Advisor shall be solely responsible for any and all taxes related to the receipt of any compensation under this Agreement. Advisor hereby represents, warrants and covenants that Advisor has the right, power and authority to enter into this Agreement and that neither the execution nor delivery of this Agreement, nor the performance of the Services by Advisor will conflict with or result in a breach of the terms, conditions or provisions of, or constitute a default under, any contract, covenant or instrument under which Advisor is now or hereinafter becomes obligated.</w:t>
      </w:r>
    </w:p>
    <w:p>
      <w:pPr>
        <w:spacing w:after="0" w:line="9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Advisor further warrants and represents that he has not relied upon nor will relay upon the Company or any of its officers, directors, attorneys, employees. agents and other representatives for any tax advice and that Advisor has his/her own professional advisors for all legal and tax matters.</w:t>
      </w:r>
    </w:p>
    <w:p>
      <w:pPr>
        <w:spacing w:after="0" w:line="93"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Benefits, Expenses.</w:t>
      </w:r>
    </w:p>
    <w:p>
      <w:pPr>
        <w:spacing w:after="0" w:line="185" w:lineRule="exact"/>
        <w:rPr>
          <w:sz w:val="20"/>
          <w:szCs w:val="20"/>
          <w:color w:val="auto"/>
        </w:rPr>
      </w:pPr>
    </w:p>
    <w:p>
      <w:pPr>
        <w:ind w:right="180" w:firstLine="8"/>
        <w:spacing w:after="0" w:line="275" w:lineRule="auto"/>
        <w:tabs>
          <w:tab w:leader="none" w:pos="348"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As full and complete consideration of the Services to be rendered hereunder, the Company shall pay Advisor the Compensation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on Exhibit A attached hereto.</w:t>
      </w:r>
    </w:p>
    <w:p>
      <w:pPr>
        <w:spacing w:after="0" w:line="133" w:lineRule="exact"/>
        <w:rPr>
          <w:rFonts w:ascii="Arial" w:cs="Arial" w:eastAsia="Arial" w:hAnsi="Arial"/>
          <w:sz w:val="18"/>
          <w:szCs w:val="18"/>
          <w:b w:val="1"/>
          <w:bCs w:val="1"/>
          <w:color w:val="auto"/>
        </w:rPr>
      </w:pPr>
    </w:p>
    <w:p>
      <w:pPr>
        <w:ind w:right="20" w:firstLine="8"/>
        <w:spacing w:after="0" w:line="296" w:lineRule="auto"/>
        <w:tabs>
          <w:tab w:leader="none" w:pos="358"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Reimbursement of Expenses</w:t>
      </w:r>
      <w:r>
        <w:rPr>
          <w:rFonts w:ascii="Arial" w:cs="Arial" w:eastAsia="Arial" w:hAnsi="Arial"/>
          <w:sz w:val="16"/>
          <w:szCs w:val="16"/>
          <w:color w:val="auto"/>
        </w:rPr>
        <w:t>. Company shall promptly reimburse Advisor for any reasonable costs and expenses incurred by Advisor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Services specifically requested by Company and actually performed by Advisor pursuant to the terms of this Agreement. Each such expenditure or cost shall be reimbursed only if: (i) with respect to costs in excess of $100, individually, Advisor receives prior approval from the Company’s CEO or CFO or other executive for such expenditure or cost, and (ii) with respect to costs in less than $100, individually, provided Advisor furnishes to Company adequate records and other documents reasonably acceptable to Company evidencing such expenditure or cost.</w:t>
      </w:r>
    </w:p>
    <w:p>
      <w:pPr>
        <w:spacing w:after="0" w:line="121"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 Work Product; Non-Disclosure</w:t>
      </w:r>
      <w:r>
        <w:rPr>
          <w:rFonts w:ascii="Arial" w:cs="Arial" w:eastAsia="Arial" w:hAnsi="Arial"/>
          <w:sz w:val="18"/>
          <w:szCs w:val="18"/>
          <w:color w:val="auto"/>
        </w:rPr>
        <w:t>.</w:t>
      </w:r>
    </w:p>
    <w:p>
      <w:pPr>
        <w:spacing w:after="0" w:line="185" w:lineRule="exact"/>
        <w:rPr>
          <w:sz w:val="20"/>
          <w:szCs w:val="20"/>
          <w:color w:val="auto"/>
        </w:rPr>
      </w:pPr>
    </w:p>
    <w:p>
      <w:pPr>
        <w:ind w:firstLine="8"/>
        <w:spacing w:after="0" w:line="288" w:lineRule="auto"/>
        <w:tabs>
          <w:tab w:leader="none" w:pos="348"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Defined</w:t>
      </w:r>
      <w:r>
        <w:rPr>
          <w:rFonts w:ascii="Arial" w:cs="Arial" w:eastAsia="Arial" w:hAnsi="Arial"/>
          <w:sz w:val="16"/>
          <w:szCs w:val="16"/>
          <w:color w:val="auto"/>
        </w:rPr>
        <w:t>. Company has conceived, developed and owns, and continues to conceive and develop, certain property rights and information, including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its business plans and objectives, client and customer information, financial projections, marketing plans, marketing materials, logos, and designs, and technical data, inventions, processes, know-how, algorithms, formulae, franchises, databases, computer programs, computer software, user interfaces, source codes, object codes, architectures and structures, display screens, layouts, development tools and instructions, templates, and other trade secrets, intangible assets and industrial or proprietary property rights which may or may not be related directly or indirectly to Company’s software business and all documentation, media or other tangible embodiment of or relating to any of the foregoing and all proprietary rights therein of Company (all of which are hereinafter referred to as the “Proprietary Information”). Although certain information may be generally known in the relevant industry, the fact that Company uses it may not be so known. In such instance, the knowledge that Company uses the information would comprise Proprietary Information. Furthermore, the fact that various fragments of information or data may be generally known in the relevant industry does not mean that the manner in which Company combines them, and the results obtained thereby, are known. In such instance, that would also comprise Proprietary Information.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4" w:name="page45"/>
    <w:bookmarkEnd w:id="44"/>
    <w:p>
      <w:pPr>
        <w:ind w:left="-8" w:firstLine="8"/>
        <w:spacing w:after="0" w:line="291" w:lineRule="auto"/>
        <w:tabs>
          <w:tab w:leader="none" w:pos="35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General Restrictions on Use</w:t>
      </w:r>
      <w:r>
        <w:rPr>
          <w:rFonts w:ascii="Arial" w:cs="Arial" w:eastAsia="Arial" w:hAnsi="Arial"/>
          <w:sz w:val="16"/>
          <w:szCs w:val="16"/>
          <w:color w:val="auto"/>
        </w:rPr>
        <w:t>. Advisor agrees to hold all Proprietary Information in confidence and not to, directly or indirectly, disclose, use, copy, publish,</w:t>
      </w:r>
      <w:r>
        <w:rPr>
          <w:rFonts w:ascii="Arial" w:cs="Arial" w:eastAsia="Arial" w:hAnsi="Arial"/>
          <w:sz w:val="16"/>
          <w:szCs w:val="16"/>
          <w:b w:val="1"/>
          <w:bCs w:val="1"/>
          <w:color w:val="auto"/>
        </w:rPr>
        <w:t xml:space="preserve"> </w:t>
      </w:r>
      <w:r>
        <w:rPr>
          <w:rFonts w:ascii="Arial" w:cs="Arial" w:eastAsia="Arial" w:hAnsi="Arial"/>
          <w:sz w:val="16"/>
          <w:szCs w:val="16"/>
          <w:color w:val="auto"/>
        </w:rPr>
        <w:t>summarize, or remove from Company’s premises any Proprietary Information (or remove from the premises any other property of Company), except (i) during the consulting relationship to the extent authorized and necessary to carry out Advisor’s responsibilities under this Agreement, and (ii) after termination of the consulting relationship, only as specifically authorized in writing by Company. Notwithstanding the foregoing, such restrictions shall not apply to: (x) information which Advisor can show was rightfully in Advisor’s possession at the time of disclosure by Company; (y) information which Advisor can show was received from a third party who lawfully developed the information independently of Company or obtained such information from Company under conditions which did not require that it be held in confidence; or (z) information which, at the time of disclosure, is generally available to the public.</w:t>
      </w:r>
    </w:p>
    <w:p>
      <w:pPr>
        <w:spacing w:after="0" w:line="126" w:lineRule="exact"/>
        <w:rPr>
          <w:rFonts w:ascii="Arial" w:cs="Arial" w:eastAsia="Arial" w:hAnsi="Arial"/>
          <w:sz w:val="16"/>
          <w:szCs w:val="16"/>
          <w:b w:val="1"/>
          <w:bCs w:val="1"/>
          <w:color w:val="auto"/>
        </w:rPr>
      </w:pPr>
    </w:p>
    <w:p>
      <w:pPr>
        <w:ind w:left="-8" w:right="100" w:firstLine="8"/>
        <w:spacing w:after="0" w:line="255" w:lineRule="auto"/>
        <w:tabs>
          <w:tab w:leader="none" w:pos="33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Work Product</w:t>
      </w:r>
      <w:r>
        <w:rPr>
          <w:rFonts w:ascii="Arial" w:cs="Arial" w:eastAsia="Arial" w:hAnsi="Arial"/>
          <w:sz w:val="18"/>
          <w:szCs w:val="18"/>
          <w:color w:val="auto"/>
        </w:rPr>
        <w:t>. All Work Product shall be considered work(s) made by Advisor for hire for Company and shall belong exclusively to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designees. If by operation of law, any of the Work Product, including all related intellectual property rights, is not owned in its entirety by Company automatically upon creation thereof, then Advisor agrees to assign, and hereby assigns, to Company and its designees the ownership of such Work Product, including all related intellectual property rights. “Work Product” shall mean any writings (including excel, power point, emails, etc.), programming, documentation, data compilations, reports, and any other media, materials, or other objects produced as a result of Advisor’s work or delivered by Advisor in the course of performing that work.</w:t>
      </w:r>
    </w:p>
    <w:p>
      <w:pPr>
        <w:spacing w:after="0" w:line="152" w:lineRule="exact"/>
        <w:rPr>
          <w:rFonts w:ascii="Arial" w:cs="Arial" w:eastAsia="Arial" w:hAnsi="Arial"/>
          <w:sz w:val="18"/>
          <w:szCs w:val="18"/>
          <w:b w:val="1"/>
          <w:bCs w:val="1"/>
          <w:color w:val="auto"/>
        </w:rPr>
      </w:pPr>
    </w:p>
    <w:p>
      <w:pPr>
        <w:ind w:left="-8" w:right="60" w:firstLine="8"/>
        <w:spacing w:after="0" w:line="310" w:lineRule="auto"/>
        <w:tabs>
          <w:tab w:leader="none" w:pos="35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Incidents and Further Assurances</w:t>
      </w:r>
      <w:r>
        <w:rPr>
          <w:rFonts w:ascii="Arial" w:cs="Arial" w:eastAsia="Arial" w:hAnsi="Arial"/>
          <w:sz w:val="16"/>
          <w:szCs w:val="16"/>
          <w:color w:val="auto"/>
        </w:rPr>
        <w:t>. Company may obtain and hold in its own name copyrights, registrations, and other protection that may be available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Advisor. Advisor agrees to provide any assistance required to perfect such protection. Advisor agrees to take sure further actions and execute and deliver such further agreements and other instruments as Company may reasonably request to give effect to this Section 4.</w:t>
      </w:r>
    </w:p>
    <w:p>
      <w:pPr>
        <w:spacing w:after="0" w:line="110" w:lineRule="exact"/>
        <w:rPr>
          <w:rFonts w:ascii="Arial" w:cs="Arial" w:eastAsia="Arial" w:hAnsi="Arial"/>
          <w:sz w:val="16"/>
          <w:szCs w:val="16"/>
          <w:b w:val="1"/>
          <w:bCs w:val="1"/>
          <w:color w:val="auto"/>
        </w:rPr>
      </w:pPr>
    </w:p>
    <w:p>
      <w:pPr>
        <w:ind w:left="-8" w:right="20" w:firstLine="8"/>
        <w:spacing w:after="0" w:line="293" w:lineRule="auto"/>
        <w:tabs>
          <w:tab w:leader="none" w:pos="33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Proprietary information</w:t>
      </w:r>
      <w:r>
        <w:rPr>
          <w:rFonts w:ascii="Arial" w:cs="Arial" w:eastAsia="Arial" w:hAnsi="Arial"/>
          <w:sz w:val="16"/>
          <w:szCs w:val="16"/>
          <w:color w:val="auto"/>
        </w:rPr>
        <w:t>. Upon termination of this Agreement, Advisor shall upon request by the Company promptly deliver to Company at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sole cost and expense. all drawings, blueprints, manuals, specification documents, documentation, source or object codes, tape discs and any other storage media, letters, notes, notebooks, reports, flowcharts, and all other materials in its possession or under its control relating to the Proprietary Information and/or Services, as well as all other property belonging to Company which is then in Advisor’s possession or under its control. Notwithstanding the foregoing, Advisor shall retain ownership of all works owned by Advisor prior to commencing work for Company hereunder, subject to Company’s nonexclusive, perpetual, paid up right and license to use such works in connection with its use of the Services and any Work Product.</w:t>
      </w:r>
    </w:p>
    <w:p>
      <w:pPr>
        <w:spacing w:after="0" w:line="124" w:lineRule="exact"/>
        <w:rPr>
          <w:rFonts w:ascii="Arial" w:cs="Arial" w:eastAsia="Arial" w:hAnsi="Arial"/>
          <w:sz w:val="16"/>
          <w:szCs w:val="16"/>
          <w:b w:val="1"/>
          <w:bCs w:val="1"/>
          <w:color w:val="auto"/>
        </w:rPr>
      </w:pPr>
    </w:p>
    <w:p>
      <w:pPr>
        <w:ind w:left="-8" w:right="40" w:firstLine="8"/>
        <w:spacing w:after="0" w:line="262" w:lineRule="auto"/>
        <w:tabs>
          <w:tab w:leader="none" w:pos="31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Remedies/Additional Confidentiality Agreements</w:t>
      </w:r>
      <w:r>
        <w:rPr>
          <w:rFonts w:ascii="Arial" w:cs="Arial" w:eastAsia="Arial" w:hAnsi="Arial"/>
          <w:sz w:val="18"/>
          <w:szCs w:val="18"/>
          <w:color w:val="auto"/>
        </w:rPr>
        <w:t>. Nothing in this Section 4 is intended to limit any remedy of Company under applicable state 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law. At the request of Company, Advisor shall also execute Company’s standard “Confidentiality Agreement” or similarly named agreement as such agreement is currently applied to and entered into by Company’s most recent employees.</w:t>
      </w:r>
    </w:p>
    <w:p>
      <w:pPr>
        <w:spacing w:after="0" w:line="200" w:lineRule="exact"/>
        <w:rPr>
          <w:sz w:val="20"/>
          <w:szCs w:val="20"/>
          <w:color w:val="auto"/>
        </w:rPr>
      </w:pP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45" w:name="page46"/>
    <w:bookmarkEnd w:id="45"/>
    <w:p>
      <w:pPr>
        <w:ind w:left="-8" w:right="80" w:firstLine="8"/>
        <w:spacing w:after="0" w:line="255" w:lineRule="auto"/>
        <w:tabs>
          <w:tab w:leader="none" w:pos="38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Non-Compete</w:t>
      </w:r>
      <w:r>
        <w:rPr>
          <w:rFonts w:ascii="Arial" w:cs="Arial" w:eastAsia="Arial" w:hAnsi="Arial"/>
          <w:sz w:val="18"/>
          <w:szCs w:val="18"/>
          <w:color w:val="auto"/>
        </w:rPr>
        <w:t>. During the Term, Advisor shall provide the Company with prior written notice if Consultant intends to provide any services,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consultant or otherwise, to any person, company or entity that competes directly with the Company, which written notice shall include the name of the competitor. During the period that is six (6) months after the termination of this Agreement, Advisor shall provide the Company with written notice any time that Advisor provides any services, as an employee, consultant or otherwise, to any person, company or entity that competes directly with the Company. Notwithstanding anything to the contrary contained herein, Company hereby consents to Consultant providing services, as an employee, consultant or otherwise, to the following companies.</w:t>
      </w:r>
    </w:p>
    <w:p>
      <w:pPr>
        <w:spacing w:after="0" w:line="152" w:lineRule="exact"/>
        <w:rPr>
          <w:rFonts w:ascii="Arial" w:cs="Arial" w:eastAsia="Arial" w:hAnsi="Arial"/>
          <w:sz w:val="18"/>
          <w:szCs w:val="18"/>
          <w:b w:val="1"/>
          <w:bCs w:val="1"/>
          <w:color w:val="auto"/>
        </w:rPr>
      </w:pPr>
    </w:p>
    <w:p>
      <w:pPr>
        <w:ind w:left="392" w:hanging="392"/>
        <w:spacing w:after="0"/>
        <w:tabs>
          <w:tab w:leader="none" w:pos="3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85" w:lineRule="exact"/>
        <w:rPr>
          <w:sz w:val="20"/>
          <w:szCs w:val="20"/>
          <w:color w:val="auto"/>
        </w:rPr>
      </w:pPr>
    </w:p>
    <w:p>
      <w:pPr>
        <w:ind w:left="-8" w:firstLine="8"/>
        <w:spacing w:after="0" w:line="258" w:lineRule="auto"/>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required under this Agreement shall be deemed to have been given or made for all purposes upon receipt of such written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Notices to each party shall be sent to the address set forth below the party’s signature on the signature page of this Agreement. Either party hereto may change the address to which such communications are to be directed by giving written notice to the other party hereto of such change in the manner provided above.</w:t>
      </w:r>
    </w:p>
    <w:p>
      <w:pPr>
        <w:spacing w:after="0" w:line="149" w:lineRule="exact"/>
        <w:rPr>
          <w:rFonts w:ascii="Arial" w:cs="Arial" w:eastAsia="Arial" w:hAnsi="Arial"/>
          <w:sz w:val="18"/>
          <w:szCs w:val="18"/>
          <w:b w:val="1"/>
          <w:bCs w:val="1"/>
          <w:color w:val="auto"/>
        </w:rPr>
      </w:pPr>
    </w:p>
    <w:p>
      <w:pPr>
        <w:ind w:left="-8" w:right="120" w:firstLine="8"/>
        <w:spacing w:after="0" w:line="258" w:lineRule="auto"/>
        <w:tabs>
          <w:tab w:leader="none" w:pos="35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and any documents attached hereto as Exhibits constitute the entire agreement and understanding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subject matter herein and therein, and supersede and replace any and all prior agreements and understandings, whether oral or written with respect to such matters. The provisions of this Agreement may be waived, altered, amended or replaced in whole or in part only upon the written consent of both parties to this Agreement.</w:t>
      </w:r>
    </w:p>
    <w:p>
      <w:pPr>
        <w:spacing w:after="0" w:line="149" w:lineRule="exact"/>
        <w:rPr>
          <w:rFonts w:ascii="Arial" w:cs="Arial" w:eastAsia="Arial" w:hAnsi="Arial"/>
          <w:sz w:val="18"/>
          <w:szCs w:val="18"/>
          <w:b w:val="1"/>
          <w:bCs w:val="1"/>
          <w:color w:val="auto"/>
        </w:rPr>
      </w:pPr>
    </w:p>
    <w:p>
      <w:pPr>
        <w:ind w:left="-8" w:right="40" w:firstLine="8"/>
        <w:spacing w:after="0" w:line="339" w:lineRule="auto"/>
        <w:tabs>
          <w:tab w:leader="none" w:pos="33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w:t>
      </w:r>
      <w:r>
        <w:rPr>
          <w:rFonts w:ascii="Arial" w:cs="Arial" w:eastAsia="Arial" w:hAnsi="Arial"/>
          <w:sz w:val="16"/>
          <w:szCs w:val="16"/>
          <w:b w:val="1"/>
          <w:bCs w:val="1"/>
          <w:color w:val="auto"/>
        </w:rPr>
        <w:t xml:space="preserve"> Enforcement</w:t>
      </w:r>
      <w:r>
        <w:rPr>
          <w:rFonts w:ascii="Arial" w:cs="Arial" w:eastAsia="Arial" w:hAnsi="Arial"/>
          <w:sz w:val="16"/>
          <w:szCs w:val="16"/>
          <w:color w:val="auto"/>
        </w:rPr>
        <w:t>. If, for any reason, any provision of this Agreement shall be determined to be invalid or inoperative, the validity and effect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provisions herein shall not be affected thereby, provided that no such severability shall be effective if it causes a material detriment to any party.</w:t>
      </w:r>
    </w:p>
    <w:p>
      <w:pPr>
        <w:spacing w:after="0" w:line="87" w:lineRule="exact"/>
        <w:rPr>
          <w:rFonts w:ascii="Arial" w:cs="Arial" w:eastAsia="Arial" w:hAnsi="Arial"/>
          <w:sz w:val="16"/>
          <w:szCs w:val="16"/>
          <w:b w:val="1"/>
          <w:bCs w:val="1"/>
          <w:color w:val="auto"/>
        </w:rPr>
      </w:pPr>
    </w:p>
    <w:p>
      <w:pPr>
        <w:jc w:val="both"/>
        <w:ind w:left="-8" w:right="60" w:firstLine="8"/>
        <w:spacing w:after="0" w:line="339" w:lineRule="auto"/>
        <w:tabs>
          <w:tab w:leader="none" w:pos="35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The validity, interpretation, enforceability, and performance of this Agreement shall be governed by and construed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California. Venue for any and all disputes arising out of this Agreement shall be the City of Fremont, County of Alameda, State of California.</w:t>
      </w:r>
    </w:p>
    <w:p>
      <w:pPr>
        <w:spacing w:after="0" w:line="87" w:lineRule="exact"/>
        <w:rPr>
          <w:rFonts w:ascii="Arial" w:cs="Arial" w:eastAsia="Arial" w:hAnsi="Arial"/>
          <w:sz w:val="16"/>
          <w:szCs w:val="16"/>
          <w:b w:val="1"/>
          <w:bCs w:val="1"/>
          <w:color w:val="auto"/>
        </w:rPr>
      </w:pPr>
    </w:p>
    <w:p>
      <w:pPr>
        <w:ind w:left="-8" w:right="240" w:firstLine="8"/>
        <w:spacing w:after="0" w:line="256" w:lineRule="auto"/>
        <w:tabs>
          <w:tab w:leader="none" w:pos="33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The parties agree that in the event of any breach or threatened breach of any of the covenants in Section 4, the damage or imminent</w:t>
      </w:r>
      <w:r>
        <w:rPr>
          <w:rFonts w:ascii="Arial" w:cs="Arial" w:eastAsia="Arial" w:hAnsi="Arial"/>
          <w:sz w:val="18"/>
          <w:szCs w:val="18"/>
          <w:b w:val="1"/>
          <w:bCs w:val="1"/>
          <w:color w:val="auto"/>
        </w:rPr>
        <w:t xml:space="preserve"> </w:t>
      </w:r>
      <w:r>
        <w:rPr>
          <w:rFonts w:ascii="Arial" w:cs="Arial" w:eastAsia="Arial" w:hAnsi="Arial"/>
          <w:sz w:val="18"/>
          <w:szCs w:val="18"/>
          <w:color w:val="auto"/>
        </w:rPr>
        <w:t>damage to the value and the goodwill of Company’s business will be irreparable and extremely difficult to estimate, making any remedy at law or in damages inadequate. Accordingly, the parties agree that Company shall be entitled to injunctive relief against Advisor in the event of any breach or threatened breach of any such provisions by Advisor, in addition to any other relief (including damages) available to Company under this Agreement or under applicable state or federal law.</w:t>
      </w: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46" w:name="page47"/>
    <w:bookmarkEnd w:id="46"/>
    <w:p>
      <w:pPr>
        <w:ind w:right="100" w:firstLine="8"/>
        <w:spacing w:after="0" w:line="291" w:lineRule="auto"/>
        <w:tabs>
          <w:tab w:leader="none" w:pos="31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Publicity</w:t>
      </w:r>
      <w:r>
        <w:rPr>
          <w:rFonts w:ascii="Arial" w:cs="Arial" w:eastAsia="Arial" w:hAnsi="Arial"/>
          <w:sz w:val="16"/>
          <w:szCs w:val="16"/>
          <w:color w:val="auto"/>
        </w:rPr>
        <w:t>. Advisor is aware that the Company may incorporate Advisor’s name, biography, picture, image or personal likeness (collectively Advisor’s</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Likeness”) into the Company’s website, private placement memorandum, Company documents and advertising/promotional materials. Advisor hereby grants to the Company a royalty-free, irrevocable license and permission to use, exploit, adapt, modify, reproduce, distribute, and publicly display in any manner now known or later developed, Advisor’s image, name, biographical information, voice, or Personal Likeness, throughout the world, by incorporating Advisor’s Personal Likeness into Company’s Internet websites, Company’s financing documents, advertising and marketing materials of the Company. There shall be no separate royalty due me for use of Advisor’s Personal Likeness and that Advisor has been fully compensated by the Company through payments for Advisor’s services as an independent contractor under this Agreement.</w:t>
      </w:r>
    </w:p>
    <w:p>
      <w:pPr>
        <w:spacing w:after="0" w:line="1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Advisor’s Services to Company is terminated for any reason, Company shall cease use of Advisor’s Personal Likeness within six months of the termination of such services except for factual statements of Advisor’s prior involvement with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hereto has duly executed this Agreement as of the Effective Date.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gridSpan w:val="7"/>
          </w:tcPr>
          <w:p>
            <w:pPr>
              <w:spacing w:after="0"/>
              <w:rPr>
                <w:sz w:val="20"/>
                <w:szCs w:val="20"/>
                <w:color w:val="auto"/>
              </w:rPr>
            </w:pPr>
            <w:r>
              <w:rPr>
                <w:rFonts w:ascii="Arial" w:cs="Arial" w:eastAsia="Arial" w:hAnsi="Arial"/>
                <w:sz w:val="18"/>
                <w:szCs w:val="18"/>
                <w:b w:val="1"/>
                <w:bCs w:val="1"/>
                <w:color w:val="auto"/>
              </w:rPr>
              <w:t>COMPANY</w:t>
            </w:r>
          </w:p>
        </w:tc>
        <w:tc>
          <w:tcPr>
            <w:tcW w:w="7540" w:type="dxa"/>
            <w:vAlign w:val="bottom"/>
            <w:gridSpan w:val="5"/>
          </w:tcPr>
          <w:p>
            <w:pPr>
              <w:ind w:left="2200"/>
              <w:spacing w:after="0"/>
              <w:rPr>
                <w:sz w:val="20"/>
                <w:szCs w:val="20"/>
                <w:color w:val="auto"/>
              </w:rPr>
            </w:pPr>
            <w:r>
              <w:rPr>
                <w:rFonts w:ascii="Arial" w:cs="Arial" w:eastAsia="Arial" w:hAnsi="Arial"/>
                <w:sz w:val="18"/>
                <w:szCs w:val="18"/>
                <w:b w:val="1"/>
                <w:bCs w:val="1"/>
                <w:color w:val="auto"/>
              </w:rPr>
              <w:t>ADVISORY BOARD MEMBER</w:t>
            </w:r>
          </w:p>
        </w:tc>
      </w:tr>
      <w:tr>
        <w:trPr>
          <w:trHeight w:val="448"/>
        </w:trPr>
        <w:tc>
          <w:tcPr>
            <w:tcW w:w="3880" w:type="dxa"/>
            <w:vAlign w:val="bottom"/>
            <w:gridSpan w:val="7"/>
          </w:tcPr>
          <w:p>
            <w:pPr>
              <w:spacing w:after="0"/>
              <w:rPr>
                <w:sz w:val="20"/>
                <w:szCs w:val="20"/>
                <w:color w:val="auto"/>
              </w:rPr>
            </w:pPr>
            <w:r>
              <w:rPr>
                <w:rFonts w:ascii="Arial" w:cs="Arial" w:eastAsia="Arial" w:hAnsi="Arial"/>
                <w:sz w:val="18"/>
                <w:szCs w:val="18"/>
                <w:color w:val="auto"/>
              </w:rPr>
              <w:t>Signature: /s/ David H. Wang</w:t>
            </w:r>
          </w:p>
        </w:tc>
        <w:tc>
          <w:tcPr>
            <w:tcW w:w="7540" w:type="dxa"/>
            <w:vAlign w:val="bottom"/>
            <w:gridSpan w:val="5"/>
          </w:tcPr>
          <w:p>
            <w:pPr>
              <w:ind w:left="2200"/>
              <w:spacing w:after="0"/>
              <w:rPr>
                <w:sz w:val="20"/>
                <w:szCs w:val="20"/>
                <w:color w:val="auto"/>
              </w:rPr>
            </w:pPr>
            <w:r>
              <w:rPr>
                <w:rFonts w:ascii="Arial" w:cs="Arial" w:eastAsia="Arial" w:hAnsi="Arial"/>
                <w:sz w:val="18"/>
                <w:szCs w:val="18"/>
                <w:color w:val="auto"/>
              </w:rPr>
              <w:t>Signature: /s/ Chenming Hu</w:t>
            </w: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23"/>
        </w:trPr>
        <w:tc>
          <w:tcPr>
            <w:tcW w:w="3880" w:type="dxa"/>
            <w:vAlign w:val="bottom"/>
            <w:gridSpan w:val="7"/>
          </w:tcPr>
          <w:p>
            <w:pPr>
              <w:spacing w:after="0"/>
              <w:rPr>
                <w:sz w:val="20"/>
                <w:szCs w:val="20"/>
                <w:color w:val="auto"/>
              </w:rPr>
            </w:pPr>
            <w:r>
              <w:rPr>
                <w:rFonts w:ascii="Arial" w:cs="Arial" w:eastAsia="Arial" w:hAnsi="Arial"/>
                <w:sz w:val="18"/>
                <w:szCs w:val="18"/>
                <w:color w:val="auto"/>
              </w:rPr>
              <w:t>Name: David H. Wang</w:t>
            </w:r>
          </w:p>
        </w:tc>
        <w:tc>
          <w:tcPr>
            <w:tcW w:w="7540" w:type="dxa"/>
            <w:vAlign w:val="bottom"/>
            <w:gridSpan w:val="5"/>
          </w:tcPr>
          <w:p>
            <w:pPr>
              <w:ind w:left="2200"/>
              <w:spacing w:after="0"/>
              <w:rPr>
                <w:sz w:val="20"/>
                <w:szCs w:val="20"/>
                <w:color w:val="auto"/>
              </w:rPr>
            </w:pPr>
            <w:r>
              <w:rPr>
                <w:rFonts w:ascii="Arial" w:cs="Arial" w:eastAsia="Arial" w:hAnsi="Arial"/>
                <w:sz w:val="18"/>
                <w:szCs w:val="18"/>
                <w:color w:val="auto"/>
              </w:rPr>
              <w:t>Name: Chenming Hu</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3880" w:type="dxa"/>
            <w:vAlign w:val="bottom"/>
            <w:gridSpan w:val="7"/>
          </w:tcPr>
          <w:p>
            <w:pPr>
              <w:spacing w:after="0" w:line="196" w:lineRule="exact"/>
              <w:rPr>
                <w:sz w:val="20"/>
                <w:szCs w:val="20"/>
                <w:color w:val="auto"/>
              </w:rPr>
            </w:pPr>
            <w:r>
              <w:rPr>
                <w:rFonts w:ascii="Arial" w:cs="Arial" w:eastAsia="Arial" w:hAnsi="Arial"/>
                <w:sz w:val="18"/>
                <w:szCs w:val="18"/>
                <w:color w:val="auto"/>
              </w:rPr>
              <w:t>Co. Title: CEO</w:t>
            </w: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816"/>
        </w:trPr>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7" w:name="page48"/>
    <w:bookmarkEnd w:id="47"/>
    <w:p>
      <w:pPr>
        <w:ind w:left="5260"/>
        <w:spacing w:after="0"/>
        <w:rPr>
          <w:sz w:val="20"/>
          <w:szCs w:val="20"/>
          <w:color w:val="auto"/>
        </w:rPr>
      </w:pPr>
      <w:r>
        <w:rPr>
          <w:rFonts w:ascii="Arial" w:cs="Arial" w:eastAsia="Arial" w:hAnsi="Arial"/>
          <w:sz w:val="18"/>
          <w:szCs w:val="18"/>
          <w:b w:val="1"/>
          <w:bCs w:val="1"/>
          <w:u w:val="single" w:color="auto"/>
          <w:color w:val="auto"/>
        </w:rPr>
        <w:t>EXHIBIT 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Initially 48 months beginning May 1st, 2016. This will be extended upon the written agreement of both parties.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Consultant will be a member of the Advisory Board. The term -Advisory Board” is used to enhance the Company’s image and is a group of senior advisors and is not part of the governing Board. Advisor is not a member of the Company’s governing Board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a member of the Advisory Board, Consultant will use commercially reasonable efforts to:</w:t>
      </w:r>
    </w:p>
    <w:p>
      <w:pPr>
        <w:spacing w:after="0" w:line="158" w:lineRule="exact"/>
        <w:rPr>
          <w:sz w:val="20"/>
          <w:szCs w:val="20"/>
          <w:color w:val="auto"/>
        </w:rPr>
      </w:pPr>
    </w:p>
    <w:p>
      <w:pPr>
        <w:ind w:left="980" w:hanging="324"/>
        <w:spacing w:after="0"/>
        <w:tabs>
          <w:tab w:leader="none" w:pos="980"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Advise the company on business development plan proposed by the management.</w:t>
      </w:r>
    </w:p>
    <w:p>
      <w:pPr>
        <w:spacing w:after="0" w:line="157" w:lineRule="exact"/>
        <w:rPr>
          <w:rFonts w:ascii="MS PGothic" w:cs="MS PGothic" w:eastAsia="MS PGothic" w:hAnsi="MS PGothic"/>
          <w:sz w:val="18"/>
          <w:szCs w:val="18"/>
          <w:color w:val="auto"/>
        </w:rPr>
      </w:pPr>
    </w:p>
    <w:p>
      <w:pPr>
        <w:ind w:left="980" w:hanging="324"/>
        <w:spacing w:after="0"/>
        <w:tabs>
          <w:tab w:leader="none" w:pos="980"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Review and advise the Company’s management on its technical and business presentation for use with potential investors.</w:t>
      </w:r>
    </w:p>
    <w:p>
      <w:pPr>
        <w:spacing w:after="0" w:line="157" w:lineRule="exact"/>
        <w:rPr>
          <w:rFonts w:ascii="MS PGothic" w:cs="MS PGothic" w:eastAsia="MS PGothic" w:hAnsi="MS PGothic"/>
          <w:sz w:val="18"/>
          <w:szCs w:val="18"/>
          <w:color w:val="auto"/>
        </w:rPr>
      </w:pPr>
    </w:p>
    <w:p>
      <w:pPr>
        <w:ind w:left="980" w:hanging="324"/>
        <w:spacing w:after="0"/>
        <w:tabs>
          <w:tab w:leader="none" w:pos="980"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Help make introductions to potential industry partners and customers.</w:t>
      </w:r>
    </w:p>
    <w:p>
      <w:pPr>
        <w:spacing w:after="0" w:line="157" w:lineRule="exact"/>
        <w:rPr>
          <w:rFonts w:ascii="MS PGothic" w:cs="MS PGothic" w:eastAsia="MS PGothic" w:hAnsi="MS PGothic"/>
          <w:sz w:val="18"/>
          <w:szCs w:val="18"/>
          <w:color w:val="auto"/>
        </w:rPr>
      </w:pPr>
    </w:p>
    <w:p>
      <w:pPr>
        <w:ind w:left="980" w:hanging="324"/>
        <w:spacing w:after="0"/>
        <w:tabs>
          <w:tab w:leader="none" w:pos="980"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Help management understand the Company’s industry and future technology trend.</w:t>
      </w:r>
    </w:p>
    <w:p>
      <w:pPr>
        <w:spacing w:after="0" w:line="157" w:lineRule="exact"/>
        <w:rPr>
          <w:rFonts w:ascii="MS PGothic" w:cs="MS PGothic" w:eastAsia="MS PGothic" w:hAnsi="MS PGothic"/>
          <w:sz w:val="18"/>
          <w:szCs w:val="18"/>
          <w:color w:val="auto"/>
        </w:rPr>
      </w:pPr>
    </w:p>
    <w:p>
      <w:pPr>
        <w:ind w:left="980" w:hanging="324"/>
        <w:spacing w:after="0"/>
        <w:tabs>
          <w:tab w:leader="none" w:pos="980"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Consult on specific projects requested from the Company and agreed to by Consultant from time to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 consulting fee of $100,000 per year paid on a calendar quarterly basis will be paid to Advisor.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164"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Subject to the appropriate option agreement and usual investor representations and securities law compliance requirements, the Board of Directors of the Company agree that Advisor will be granted the opportunity to purchase up to 250,000 common stock shares to vest over four years under the Company’s Incentive Stock Plan and Stock Option Agreement (the Plan). The options would be Non-Statutory Options and Advisor is strongly advised to consult with his/her professional legal and/or tax advisor. The exercise price for the option shares shall be at the fair market value of the Company’s Common Stock, as determined by the Board of Directors on the date the Board approves such grant. The shares you will be given the opportunity to purchase will vest in equal installments over the term of this Agreement.</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XERCISE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HIS</w:t>
      </w:r>
      <w:r>
        <w:rPr>
          <w:rFonts w:ascii="Arial" w:cs="Arial" w:eastAsia="Arial" w:hAnsi="Arial"/>
          <w:sz w:val="18"/>
          <w:szCs w:val="18"/>
          <w:color w:val="auto"/>
        </w:rPr>
        <w:t xml:space="preserve"> W</w:t>
      </w:r>
      <w:r>
        <w:rPr>
          <w:rFonts w:ascii="Arial" w:cs="Arial" w:eastAsia="Arial" w:hAnsi="Arial"/>
          <w:sz w:val="12"/>
          <w:szCs w:val="12"/>
          <w:color w:val="auto"/>
        </w:rPr>
        <w:t>ARRANT</w:t>
      </w:r>
      <w:r>
        <w:rPr>
          <w:rFonts w:ascii="Arial" w:cs="Arial" w:eastAsia="Arial" w:hAnsi="Arial"/>
          <w:sz w:val="18"/>
          <w:szCs w:val="18"/>
          <w:color w:val="auto"/>
        </w:rPr>
        <w:t xml:space="preserve"> E</w:t>
      </w:r>
      <w:r>
        <w:rPr>
          <w:rFonts w:ascii="Arial" w:cs="Arial" w:eastAsia="Arial" w:hAnsi="Arial"/>
          <w:sz w:val="12"/>
          <w:szCs w:val="12"/>
          <w:color w:val="auto"/>
        </w:rPr>
        <w:t>XERCISE</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(this “</w:t>
      </w:r>
      <w:r>
        <w:rPr>
          <w:rFonts w:ascii="Arial" w:cs="Arial" w:eastAsia="Arial" w:hAnsi="Arial"/>
          <w:sz w:val="18"/>
          <w:szCs w:val="18"/>
          <w:i w:val="1"/>
          <w:iCs w:val="1"/>
          <w:color w:val="auto"/>
        </w:rPr>
        <w:t>Agreement</w:t>
      </w:r>
      <w:r>
        <w:rPr>
          <w:rFonts w:ascii="Arial" w:cs="Arial" w:eastAsia="Arial" w:hAnsi="Arial"/>
          <w:sz w:val="18"/>
          <w:szCs w:val="18"/>
          <w:color w:val="auto"/>
        </w:rPr>
        <w:t>”) is made as of March 30, 2018, by and among ACM Research, Inc. (“</w:t>
      </w:r>
      <w:r>
        <w:rPr>
          <w:rFonts w:ascii="Arial" w:cs="Arial" w:eastAsia="Arial" w:hAnsi="Arial"/>
          <w:sz w:val="18"/>
          <w:szCs w:val="18"/>
          <w:i w:val="1"/>
          <w:iCs w:val="1"/>
          <w:color w:val="auto"/>
        </w:rPr>
        <w:t>ACM</w:t>
      </w:r>
      <w:r>
        <w:rPr>
          <w:rFonts w:ascii="Arial" w:cs="Arial" w:eastAsia="Arial" w:hAnsi="Arial"/>
          <w:sz w:val="18"/>
          <w:szCs w:val="18"/>
          <w:color w:val="auto"/>
        </w:rPr>
        <w:t>”), ACM Research (Shanghai), Inc., a wholly owned subsidiary of ACM (“</w:t>
      </w:r>
      <w:r>
        <w:rPr>
          <w:rFonts w:ascii="Arial" w:cs="Arial" w:eastAsia="Arial" w:hAnsi="Arial"/>
          <w:sz w:val="18"/>
          <w:szCs w:val="18"/>
          <w:i w:val="1"/>
          <w:iCs w:val="1"/>
          <w:color w:val="auto"/>
        </w:rPr>
        <w:t>ACM Shanghai</w:t>
      </w:r>
      <w:r>
        <w:rPr>
          <w:rFonts w:ascii="Arial" w:cs="Arial" w:eastAsia="Arial" w:hAnsi="Arial"/>
          <w:sz w:val="18"/>
          <w:szCs w:val="18"/>
          <w:color w:val="auto"/>
        </w:rPr>
        <w:t>”), and Shengxin (Shanghai) Management Consulting Limited Partnership (“</w:t>
      </w:r>
      <w:r>
        <w:rPr>
          <w:rFonts w:ascii="Arial" w:cs="Arial" w:eastAsia="Arial" w:hAnsi="Arial"/>
          <w:sz w:val="18"/>
          <w:szCs w:val="18"/>
          <w:i w:val="1"/>
          <w:iCs w:val="1"/>
          <w:color w:val="auto"/>
        </w:rPr>
        <w:t>SMC</w:t>
      </w:r>
      <w:r>
        <w:rPr>
          <w:rFonts w:ascii="Arial" w:cs="Arial" w:eastAsia="Arial" w:hAnsi="Arial"/>
          <w:sz w:val="18"/>
          <w:szCs w:val="18"/>
          <w:color w:val="auto"/>
        </w:rPr>
        <w:t>,” and together with ACM and ACM Shanghai, the “</w:t>
      </w:r>
      <w:r>
        <w:rPr>
          <w:rFonts w:ascii="Arial" w:cs="Arial" w:eastAsia="Arial" w:hAnsi="Arial"/>
          <w:sz w:val="18"/>
          <w:szCs w:val="18"/>
          <w:i w:val="1"/>
          <w:iCs w:val="1"/>
          <w:color w:val="auto"/>
        </w:rPr>
        <w:t>Parties</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191" w:lineRule="exact"/>
        <w:rPr>
          <w:sz w:val="20"/>
          <w:szCs w:val="20"/>
          <w:color w:val="auto"/>
        </w:rPr>
      </w:pPr>
    </w:p>
    <w:p>
      <w:pPr>
        <w:ind w:right="120" w:firstLine="494"/>
        <w:spacing w:after="0" w:line="268" w:lineRule="auto"/>
        <w:tabs>
          <w:tab w:leader="none" w:pos="8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December 9, 2016, SMC delivered to ACM Shanghai an aggregate amount of $2,981,259.26 (the “</w:t>
      </w:r>
      <w:r>
        <w:rPr>
          <w:rFonts w:ascii="Arial" w:cs="Arial" w:eastAsia="Arial" w:hAnsi="Arial"/>
          <w:sz w:val="18"/>
          <w:szCs w:val="18"/>
          <w:i w:val="1"/>
          <w:iCs w:val="1"/>
          <w:color w:val="auto"/>
        </w:rPr>
        <w:t>SMC Investment</w:t>
      </w:r>
      <w:r>
        <w:rPr>
          <w:rFonts w:ascii="Arial" w:cs="Arial" w:eastAsia="Arial" w:hAnsi="Arial"/>
          <w:sz w:val="18"/>
          <w:szCs w:val="18"/>
          <w:color w:val="auto"/>
        </w:rPr>
        <w:t>”) for potential investment in ACM Shanghai.</w:t>
      </w:r>
    </w:p>
    <w:p>
      <w:pPr>
        <w:spacing w:after="0" w:line="145" w:lineRule="exact"/>
        <w:rPr>
          <w:rFonts w:ascii="Arial" w:cs="Arial" w:eastAsia="Arial" w:hAnsi="Arial"/>
          <w:sz w:val="18"/>
          <w:szCs w:val="18"/>
          <w:color w:val="auto"/>
        </w:rPr>
      </w:pPr>
    </w:p>
    <w:p>
      <w:pPr>
        <w:ind w:right="80" w:firstLine="494"/>
        <w:spacing w:after="0" w:line="294" w:lineRule="auto"/>
        <w:tabs>
          <w:tab w:leader="none" w:pos="863"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March 14, 2017, the Parties entered into a Securities Purchase Agreement (the “</w:t>
      </w:r>
      <w:r>
        <w:rPr>
          <w:rFonts w:ascii="Arial" w:cs="Arial" w:eastAsia="Arial" w:hAnsi="Arial"/>
          <w:sz w:val="16"/>
          <w:szCs w:val="16"/>
          <w:i w:val="1"/>
          <w:iCs w:val="1"/>
          <w:color w:val="auto"/>
        </w:rPr>
        <w:t>Securities Purchase Agreement</w:t>
      </w:r>
      <w:r>
        <w:rPr>
          <w:rFonts w:ascii="Arial" w:cs="Arial" w:eastAsia="Arial" w:hAnsi="Arial"/>
          <w:sz w:val="16"/>
          <w:szCs w:val="16"/>
          <w:color w:val="auto"/>
        </w:rPr>
        <w:t>”) pursuant to which, among other things, (1) ACM issued to SMC a warrant (the “</w:t>
      </w:r>
      <w:r>
        <w:rPr>
          <w:rFonts w:ascii="Arial" w:cs="Arial" w:eastAsia="Arial" w:hAnsi="Arial"/>
          <w:sz w:val="16"/>
          <w:szCs w:val="16"/>
          <w:i w:val="1"/>
          <w:iCs w:val="1"/>
          <w:color w:val="auto"/>
        </w:rPr>
        <w:t>Warrant</w:t>
      </w:r>
      <w:r>
        <w:rPr>
          <w:rFonts w:ascii="Arial" w:cs="Arial" w:eastAsia="Arial" w:hAnsi="Arial"/>
          <w:sz w:val="16"/>
          <w:szCs w:val="16"/>
          <w:color w:val="auto"/>
        </w:rPr>
        <w:t>”) currently exercisable to purchase 397,502 Warrant Shares of ACM’s Class A common stock (the “</w:t>
      </w:r>
      <w:r>
        <w:rPr>
          <w:rFonts w:ascii="Arial" w:cs="Arial" w:eastAsia="Arial" w:hAnsi="Arial"/>
          <w:sz w:val="16"/>
          <w:szCs w:val="16"/>
          <w:i w:val="1"/>
          <w:iCs w:val="1"/>
          <w:color w:val="auto"/>
        </w:rPr>
        <w:t>Warrant Shares</w:t>
      </w:r>
      <w:r>
        <w:rPr>
          <w:rFonts w:ascii="Arial" w:cs="Arial" w:eastAsia="Arial" w:hAnsi="Arial"/>
          <w:sz w:val="16"/>
          <w:szCs w:val="16"/>
          <w:color w:val="auto"/>
        </w:rPr>
        <w:t>”), at a price of $7.50 per Warrant Share, for an aggregate exercise price of $2,981,259.26 (the “</w:t>
      </w:r>
      <w:r>
        <w:rPr>
          <w:rFonts w:ascii="Arial" w:cs="Arial" w:eastAsia="Arial" w:hAnsi="Arial"/>
          <w:sz w:val="16"/>
          <w:szCs w:val="16"/>
          <w:i w:val="1"/>
          <w:iCs w:val="1"/>
          <w:color w:val="auto"/>
        </w:rPr>
        <w:t>Aggregate Exercise Price</w:t>
      </w:r>
      <w:r>
        <w:rPr>
          <w:rFonts w:ascii="Arial" w:cs="Arial" w:eastAsia="Arial" w:hAnsi="Arial"/>
          <w:sz w:val="16"/>
          <w:szCs w:val="16"/>
          <w:color w:val="auto"/>
        </w:rPr>
        <w:t>”), subject to the terms, conditions and adjustments set forth in the Warrant, and (2) the Parties set forth the terms pursuant to which ACM Shanghai would repay the SMC Investment to SMC in cash or, in specified circumstances, by delivery of an equity interest in ACM Shanghai.</w:t>
      </w:r>
    </w:p>
    <w:p>
      <w:pPr>
        <w:spacing w:after="0" w:line="129" w:lineRule="exact"/>
        <w:rPr>
          <w:rFonts w:ascii="Arial" w:cs="Arial" w:eastAsia="Arial" w:hAnsi="Arial"/>
          <w:sz w:val="16"/>
          <w:szCs w:val="16"/>
          <w:color w:val="auto"/>
        </w:rPr>
      </w:pPr>
    </w:p>
    <w:p>
      <w:pPr>
        <w:ind w:right="20" w:firstLine="494"/>
        <w:spacing w:after="0" w:line="306" w:lineRule="auto"/>
        <w:tabs>
          <w:tab w:leader="none" w:pos="86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Parties wish to set forth terms pursuant to which, in effect, (1) in connection with its exercise of the Warrant in full on the date of this Agreement, SMC will pay the Aggregate Exercise Price by borrowing funds from ACM and (2) in exchange for ACM’s rights to receive repayment of such borrowed funds from SMC, ACM Shanghai will deliver to ACM evidence of indebtedness in an amount equal to the Aggregate Exercise Price.</w:t>
      </w:r>
    </w:p>
    <w:p>
      <w:pPr>
        <w:spacing w:after="0" w:line="120" w:lineRule="exact"/>
        <w:rPr>
          <w:rFonts w:ascii="Arial" w:cs="Arial" w:eastAsia="Arial" w:hAnsi="Arial"/>
          <w:sz w:val="16"/>
          <w:szCs w:val="16"/>
          <w:color w:val="auto"/>
        </w:rPr>
      </w:pPr>
    </w:p>
    <w:p>
      <w:pPr>
        <w:ind w:right="140" w:firstLine="494"/>
        <w:spacing w:after="0" w:line="298" w:lineRule="auto"/>
        <w:tabs>
          <w:tab w:leader="none" w:pos="873"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order to give effect to the foregoing, contemporaneously with the execution and delivery of this Agreement, (1) SMC is exercising the Warrant in full and, in connection therewith, is delivering to ACM Shanghai (upon order of ACM), in full satisfaction of the Aggregate Exercise Price, a senior secured promissory note in the principal amount of the Aggregate Exercise Price (the “</w:t>
      </w:r>
      <w:r>
        <w:rPr>
          <w:rFonts w:ascii="Arial" w:cs="Arial" w:eastAsia="Arial" w:hAnsi="Arial"/>
          <w:sz w:val="16"/>
          <w:szCs w:val="16"/>
          <w:i w:val="1"/>
          <w:iCs w:val="1"/>
          <w:color w:val="auto"/>
        </w:rPr>
        <w:t>SMC Note</w:t>
      </w:r>
      <w:r>
        <w:rPr>
          <w:rFonts w:ascii="Arial" w:cs="Arial" w:eastAsia="Arial" w:hAnsi="Arial"/>
          <w:sz w:val="16"/>
          <w:szCs w:val="16"/>
          <w:color w:val="auto"/>
        </w:rPr>
        <w:t>”), and (2) ACM Shanghai is delivering to ACM an intercompany promissory note in the principal amount of the Aggregate Exercise Price (the “</w:t>
      </w:r>
      <w:r>
        <w:rPr>
          <w:rFonts w:ascii="Arial" w:cs="Arial" w:eastAsia="Arial" w:hAnsi="Arial"/>
          <w:sz w:val="16"/>
          <w:szCs w:val="16"/>
          <w:i w:val="1"/>
          <w:iCs w:val="1"/>
          <w:color w:val="auto"/>
        </w:rPr>
        <w:t>Intercompany Note</w:t>
      </w:r>
      <w:r>
        <w:rPr>
          <w:rFonts w:ascii="Arial" w:cs="Arial" w:eastAsia="Arial" w:hAnsi="Arial"/>
          <w:sz w:val="16"/>
          <w:szCs w:val="16"/>
          <w:color w:val="auto"/>
        </w:rPr>
        <w:t>”).</w:t>
      </w:r>
    </w:p>
    <w:p>
      <w:pPr>
        <w:spacing w:after="0" w:line="99"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In consideration of the mutual covenants and agreements set forth in this Agreement and for other good and valuable consideration, the receipt and sufficiency of which are hereby acknowledged, the Parties agree as follows:</w:t>
      </w:r>
    </w:p>
    <w:p>
      <w:pPr>
        <w:spacing w:after="0" w:line="145" w:lineRule="exact"/>
        <w:rPr>
          <w:sz w:val="20"/>
          <w:szCs w:val="20"/>
          <w:color w:val="auto"/>
        </w:rPr>
      </w:pPr>
    </w:p>
    <w:p>
      <w:pPr>
        <w:ind w:left="840" w:hanging="346"/>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Purchase and Sale of Warrant Shares</w:t>
      </w:r>
      <w:r>
        <w:rPr>
          <w:rFonts w:ascii="Arial" w:cs="Arial" w:eastAsia="Arial" w:hAnsi="Arial"/>
          <w:sz w:val="18"/>
          <w:szCs w:val="18"/>
          <w:color w:val="auto"/>
        </w:rPr>
        <w:t>.</w:t>
      </w:r>
    </w:p>
    <w:p>
      <w:pPr>
        <w:spacing w:after="0" w:line="185" w:lineRule="exact"/>
        <w:rPr>
          <w:sz w:val="20"/>
          <w:szCs w:val="20"/>
          <w:color w:val="auto"/>
        </w:rPr>
      </w:pPr>
    </w:p>
    <w:p>
      <w:pPr>
        <w:ind w:left="1460"/>
        <w:spacing w:after="0"/>
        <w:tabs>
          <w:tab w:leader="none" w:pos="1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Documents</w:t>
      </w:r>
      <w:r>
        <w:rPr>
          <w:rFonts w:ascii="Arial" w:cs="Arial" w:eastAsia="Arial" w:hAnsi="Arial"/>
          <w:sz w:val="16"/>
          <w:szCs w:val="16"/>
          <w:color w:val="auto"/>
        </w:rPr>
        <w:t>. Contemporaneously with the execution and delivery of this Agreement:</w:t>
      </w:r>
    </w:p>
    <w:p>
      <w:pPr>
        <w:spacing w:after="0" w:line="158" w:lineRule="exact"/>
        <w:rPr>
          <w:sz w:val="20"/>
          <w:szCs w:val="20"/>
          <w:color w:val="auto"/>
        </w:rPr>
      </w:pPr>
    </w:p>
    <w:p>
      <w:pPr>
        <w:ind w:left="1800" w:hanging="495"/>
        <w:spacing w:after="0" w:line="332" w:lineRule="auto"/>
        <w:tabs>
          <w:tab w:leader="none" w:pos="18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SMC is exercising the Warrant to purchase the Warrant Shares, pursuant to Subsection 3(a)(i) of the Warrant, by (a) surrendering the Warrant to ACM and (b) executing and delivering the SMC Note to ACM Shanghai, upon the request of ACM; and</w:t>
      </w:r>
    </w:p>
    <w:p>
      <w:pPr>
        <w:spacing w:after="0" w:line="71" w:lineRule="exact"/>
        <w:rPr>
          <w:rFonts w:ascii="Arial" w:cs="Arial" w:eastAsia="Arial" w:hAnsi="Arial"/>
          <w:sz w:val="16"/>
          <w:szCs w:val="16"/>
          <w:color w:val="auto"/>
        </w:rPr>
      </w:pPr>
    </w:p>
    <w:p>
      <w:pPr>
        <w:ind w:left="1800" w:hanging="495"/>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ACM Shanghai is executing and delivering the Intercompany Note to ACM in consideration for the SMC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9" w:name="page50"/>
    <w:bookmarkEnd w:id="49"/>
    <w:p>
      <w:pPr>
        <w:ind w:right="20" w:firstLine="972"/>
        <w:spacing w:after="0" w:line="298"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Closing; Delivery</w:t>
      </w:r>
      <w:r>
        <w:rPr>
          <w:rFonts w:ascii="Arial" w:cs="Arial" w:eastAsia="Arial" w:hAnsi="Arial"/>
          <w:sz w:val="16"/>
          <w:szCs w:val="16"/>
          <w:color w:val="auto"/>
        </w:rPr>
        <w:t>. Subject to the satisfaction of each of the conditions set forth in this Agreement, a closing for the purchase and sale of the Warrant Shares and the execution and delivery of the SMC Note and the Intercompany Note (the “</w:t>
      </w:r>
      <w:r>
        <w:rPr>
          <w:rFonts w:ascii="Arial" w:cs="Arial" w:eastAsia="Arial" w:hAnsi="Arial"/>
          <w:sz w:val="16"/>
          <w:szCs w:val="16"/>
          <w:i w:val="1"/>
          <w:iCs w:val="1"/>
          <w:color w:val="auto"/>
        </w:rPr>
        <w:t>Closing</w:t>
      </w:r>
      <w:r>
        <w:rPr>
          <w:rFonts w:ascii="Arial" w:cs="Arial" w:eastAsia="Arial" w:hAnsi="Arial"/>
          <w:sz w:val="16"/>
          <w:szCs w:val="16"/>
          <w:color w:val="auto"/>
        </w:rPr>
        <w:t>”) shall take place at the corporate headquarters of ACM on the date of this Agreement. At the Closing, ACM shall issue and sell the Warrant Shares to SMC and shall cause its transfer agent to register the Warrant Shares in book-entry form, against delivery at the Closing of the SMC Note and the Intercompany Note.</w:t>
      </w:r>
    </w:p>
    <w:p>
      <w:pPr>
        <w:spacing w:after="0" w:line="126" w:lineRule="exact"/>
        <w:rPr>
          <w:sz w:val="20"/>
          <w:szCs w:val="20"/>
          <w:color w:val="auto"/>
        </w:rPr>
      </w:pPr>
    </w:p>
    <w:p>
      <w:pPr>
        <w:ind w:right="60" w:firstLine="972"/>
        <w:spacing w:after="0" w:line="26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Conditions to ACM’s Obligations</w:t>
      </w:r>
      <w:r>
        <w:rPr>
          <w:rFonts w:ascii="Arial" w:cs="Arial" w:eastAsia="Arial" w:hAnsi="Arial"/>
          <w:sz w:val="18"/>
          <w:szCs w:val="18"/>
          <w:color w:val="auto"/>
        </w:rPr>
        <w:t>. The obligation of ACM to deliver the Warrant Shares at the Closing is subject to the fulfillment, on or before the Closing, of each of the following conditions, unless otherwise waived:</w:t>
      </w:r>
    </w:p>
    <w:p>
      <w:pPr>
        <w:spacing w:after="0" w:line="145" w:lineRule="exact"/>
        <w:rPr>
          <w:sz w:val="20"/>
          <w:szCs w:val="20"/>
          <w:color w:val="auto"/>
        </w:rPr>
      </w:pPr>
    </w:p>
    <w:p>
      <w:pPr>
        <w:ind w:left="480" w:firstLine="1297"/>
        <w:spacing w:after="0" w:line="268" w:lineRule="auto"/>
        <w:tabs>
          <w:tab w:leader="none" w:pos="2187" w:val="left"/>
        </w:tabs>
        <w:numPr>
          <w:ilvl w:val="0"/>
          <w:numId w:val="38"/>
        </w:numPr>
        <w:rPr>
          <w:rFonts w:ascii="Arial" w:cs="Arial" w:eastAsia="Arial" w:hAnsi="Arial"/>
          <w:sz w:val="18"/>
          <w:szCs w:val="18"/>
          <w:u w:val="single" w:color="auto"/>
          <w:color w:val="auto"/>
        </w:rPr>
      </w:pPr>
      <w:r>
        <w:rPr>
          <w:rFonts w:ascii="Arial" w:cs="Arial" w:eastAsia="Arial" w:hAnsi="Arial"/>
          <w:sz w:val="18"/>
          <w:szCs w:val="18"/>
          <w:color w:val="auto"/>
        </w:rPr>
        <w:t xml:space="preserve">The representations and warranties of each of ACM Shanghai and SMC contained in </w:t>
      </w:r>
      <w:r>
        <w:rPr>
          <w:rFonts w:ascii="Arial" w:cs="Arial" w:eastAsia="Arial" w:hAnsi="Arial"/>
          <w:sz w:val="18"/>
          <w:szCs w:val="18"/>
          <w:u w:val="single" w:color="auto"/>
          <w:color w:val="auto"/>
        </w:rPr>
        <w:t xml:space="preserve">Sections </w:t>
      </w:r>
      <w:hyperlink w:anchor="page51">
        <w:r>
          <w:rPr>
            <w:rFonts w:ascii="Arial" w:cs="Arial" w:eastAsia="Arial" w:hAnsi="Arial"/>
            <w:sz w:val="18"/>
            <w:szCs w:val="18"/>
            <w:u w:val="single" w:color="auto"/>
            <w:color w:val="auto"/>
          </w:rPr>
          <w:t xml:space="preserve">3 </w:t>
        </w:r>
      </w:hyperlink>
      <w:r>
        <w:rPr>
          <w:rFonts w:ascii="Arial" w:cs="Arial" w:eastAsia="Arial" w:hAnsi="Arial"/>
          <w:sz w:val="18"/>
          <w:szCs w:val="18"/>
          <w:u w:val="single" w:color="auto"/>
          <w:color w:val="auto"/>
        </w:rPr>
        <w:t xml:space="preserve">and </w:t>
      </w:r>
      <w:hyperlink w:anchor="page52">
        <w:r>
          <w:rPr>
            <w:rFonts w:ascii="Arial" w:cs="Arial" w:eastAsia="Arial" w:hAnsi="Arial"/>
            <w:sz w:val="18"/>
            <w:szCs w:val="18"/>
            <w:u w:val="single" w:color="auto"/>
            <w:color w:val="auto"/>
          </w:rPr>
          <w:t>4</w:t>
        </w:r>
      </w:hyperlink>
      <w:r>
        <w:rPr>
          <w:rFonts w:ascii="Arial" w:cs="Arial" w:eastAsia="Arial" w:hAnsi="Arial"/>
          <w:sz w:val="18"/>
          <w:szCs w:val="18"/>
          <w:u w:val="single" w:color="auto"/>
          <w:color w:val="auto"/>
        </w:rPr>
        <w:t>, respectively, shall be true and correct in all material respects as of the Closing.</w:t>
      </w:r>
    </w:p>
    <w:p>
      <w:pPr>
        <w:spacing w:after="0" w:line="145" w:lineRule="exact"/>
        <w:rPr>
          <w:rFonts w:ascii="Arial" w:cs="Arial" w:eastAsia="Arial" w:hAnsi="Arial"/>
          <w:sz w:val="18"/>
          <w:szCs w:val="18"/>
          <w:u w:val="single" w:color="auto"/>
          <w:color w:val="auto"/>
        </w:rPr>
      </w:pPr>
    </w:p>
    <w:p>
      <w:pPr>
        <w:ind w:left="480" w:right="120" w:firstLine="1297"/>
        <w:spacing w:after="0" w:line="259" w:lineRule="auto"/>
        <w:tabs>
          <w:tab w:leader="none" w:pos="21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ACM Shanghai and SMC shall have performed and complied with all covenants, agreements, obligations and conditions contained in this Agreement that are required to be performed or complied with by each of ACM Shanghai and SMC as of or before the Closing.</w:t>
      </w:r>
    </w:p>
    <w:p>
      <w:pPr>
        <w:spacing w:after="0" w:line="153" w:lineRule="exact"/>
        <w:rPr>
          <w:rFonts w:ascii="Arial" w:cs="Arial" w:eastAsia="Arial" w:hAnsi="Arial"/>
          <w:sz w:val="18"/>
          <w:szCs w:val="18"/>
          <w:color w:val="auto"/>
        </w:rPr>
      </w:pPr>
    </w:p>
    <w:p>
      <w:pPr>
        <w:ind w:left="480" w:right="200" w:firstLine="1297"/>
        <w:spacing w:after="0" w:line="332" w:lineRule="auto"/>
        <w:tabs>
          <w:tab w:leader="none" w:pos="21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authorizations, approvals or permits of any governmental authority or regulatory body that are required in connection with the lawful purchase and sale of the Warrant Shares pursuant to this Agreement shall have been obtained and be effective as of the Closing.</w:t>
      </w:r>
    </w:p>
    <w:p>
      <w:pPr>
        <w:spacing w:after="0" w:line="99" w:lineRule="exact"/>
        <w:rPr>
          <w:rFonts w:ascii="Arial" w:cs="Arial" w:eastAsia="Arial" w:hAnsi="Arial"/>
          <w:sz w:val="18"/>
          <w:szCs w:val="18"/>
          <w:color w:val="auto"/>
        </w:rPr>
      </w:pPr>
    </w:p>
    <w:p>
      <w:pPr>
        <w:ind w:right="420" w:firstLine="972"/>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Conditions to ACM Shanghai’s Obligations</w:t>
      </w:r>
      <w:r>
        <w:rPr>
          <w:rFonts w:ascii="Arial" w:cs="Arial" w:eastAsia="Arial" w:hAnsi="Arial"/>
          <w:sz w:val="18"/>
          <w:szCs w:val="18"/>
          <w:color w:val="auto"/>
        </w:rPr>
        <w:t>. The obligation of ACM Shanghai to deliver the Intercompany Note at the Closing is subject to the fulfillment, on or before the Closing, of each of the following conditions, unless otherwise waived:</w:t>
      </w:r>
    </w:p>
    <w:p>
      <w:pPr>
        <w:spacing w:after="0" w:line="145" w:lineRule="exact"/>
        <w:rPr>
          <w:rFonts w:ascii="Arial" w:cs="Arial" w:eastAsia="Arial" w:hAnsi="Arial"/>
          <w:sz w:val="18"/>
          <w:szCs w:val="18"/>
          <w:color w:val="auto"/>
        </w:rPr>
      </w:pPr>
    </w:p>
    <w:p>
      <w:pPr>
        <w:ind w:left="480" w:right="80" w:firstLine="1297"/>
        <w:spacing w:after="0" w:line="268" w:lineRule="auto"/>
        <w:tabs>
          <w:tab w:leader="none" w:pos="2187" w:val="left"/>
        </w:tabs>
        <w:numPr>
          <w:ilvl w:val="0"/>
          <w:numId w:val="39"/>
        </w:numPr>
        <w:rPr>
          <w:rFonts w:ascii="Arial" w:cs="Arial" w:eastAsia="Arial" w:hAnsi="Arial"/>
          <w:sz w:val="18"/>
          <w:szCs w:val="18"/>
          <w:u w:val="single" w:color="auto"/>
          <w:color w:val="auto"/>
        </w:rPr>
      </w:pPr>
      <w:r>
        <w:rPr>
          <w:rFonts w:ascii="Arial" w:cs="Arial" w:eastAsia="Arial" w:hAnsi="Arial"/>
          <w:sz w:val="18"/>
          <w:szCs w:val="18"/>
          <w:color w:val="auto"/>
        </w:rPr>
        <w:t xml:space="preserve">The representations and warranties of each of ACM and SMC contained in </w:t>
      </w:r>
      <w:r>
        <w:rPr>
          <w:rFonts w:ascii="Arial" w:cs="Arial" w:eastAsia="Arial" w:hAnsi="Arial"/>
          <w:sz w:val="18"/>
          <w:szCs w:val="18"/>
          <w:u w:val="single" w:color="auto"/>
          <w:color w:val="auto"/>
        </w:rPr>
        <w:t xml:space="preserve">Sections </w:t>
      </w:r>
      <w:hyperlink w:anchor="page51">
        <w:r>
          <w:rPr>
            <w:rFonts w:ascii="Arial" w:cs="Arial" w:eastAsia="Arial" w:hAnsi="Arial"/>
            <w:sz w:val="18"/>
            <w:szCs w:val="18"/>
            <w:u w:val="single" w:color="auto"/>
            <w:color w:val="auto"/>
          </w:rPr>
          <w:t xml:space="preserve">2 </w:t>
        </w:r>
      </w:hyperlink>
      <w:r>
        <w:rPr>
          <w:rFonts w:ascii="Arial" w:cs="Arial" w:eastAsia="Arial" w:hAnsi="Arial"/>
          <w:sz w:val="18"/>
          <w:szCs w:val="18"/>
          <w:u w:val="single" w:color="auto"/>
          <w:color w:val="auto"/>
        </w:rPr>
        <w:t xml:space="preserve">and </w:t>
      </w:r>
      <w:hyperlink w:anchor="page52">
        <w:r>
          <w:rPr>
            <w:rFonts w:ascii="Arial" w:cs="Arial" w:eastAsia="Arial" w:hAnsi="Arial"/>
            <w:sz w:val="18"/>
            <w:szCs w:val="18"/>
            <w:u w:val="single" w:color="auto"/>
            <w:color w:val="auto"/>
          </w:rPr>
          <w:t>4</w:t>
        </w:r>
      </w:hyperlink>
      <w:r>
        <w:rPr>
          <w:rFonts w:ascii="Arial" w:cs="Arial" w:eastAsia="Arial" w:hAnsi="Arial"/>
          <w:sz w:val="18"/>
          <w:szCs w:val="18"/>
          <w:u w:val="single" w:color="auto"/>
          <w:color w:val="auto"/>
        </w:rPr>
        <w:t>, respectively, shall be true and correct in all material respects as of the Closing.</w:t>
      </w:r>
    </w:p>
    <w:p>
      <w:pPr>
        <w:spacing w:after="0" w:line="145" w:lineRule="exact"/>
        <w:rPr>
          <w:rFonts w:ascii="Arial" w:cs="Arial" w:eastAsia="Arial" w:hAnsi="Arial"/>
          <w:sz w:val="18"/>
          <w:szCs w:val="18"/>
          <w:u w:val="single" w:color="auto"/>
          <w:color w:val="auto"/>
        </w:rPr>
      </w:pPr>
    </w:p>
    <w:p>
      <w:pPr>
        <w:ind w:left="480" w:right="340" w:firstLine="1297"/>
        <w:spacing w:after="0" w:line="332" w:lineRule="auto"/>
        <w:tabs>
          <w:tab w:leader="none" w:pos="2197"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of ACM and SMC shall have performed and complied with all covenants, agreements, obligations and conditions contained in this Agreement that are required to be performed or complied with by each of ACM and SMC as of or before the Closing.</w:t>
      </w:r>
    </w:p>
    <w:p>
      <w:pPr>
        <w:spacing w:after="0" w:line="98" w:lineRule="exact"/>
        <w:rPr>
          <w:rFonts w:ascii="Arial" w:cs="Arial" w:eastAsia="Arial" w:hAnsi="Arial"/>
          <w:sz w:val="16"/>
          <w:szCs w:val="16"/>
          <w:color w:val="auto"/>
        </w:rPr>
      </w:pPr>
    </w:p>
    <w:p>
      <w:pPr>
        <w:ind w:left="480" w:right="200" w:firstLine="1297"/>
        <w:spacing w:after="0" w:line="332" w:lineRule="auto"/>
        <w:tabs>
          <w:tab w:leader="none" w:pos="21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authorizations, approvals or permits of any governmental authority or regulatory body that are required in connection with the lawful purchase and sale of the Warrant Shares pursuant to this Agreement shall have been obtained and be effective as of the Closing.</w:t>
      </w:r>
    </w:p>
    <w:p>
      <w:pPr>
        <w:spacing w:after="0" w:line="99" w:lineRule="exact"/>
        <w:rPr>
          <w:rFonts w:ascii="Arial" w:cs="Arial" w:eastAsia="Arial" w:hAnsi="Arial"/>
          <w:sz w:val="18"/>
          <w:szCs w:val="18"/>
          <w:color w:val="auto"/>
        </w:rPr>
      </w:pPr>
    </w:p>
    <w:p>
      <w:pPr>
        <w:ind w:right="160" w:firstLine="972"/>
        <w:spacing w:after="0" w:line="268"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Conditions to SMC’s Obligations</w:t>
      </w:r>
      <w:r>
        <w:rPr>
          <w:rFonts w:ascii="Arial" w:cs="Arial" w:eastAsia="Arial" w:hAnsi="Arial"/>
          <w:sz w:val="18"/>
          <w:szCs w:val="18"/>
          <w:color w:val="auto"/>
        </w:rPr>
        <w:t>. The obligations of SMC to deliver the SMC Note and to acquire the Warrant Shares at the Closing are subject to the fulfillment, on or before the Closing, of each of the following conditions, unless otherwise waived:</w:t>
      </w:r>
    </w:p>
    <w:p>
      <w:pPr>
        <w:spacing w:after="0" w:line="145" w:lineRule="exact"/>
        <w:rPr>
          <w:rFonts w:ascii="Arial" w:cs="Arial" w:eastAsia="Arial" w:hAnsi="Arial"/>
          <w:sz w:val="18"/>
          <w:szCs w:val="18"/>
          <w:color w:val="auto"/>
        </w:rPr>
      </w:pPr>
    </w:p>
    <w:p>
      <w:pPr>
        <w:ind w:left="480" w:right="180" w:firstLine="1297"/>
        <w:spacing w:after="0" w:line="268" w:lineRule="auto"/>
        <w:tabs>
          <w:tab w:leader="none" w:pos="2187" w:val="left"/>
        </w:tabs>
        <w:numPr>
          <w:ilvl w:val="0"/>
          <w:numId w:val="40"/>
        </w:numPr>
        <w:rPr>
          <w:rFonts w:ascii="Arial" w:cs="Arial" w:eastAsia="Arial" w:hAnsi="Arial"/>
          <w:sz w:val="18"/>
          <w:szCs w:val="18"/>
          <w:u w:val="single" w:color="auto"/>
          <w:color w:val="auto"/>
        </w:rPr>
      </w:pPr>
      <w:r>
        <w:rPr>
          <w:rFonts w:ascii="Arial" w:cs="Arial" w:eastAsia="Arial" w:hAnsi="Arial"/>
          <w:sz w:val="18"/>
          <w:szCs w:val="18"/>
          <w:color w:val="auto"/>
        </w:rPr>
        <w:t xml:space="preserve">The representations and warranties of each of ACM and ACM Shanghai contained in </w:t>
      </w:r>
      <w:r>
        <w:rPr>
          <w:rFonts w:ascii="Arial" w:cs="Arial" w:eastAsia="Arial" w:hAnsi="Arial"/>
          <w:sz w:val="18"/>
          <w:szCs w:val="18"/>
          <w:u w:val="single" w:color="auto"/>
          <w:color w:val="auto"/>
        </w:rPr>
        <w:t xml:space="preserve">Sections </w:t>
      </w:r>
      <w:hyperlink w:anchor="page51">
        <w:r>
          <w:rPr>
            <w:rFonts w:ascii="Arial" w:cs="Arial" w:eastAsia="Arial" w:hAnsi="Arial"/>
            <w:sz w:val="18"/>
            <w:szCs w:val="18"/>
            <w:u w:val="single" w:color="auto"/>
            <w:color w:val="auto"/>
          </w:rPr>
          <w:t xml:space="preserve">2 </w:t>
        </w:r>
      </w:hyperlink>
      <w:r>
        <w:rPr>
          <w:rFonts w:ascii="Arial" w:cs="Arial" w:eastAsia="Arial" w:hAnsi="Arial"/>
          <w:sz w:val="18"/>
          <w:szCs w:val="18"/>
          <w:u w:val="single" w:color="auto"/>
          <w:color w:val="auto"/>
        </w:rPr>
        <w:t xml:space="preserve">and </w:t>
      </w:r>
      <w:hyperlink w:anchor="page51">
        <w:r>
          <w:rPr>
            <w:rFonts w:ascii="Arial" w:cs="Arial" w:eastAsia="Arial" w:hAnsi="Arial"/>
            <w:sz w:val="18"/>
            <w:szCs w:val="18"/>
            <w:u w:val="single" w:color="auto"/>
            <w:color w:val="auto"/>
          </w:rPr>
          <w:t>3</w:t>
        </w:r>
      </w:hyperlink>
      <w:r>
        <w:rPr>
          <w:rFonts w:ascii="Arial" w:cs="Arial" w:eastAsia="Arial" w:hAnsi="Arial"/>
          <w:sz w:val="18"/>
          <w:szCs w:val="18"/>
          <w:u w:val="single" w:color="auto"/>
          <w:color w:val="auto"/>
        </w:rPr>
        <w:t>, respectively, shall be true and correct in all material respects as of the Closing.</w:t>
      </w:r>
    </w:p>
    <w:p>
      <w:pPr>
        <w:spacing w:after="0" w:line="145" w:lineRule="exact"/>
        <w:rPr>
          <w:rFonts w:ascii="Arial" w:cs="Arial" w:eastAsia="Arial" w:hAnsi="Arial"/>
          <w:sz w:val="18"/>
          <w:szCs w:val="18"/>
          <w:u w:val="single" w:color="auto"/>
          <w:color w:val="auto"/>
        </w:rPr>
      </w:pPr>
    </w:p>
    <w:p>
      <w:pPr>
        <w:ind w:left="480" w:right="80" w:firstLine="1297"/>
        <w:spacing w:after="0" w:line="259" w:lineRule="auto"/>
        <w:tabs>
          <w:tab w:leader="none" w:pos="2197"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ACM and ACM Shanghai shall have performed and complied with all covenants, agreements, obligations and conditions contained in this Agreement that are required to be performed or complied with by each of ACM and ACM Shanghai as of or before the Closing.</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jc w:val="center"/>
        <w:ind w:right="46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590" w:right="259" w:bottom="1440" w:gutter="0" w:footer="0" w:header="0"/>
        </w:sectPr>
      </w:pPr>
    </w:p>
    <w:bookmarkStart w:id="50" w:name="page51"/>
    <w:bookmarkEnd w:id="50"/>
    <w:p>
      <w:pPr>
        <w:ind w:left="486" w:right="220" w:firstLine="1297"/>
        <w:spacing w:after="0" w:line="332" w:lineRule="auto"/>
        <w:tabs>
          <w:tab w:leader="none" w:pos="2193"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authorizations, approvals or permits of any governmental authority or regulatory body that are required in connection with the lawful issuance and sale of the Warrant Shares pursuant to this Agreement shall have been obtained and be effective as of the Closing.</w:t>
      </w:r>
    </w:p>
    <w:p>
      <w:pPr>
        <w:spacing w:after="0" w:line="98" w:lineRule="exact"/>
        <w:rPr>
          <w:rFonts w:ascii="Arial" w:cs="Arial" w:eastAsia="Arial" w:hAnsi="Arial"/>
          <w:sz w:val="16"/>
          <w:szCs w:val="16"/>
          <w:color w:val="auto"/>
        </w:rPr>
      </w:pPr>
    </w:p>
    <w:p>
      <w:pPr>
        <w:ind w:left="346" w:hanging="346"/>
        <w:spacing w:after="0"/>
        <w:tabs>
          <w:tab w:leader="none" w:pos="34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ACM</w:t>
      </w:r>
      <w:r>
        <w:rPr>
          <w:rFonts w:ascii="Arial" w:cs="Arial" w:eastAsia="Arial" w:hAnsi="Arial"/>
          <w:sz w:val="18"/>
          <w:szCs w:val="18"/>
          <w:color w:val="auto"/>
        </w:rPr>
        <w:t>. ACM represents and warrants to each of ACM Shanghai and SMC as follows:</w:t>
      </w:r>
    </w:p>
    <w:p>
      <w:pPr>
        <w:spacing w:after="0" w:line="185" w:lineRule="exact"/>
        <w:rPr>
          <w:sz w:val="20"/>
          <w:szCs w:val="20"/>
          <w:color w:val="auto"/>
        </w:rPr>
      </w:pPr>
    </w:p>
    <w:p>
      <w:pPr>
        <w:ind w:left="966"/>
        <w:spacing w:after="0"/>
        <w:tabs>
          <w:tab w:leader="none" w:pos="1385"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required to be taken to authorize ACM to enter into and perform this Agreement has been taken.</w:t>
      </w:r>
    </w:p>
    <w:p>
      <w:pPr>
        <w:spacing w:after="0" w:line="185" w:lineRule="exact"/>
        <w:rPr>
          <w:sz w:val="20"/>
          <w:szCs w:val="20"/>
          <w:color w:val="auto"/>
        </w:rPr>
      </w:pPr>
    </w:p>
    <w:p>
      <w:pPr>
        <w:ind w:left="6" w:right="180" w:firstLine="972"/>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Binding Obligation</w:t>
      </w:r>
      <w:r>
        <w:rPr>
          <w:rFonts w:ascii="Arial" w:cs="Arial" w:eastAsia="Arial" w:hAnsi="Arial"/>
          <w:sz w:val="18"/>
          <w:szCs w:val="18"/>
          <w:color w:val="auto"/>
        </w:rPr>
        <w:t>. This Agreement constitutes a valid and legally binding obligation of ACM, enforceable against ACM in accordance 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57" w:lineRule="exact"/>
        <w:rPr>
          <w:sz w:val="20"/>
          <w:szCs w:val="20"/>
          <w:color w:val="auto"/>
        </w:rPr>
      </w:pPr>
    </w:p>
    <w:p>
      <w:pPr>
        <w:ind w:left="6" w:right="120" w:firstLine="972"/>
        <w:spacing w:after="0" w:line="25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Valid Issuance of Warrant Shares</w:t>
      </w:r>
      <w:r>
        <w:rPr>
          <w:rFonts w:ascii="Arial" w:cs="Arial" w:eastAsia="Arial" w:hAnsi="Arial"/>
          <w:sz w:val="18"/>
          <w:szCs w:val="18"/>
          <w:color w:val="auto"/>
        </w:rPr>
        <w:t>. The Warrant Shares, when issued, sold and delivered in accordance with the terms and for the consideration set forth in this Agreement, will be validly issued, fully paid and nonassessable, and free of restrictions on transfer other than restrictions on transfer under this Agreement and the SMC Note, applicable U.S. federal and state securities laws, and liens or encumbrances created by or imposed by SMC, including liens or encumbrances under this Agreement and the SMC Note.</w:t>
      </w:r>
    </w:p>
    <w:p>
      <w:pPr>
        <w:spacing w:after="0" w:line="157" w:lineRule="exact"/>
        <w:rPr>
          <w:sz w:val="20"/>
          <w:szCs w:val="20"/>
          <w:color w:val="auto"/>
        </w:rPr>
      </w:pPr>
    </w:p>
    <w:p>
      <w:pPr>
        <w:ind w:left="6" w:right="340" w:firstLine="972"/>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Governmental Consents and Filings</w:t>
      </w:r>
      <w:r>
        <w:rPr>
          <w:rFonts w:ascii="Arial" w:cs="Arial" w:eastAsia="Arial" w:hAnsi="Arial"/>
          <w:sz w:val="18"/>
          <w:szCs w:val="18"/>
          <w:color w:val="auto"/>
        </w:rPr>
        <w:t>. No consent, approval, order or authorization of, or registration, qualification, designation, declaration or filing with, any national, provincial or local governmental authority of any jurisdiction is required to be obtained by ACM in connection with the consummation of the transactions contemplated by this Agreement.</w:t>
      </w:r>
    </w:p>
    <w:p>
      <w:pPr>
        <w:spacing w:after="0" w:line="154" w:lineRule="exact"/>
        <w:rPr>
          <w:sz w:val="20"/>
          <w:szCs w:val="20"/>
          <w:color w:val="auto"/>
        </w:rPr>
      </w:pPr>
    </w:p>
    <w:p>
      <w:pPr>
        <w:ind w:left="6" w:firstLine="972"/>
        <w:spacing w:after="0" w:line="289"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ACM is not in violation or default (a) of any provisions of its organizational documents, (b) of any instrument, judgment, order, writ or decree, (c) under any note, indenture or mortgage, or (d) under any lease, agreement, contract or purchase order to which it is a party or by which it is bound, or, to its knowledge, of any provision of any statute, rule or regulation applicable to ACM, the violation of which would have a material adverse effect on the business, assets (including intangible assets), liabilities, financial condition, property or operating results of ACM. The execution, delivery and performance of this Agreement and the consummation of the transactions contemplated by this Agreement will not result in any such violation or be in conflict with or constitute, with or without the passage of time and giving of notice, either (x) a default under any such provision, instrument, judgment, order, writ, decree, contract or agreement or (y) an event that results in the creation of any lien, charge or encumbrance upon any assets of ACM or the suspension, revocation, forfeiture, or nonrenewal of any material permit or license applicable to ACM.</w:t>
      </w:r>
    </w:p>
    <w:p>
      <w:pPr>
        <w:spacing w:after="0" w:line="132" w:lineRule="exact"/>
        <w:rPr>
          <w:sz w:val="20"/>
          <w:szCs w:val="20"/>
          <w:color w:val="auto"/>
        </w:rPr>
      </w:pPr>
    </w:p>
    <w:p>
      <w:pPr>
        <w:ind w:left="346" w:hanging="346"/>
        <w:spacing w:after="0"/>
        <w:tabs>
          <w:tab w:leader="none" w:pos="34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ACM Shanghai</w:t>
      </w:r>
      <w:r>
        <w:rPr>
          <w:rFonts w:ascii="Arial" w:cs="Arial" w:eastAsia="Arial" w:hAnsi="Arial"/>
          <w:sz w:val="18"/>
          <w:szCs w:val="18"/>
          <w:color w:val="auto"/>
        </w:rPr>
        <w:t>. ACM Shanghai represents and warrants to each of ACM and SMC as follows:</w:t>
      </w:r>
    </w:p>
    <w:p>
      <w:pPr>
        <w:spacing w:after="0" w:line="185" w:lineRule="exact"/>
        <w:rPr>
          <w:sz w:val="20"/>
          <w:szCs w:val="20"/>
          <w:color w:val="auto"/>
        </w:rPr>
      </w:pPr>
    </w:p>
    <w:p>
      <w:pPr>
        <w:ind w:left="6" w:right="820" w:firstLine="972"/>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Authorization</w:t>
      </w:r>
      <w:r>
        <w:rPr>
          <w:rFonts w:ascii="Arial" w:cs="Arial" w:eastAsia="Arial" w:hAnsi="Arial"/>
          <w:sz w:val="18"/>
          <w:szCs w:val="18"/>
          <w:color w:val="auto"/>
        </w:rPr>
        <w:t>. All action required to be taken to authorize ACM Shanghai to enter into and perform this Agreement and the Intercompany Note has been taken.</w:t>
      </w:r>
    </w:p>
    <w:p>
      <w:pPr>
        <w:spacing w:after="0" w:line="335"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6"/>
          </w:cols>
          <w:pgMar w:left="734" w:top="590" w:right="239" w:bottom="1440" w:gutter="0" w:footer="0" w:header="0"/>
        </w:sectPr>
      </w:pPr>
    </w:p>
    <w:bookmarkStart w:id="51" w:name="page52"/>
    <w:bookmarkEnd w:id="51"/>
    <w:p>
      <w:pPr>
        <w:ind w:left="6" w:right="240" w:firstLine="972"/>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Binding Obligation</w:t>
      </w:r>
      <w:r>
        <w:rPr>
          <w:rFonts w:ascii="Arial" w:cs="Arial" w:eastAsia="Arial" w:hAnsi="Arial"/>
          <w:sz w:val="16"/>
          <w:szCs w:val="16"/>
          <w:color w:val="auto"/>
        </w:rPr>
        <w:t>. Each of this Agreement and the Intercompany Note constitutes a valid and legally binding obligation of ACM Shanghai, enforceable against ACM Shanghai in accordance 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26" w:lineRule="exact"/>
        <w:rPr>
          <w:sz w:val="20"/>
          <w:szCs w:val="20"/>
          <w:color w:val="auto"/>
        </w:rPr>
      </w:pPr>
    </w:p>
    <w:p>
      <w:pPr>
        <w:ind w:left="6" w:right="460" w:firstLine="972"/>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Governmental Consents and Filings</w:t>
      </w:r>
      <w:r>
        <w:rPr>
          <w:rFonts w:ascii="Arial" w:cs="Arial" w:eastAsia="Arial" w:hAnsi="Arial"/>
          <w:sz w:val="18"/>
          <w:szCs w:val="18"/>
          <w:color w:val="auto"/>
        </w:rPr>
        <w:t>. No consent, approval, order or authorization of, or registration, qualification, designation, declaration or filing with, any national, provincial or local governmental authority of any jurisdiction is required to be obtained by ACM Shanghai in connection with the consummation of the transactions contemplated by this Agreement.</w:t>
      </w:r>
    </w:p>
    <w:p>
      <w:pPr>
        <w:spacing w:after="0" w:line="154" w:lineRule="exact"/>
        <w:rPr>
          <w:sz w:val="20"/>
          <w:szCs w:val="20"/>
          <w:color w:val="auto"/>
        </w:rPr>
      </w:pPr>
    </w:p>
    <w:p>
      <w:pPr>
        <w:ind w:left="966"/>
        <w:spacing w:after="0"/>
        <w:tabs>
          <w:tab w:leader="none" w:pos="1385"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ACM Shanghai is not in violation or default (a) of any provisions of its organizational documents,</w:t>
      </w:r>
    </w:p>
    <w:p>
      <w:pPr>
        <w:spacing w:after="0" w:line="15" w:lineRule="exact"/>
        <w:rPr>
          <w:sz w:val="20"/>
          <w:szCs w:val="20"/>
          <w:color w:val="auto"/>
        </w:rPr>
      </w:pPr>
    </w:p>
    <w:p>
      <w:pPr>
        <w:ind w:left="6" w:right="20" w:hanging="6"/>
        <w:spacing w:after="0" w:line="281" w:lineRule="auto"/>
        <w:tabs>
          <w:tab w:leader="none" w:pos="254" w:val="left"/>
        </w:tabs>
        <w:numPr>
          <w:ilvl w:val="0"/>
          <w:numId w:val="44"/>
        </w:numPr>
        <w:rPr>
          <w:rFonts w:ascii="Arial" w:cs="Arial" w:eastAsia="Arial" w:hAnsi="Arial"/>
          <w:sz w:val="16"/>
          <w:szCs w:val="16"/>
          <w:color w:val="auto"/>
        </w:rPr>
      </w:pPr>
      <w:r>
        <w:rPr>
          <w:rFonts w:ascii="Arial" w:cs="Arial" w:eastAsia="Arial" w:hAnsi="Arial"/>
          <w:sz w:val="16"/>
          <w:szCs w:val="16"/>
          <w:color w:val="auto"/>
        </w:rPr>
        <w:t>of any instrument, judgment, order, writ or decree, (c) under any note, indenture or mortgage, or (d) under any lease, agreement, contract or purchase order to which it is a party or by which it is bound, or, to its knowledge, of any provision of any statute, rule or regulation applicable to ACM Shanghai, the violation of which would have a material adverse effect on the business, assets (including intangible assets), liabilities, financial condition, property or operating results of ACM Shanghai. The execution, delivery and performance of this Agreement and the consummation of the transactions contemplated by this Agreement will not result in any such violation or be in conflict with or constitute, with or without the passage of time and giving of notice, either</w:t>
      </w:r>
    </w:p>
    <w:p>
      <w:pPr>
        <w:spacing w:after="0" w:line="3" w:lineRule="exact"/>
        <w:rPr>
          <w:rFonts w:ascii="Arial" w:cs="Arial" w:eastAsia="Arial" w:hAnsi="Arial"/>
          <w:sz w:val="16"/>
          <w:szCs w:val="16"/>
          <w:color w:val="auto"/>
        </w:rPr>
      </w:pPr>
    </w:p>
    <w:p>
      <w:pPr>
        <w:ind w:left="6" w:right="200" w:hanging="6"/>
        <w:spacing w:after="0" w:line="255" w:lineRule="auto"/>
        <w:tabs>
          <w:tab w:leader="none" w:pos="2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under any such provision, instrument, judgment, order, writ, decree, contract or agreement or (y) an event that results in the creation of any lien, charge or encumbrance upon any assets of ACM Shanghai or the suspension, revocation, forfeiture, or nonrenewal of any material permit or license applicable to ACM Shanghai.</w:t>
      </w:r>
    </w:p>
    <w:p>
      <w:pPr>
        <w:spacing w:after="0" w:line="158" w:lineRule="exact"/>
        <w:rPr>
          <w:sz w:val="20"/>
          <w:szCs w:val="20"/>
          <w:color w:val="auto"/>
        </w:rPr>
      </w:pPr>
    </w:p>
    <w:p>
      <w:pPr>
        <w:ind w:left="346" w:hanging="346"/>
        <w:spacing w:after="0"/>
        <w:tabs>
          <w:tab w:leader="none" w:pos="34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SMC</w:t>
      </w:r>
      <w:r>
        <w:rPr>
          <w:rFonts w:ascii="Arial" w:cs="Arial" w:eastAsia="Arial" w:hAnsi="Arial"/>
          <w:sz w:val="18"/>
          <w:szCs w:val="18"/>
          <w:color w:val="auto"/>
        </w:rPr>
        <w:t>. SMC represents and warrants to each of ACM and ACM Shanghai as follows:</w:t>
      </w:r>
    </w:p>
    <w:p>
      <w:pPr>
        <w:spacing w:after="0" w:line="185" w:lineRule="exact"/>
        <w:rPr>
          <w:sz w:val="20"/>
          <w:szCs w:val="20"/>
          <w:color w:val="auto"/>
        </w:rPr>
      </w:pPr>
    </w:p>
    <w:p>
      <w:pPr>
        <w:ind w:left="966"/>
        <w:spacing w:after="0"/>
        <w:tabs>
          <w:tab w:leader="none" w:pos="1385"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Authorization</w:t>
      </w:r>
      <w:r>
        <w:rPr>
          <w:rFonts w:ascii="Arial" w:cs="Arial" w:eastAsia="Arial" w:hAnsi="Arial"/>
          <w:sz w:val="16"/>
          <w:szCs w:val="16"/>
          <w:color w:val="auto"/>
        </w:rPr>
        <w:t>. All action required to be taken to authorize SMC to enter into and perform this Agreement and the SMC Note has been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taken.</w:t>
      </w:r>
    </w:p>
    <w:p>
      <w:pPr>
        <w:spacing w:after="0" w:line="178" w:lineRule="exact"/>
        <w:rPr>
          <w:sz w:val="20"/>
          <w:szCs w:val="20"/>
          <w:color w:val="auto"/>
        </w:rPr>
      </w:pPr>
    </w:p>
    <w:p>
      <w:pPr>
        <w:ind w:left="6" w:right="80" w:firstLine="972"/>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Binding Obligation</w:t>
      </w:r>
      <w:r>
        <w:rPr>
          <w:rFonts w:ascii="Arial" w:cs="Arial" w:eastAsia="Arial" w:hAnsi="Arial"/>
          <w:sz w:val="18"/>
          <w:szCs w:val="18"/>
          <w:color w:val="auto"/>
        </w:rPr>
        <w:t>. Each of this Agreement and the SMC Note constitutes a valid and legally binding obligation of SMC, enforceable against SMC in accordance 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57" w:lineRule="exact"/>
        <w:rPr>
          <w:sz w:val="20"/>
          <w:szCs w:val="20"/>
          <w:color w:val="auto"/>
        </w:rPr>
      </w:pPr>
    </w:p>
    <w:p>
      <w:pPr>
        <w:ind w:left="6" w:right="20" w:firstLine="972"/>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Governmental Consents and Filings</w:t>
      </w:r>
      <w:r>
        <w:rPr>
          <w:rFonts w:ascii="Arial" w:cs="Arial" w:eastAsia="Arial" w:hAnsi="Arial"/>
          <w:sz w:val="18"/>
          <w:szCs w:val="18"/>
          <w:color w:val="auto"/>
        </w:rPr>
        <w:t>. No consent, approval, order or authorization of, or registration, qualification, designation, declaration or filing with, any national, provincial or local governmental authority of any jurisdiction is required to be obtained by SMC in connection with the consummation of the transactions contemplated by this Agreement.</w:t>
      </w:r>
    </w:p>
    <w:p>
      <w:pPr>
        <w:spacing w:after="0" w:line="154" w:lineRule="exact"/>
        <w:rPr>
          <w:sz w:val="20"/>
          <w:szCs w:val="20"/>
          <w:color w:val="auto"/>
        </w:rPr>
      </w:pPr>
    </w:p>
    <w:p>
      <w:pPr>
        <w:ind w:left="6" w:firstLine="972"/>
        <w:spacing w:after="0" w:line="28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SMC is not in violation or default (a) of any provisions of its organizational documents, (b) of any instrument, judgment, order, writ or decree, (c) under any note, indenture or mortgage, or (d) under any lease, agreement, contract or purchase order to which it is a party or by which it is bound, or, to its knowledge, of any provision of any statute, rule or regulation applicable to SMC, the violation of which would have a material adverse effect on the business, assets (including intangible assets), liabilities, financial condition, property or operating results of SMC. The execution, delivery and performance of this Agreement and the consummation of the transactions contemplated by this Agreement will not result in any such violation or be in conflict with or constitute, with or without the passage of time and giving of notice, either (x) a default under any such provision, instrument, judgment, order, writ, decree, contract or agreement or (y) an event that results in the creation of any lien, charge or encumbrance upon any assets of SMC or the suspension, revocation, forfeiture, or nonrenewal of any material permit or license applicable to SMC.</w:t>
      </w:r>
    </w:p>
    <w:p>
      <w:pPr>
        <w:spacing w:after="0" w:line="321"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6"/>
          </w:cols>
          <w:pgMar w:left="734" w:top="590" w:right="239" w:bottom="1440" w:gutter="0" w:footer="0" w:header="0"/>
        </w:sectPr>
      </w:pPr>
    </w:p>
    <w:bookmarkStart w:id="52" w:name="page53"/>
    <w:bookmarkEnd w:id="52"/>
    <w:p>
      <w:pPr>
        <w:ind w:right="300" w:firstLine="972"/>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SMC is acquiring the Warrant Shares for investment for its own account, not as a nominee or agent and not with a view to the resale or distribution of any interest in the Warrant Shares. SMC has no present intention of selling, granting any participation in or otherwise distributing any interest in the Warrant Shares. SMC does not presently have any contract, undertaking, agreement or arrangement with any individual or entity to sell, transfer or grant participations to either such individual or entity or any third party, with respect to the Warrant Shares.</w:t>
      </w:r>
    </w:p>
    <w:p>
      <w:pPr>
        <w:spacing w:after="0" w:line="156" w:lineRule="exact"/>
        <w:rPr>
          <w:sz w:val="20"/>
          <w:szCs w:val="20"/>
          <w:color w:val="auto"/>
        </w:rPr>
      </w:pPr>
    </w:p>
    <w:p>
      <w:pPr>
        <w:ind w:firstLine="972"/>
        <w:spacing w:after="0" w:line="256" w:lineRule="auto"/>
        <w:rPr>
          <w:rFonts w:ascii="Arial" w:cs="Arial" w:eastAsia="Arial" w:hAnsi="Arial"/>
          <w:sz w:val="18"/>
          <w:szCs w:val="18"/>
          <w:u w:val="single" w:color="auto"/>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xml:space="preserve">. SMC has had an opportunity to discuss with ACM’s management the business, management and financial affairs of ACM and ACM Shanghai and the terms and conditions of the offering of the Warrant Shares, and SMC has had an opportunity to review ACM Shanghai’s facilities. The foregoing, however, does not limit or modify the representations and warranties of ACM and ACM Shanghai in </w:t>
      </w:r>
      <w:r>
        <w:rPr>
          <w:rFonts w:ascii="Arial" w:cs="Arial" w:eastAsia="Arial" w:hAnsi="Arial"/>
          <w:sz w:val="18"/>
          <w:szCs w:val="18"/>
          <w:u w:val="single" w:color="auto"/>
          <w:color w:val="auto"/>
        </w:rPr>
        <w:t xml:space="preserve">Sections </w:t>
      </w:r>
      <w:hyperlink w:anchor="page51">
        <w:r>
          <w:rPr>
            <w:rFonts w:ascii="Arial" w:cs="Arial" w:eastAsia="Arial" w:hAnsi="Arial"/>
            <w:sz w:val="18"/>
            <w:szCs w:val="18"/>
            <w:u w:val="single" w:color="auto"/>
            <w:color w:val="auto"/>
          </w:rPr>
          <w:t xml:space="preserve">2 </w:t>
        </w:r>
      </w:hyperlink>
      <w:r>
        <w:rPr>
          <w:rFonts w:ascii="Arial" w:cs="Arial" w:eastAsia="Arial" w:hAnsi="Arial"/>
          <w:sz w:val="18"/>
          <w:szCs w:val="18"/>
          <w:u w:val="single" w:color="auto"/>
          <w:color w:val="auto"/>
        </w:rPr>
        <w:t xml:space="preserve">and </w:t>
      </w:r>
      <w:hyperlink w:anchor="page51">
        <w:r>
          <w:rPr>
            <w:rFonts w:ascii="Arial" w:cs="Arial" w:eastAsia="Arial" w:hAnsi="Arial"/>
            <w:sz w:val="18"/>
            <w:szCs w:val="18"/>
            <w:u w:val="single" w:color="auto"/>
            <w:color w:val="auto"/>
          </w:rPr>
          <w:t>3</w:t>
        </w:r>
      </w:hyperlink>
      <w:r>
        <w:rPr>
          <w:rFonts w:ascii="Arial" w:cs="Arial" w:eastAsia="Arial" w:hAnsi="Arial"/>
          <w:sz w:val="18"/>
          <w:szCs w:val="18"/>
          <w:u w:val="single" w:color="auto"/>
          <w:color w:val="auto"/>
        </w:rPr>
        <w:t>, respectively, or the right of SMC to rely thereon.</w:t>
      </w:r>
    </w:p>
    <w:p>
      <w:pPr>
        <w:spacing w:after="0" w:line="157" w:lineRule="exact"/>
        <w:rPr>
          <w:sz w:val="20"/>
          <w:szCs w:val="20"/>
          <w:color w:val="auto"/>
        </w:rPr>
      </w:pPr>
    </w:p>
    <w:p>
      <w:pPr>
        <w:ind w:right="20" w:firstLine="972"/>
        <w:spacing w:after="0" w:line="28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SMC understands that the Warrant Shares have not been, and will not be, registered under the U.S.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by reason of a specific exemption from the registration provisions of the Securities Act that depends upon, among other things, the bona fide nature of the investment intent and the accuracy of SMC’s representations as expressed in this Agreement. SMC understands that the Warrant Shares are “restricted securities” under applicable U.S. federal and state securities laws and that, pursuant to those laws, SMC must hold the Warrant Shares indefinitely unless they are registered with the Securities and Exchange Commission and qualified by state authorities, or an exemption from such registration and qualification requirements is available, including a transfer outside of the United States in an offshore transaction in compliance with Rule 904 under the Securities Act of (if applicable). SMC acknowledges that ACM has no obligation to register or qualify for resale the Warrant Shares, except as set forth in the Registration Rights Agreement by and among ACM and certain of its stockholders (the “</w:t>
      </w:r>
      <w:r>
        <w:rPr>
          <w:rFonts w:ascii="Arial" w:cs="Arial" w:eastAsia="Arial" w:hAnsi="Arial"/>
          <w:sz w:val="16"/>
          <w:szCs w:val="16"/>
          <w:i w:val="1"/>
          <w:iCs w:val="1"/>
          <w:color w:val="auto"/>
        </w:rPr>
        <w:t>Registration Rights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SMC further acknowledges that if an exemption from registration or qualification is available, it may be conditioned on various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time and manner of sale, the holding period for the Warrant Shares, and on requirements relating to ACM that are outside of SMC’s control and that ACM is under no obligation, and may not be able, to satisfy.</w:t>
      </w:r>
    </w:p>
    <w:p>
      <w:pPr>
        <w:spacing w:after="0" w:line="141" w:lineRule="exact"/>
        <w:rPr>
          <w:sz w:val="20"/>
          <w:szCs w:val="20"/>
          <w:color w:val="auto"/>
        </w:rPr>
      </w:pPr>
    </w:p>
    <w:p>
      <w:pPr>
        <w:ind w:right="100" w:firstLine="972"/>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Legends</w:t>
      </w:r>
      <w:r>
        <w:rPr>
          <w:rFonts w:ascii="Arial" w:cs="Arial" w:eastAsia="Arial" w:hAnsi="Arial"/>
          <w:sz w:val="18"/>
          <w:szCs w:val="18"/>
          <w:color w:val="auto"/>
        </w:rPr>
        <w:t>. SMC understands that the Warrant Shares, which will be held in book-entry form, may be notated with restrictive legends as ACM and its counsel deem necessary or advisable under applicable law or pursuant to this Agreement, including a legend substantially to the following effect:</w:t>
      </w:r>
    </w:p>
    <w:p>
      <w:pPr>
        <w:spacing w:after="0" w:line="127" w:lineRule="exact"/>
        <w:rPr>
          <w:sz w:val="20"/>
          <w:szCs w:val="20"/>
          <w:color w:val="auto"/>
        </w:rPr>
      </w:pPr>
    </w:p>
    <w:p>
      <w:pPr>
        <w:jc w:val="both"/>
        <w:ind w:left="800" w:right="660"/>
        <w:spacing w:after="0" w:line="256" w:lineRule="auto"/>
        <w:rPr>
          <w:sz w:val="20"/>
          <w:szCs w:val="20"/>
          <w:color w:val="auto"/>
        </w:rPr>
      </w:pPr>
      <w:r>
        <w:rPr>
          <w:rFonts w:ascii="Arial" w:cs="Arial" w:eastAsia="Arial" w:hAnsi="Arial"/>
          <w:sz w:val="18"/>
          <w:szCs w:val="18"/>
          <w:color w:val="auto"/>
        </w:rPr>
        <w:t>“THESE SECURITIES HAVE BEEN ACQUIRED FOR INVESTMENT AND HAVE NOT BEEN REGISTERED UNDER THE U.S. SECURITIES ACT OF 1933. SUCH SECURITIES MAY NOT BE SOLD, PLEDGED, OR TRANSFERRED IN THE ABSENCE OF SUCH REGISTRATION OR A VALID EXEMPTION FROM THE REGISTRATION OF THE U.S. SECURITIES ACT OF 1933.”</w:t>
      </w:r>
    </w:p>
    <w:p>
      <w:pPr>
        <w:spacing w:after="0" w:line="157" w:lineRule="exact"/>
        <w:rPr>
          <w:sz w:val="20"/>
          <w:szCs w:val="20"/>
          <w:color w:val="auto"/>
        </w:rPr>
      </w:pPr>
    </w:p>
    <w:p>
      <w:pPr>
        <w:ind w:right="100" w:firstLine="972"/>
        <w:spacing w:after="0" w:line="288"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Investor Status</w:t>
      </w:r>
      <w:r>
        <w:rPr>
          <w:rFonts w:ascii="Arial" w:cs="Arial" w:eastAsia="Arial" w:hAnsi="Arial"/>
          <w:sz w:val="16"/>
          <w:szCs w:val="16"/>
          <w:color w:val="auto"/>
        </w:rPr>
        <w:t>. SMC is an accredited investor as defined in Rule 501(a) of Regulation D promulgated under the Securities Act and is not a U.S. person as defined in Regulation S under the Securities Act and the Warrant Shares have not been offered or sold within the United States as defined under the Securities Act. At the time of the origination of discussion regarding the offer and sale of the Warrant Shares and the date of the execution and delivery of this Agreement, SMC was at all times outside of the United States. SMC has satisfied itself as to the full observance of the laws of its jurisdiction in connection with any invitation to receive the Warrant Shares or any use of this Agreement, including (a) the legal requirements within its jurisdiction for the purchase of the Warrant Shares, (b) any foreign exchange restrictions applicable to such purchase, (c) any governmental or other consents that may need to be obtained, (d) the income tax and other tax consequences, if any, that may be relevant to the purchase, holding, redemption, sale, or transfer of the Warrant Shares, and (e) SMC’s receipt and continued beneficial ownership of the Warrant Shares will not violate any applicable securities or other laws of SMC’s jurisdiction.</w:t>
      </w:r>
    </w:p>
    <w:p>
      <w:pPr>
        <w:spacing w:after="0" w:line="32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590" w:right="239" w:bottom="1440" w:gutter="0" w:footer="0" w:header="0"/>
        </w:sectPr>
      </w:pPr>
    </w:p>
    <w:bookmarkStart w:id="53" w:name="page54"/>
    <w:bookmarkEnd w:id="53"/>
    <w:p>
      <w:pPr>
        <w:ind w:left="346" w:hanging="346"/>
        <w:spacing w:after="0"/>
        <w:tabs>
          <w:tab w:leader="none" w:pos="34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Grant and Release of Security Interest</w:t>
      </w:r>
      <w:r>
        <w:rPr>
          <w:rFonts w:ascii="Arial" w:cs="Arial" w:eastAsia="Arial" w:hAnsi="Arial"/>
          <w:sz w:val="18"/>
          <w:szCs w:val="18"/>
          <w:color w:val="auto"/>
        </w:rPr>
        <w:t>.</w:t>
      </w:r>
    </w:p>
    <w:p>
      <w:pPr>
        <w:spacing w:after="0" w:line="185" w:lineRule="exact"/>
        <w:rPr>
          <w:sz w:val="20"/>
          <w:szCs w:val="20"/>
          <w:color w:val="auto"/>
        </w:rPr>
      </w:pPr>
    </w:p>
    <w:p>
      <w:pPr>
        <w:ind w:left="6" w:right="40" w:firstLine="972"/>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As security for the performance of any and all obligations of SMC pursuant to the SMC Note, SMC pledges and grants to ACM Shanghai a continuing security interest in all right, title and interest of SMC in and to the Warrant Shares. SMC understands that the Warrant Shares, which will be held in book-entry form, may be notated with legends to evidence ACM Shanghai’s security interest, and SMC agrees to cooperate with ACM Shanghai in taking such other steps as ACM Shanghai may reasonably determine to be desirable to evidence, protect and preserve its security interest in the Warrant Shares.</w:t>
      </w:r>
    </w:p>
    <w:p>
      <w:pPr>
        <w:spacing w:after="0" w:line="156" w:lineRule="exact"/>
        <w:rPr>
          <w:sz w:val="20"/>
          <w:szCs w:val="20"/>
          <w:color w:val="auto"/>
        </w:rPr>
      </w:pPr>
    </w:p>
    <w:p>
      <w:pPr>
        <w:ind w:left="6" w:right="140" w:firstLine="972"/>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Release of Security Interest</w:t>
      </w:r>
      <w:r>
        <w:rPr>
          <w:rFonts w:ascii="Arial" w:cs="Arial" w:eastAsia="Arial" w:hAnsi="Arial"/>
          <w:sz w:val="18"/>
          <w:szCs w:val="18"/>
          <w:color w:val="auto"/>
        </w:rPr>
        <w:t xml:space="preserve">. In the event SMC wishes to sell any of the Warrant Shares while the SMC Note remains outstanding, ACM Shanghai agrees that its security interest in such Warrant Shares will be released if, and only if, SMC complies with the provisions of this </w:t>
      </w:r>
      <w:r>
        <w:rPr>
          <w:rFonts w:ascii="Arial" w:cs="Arial" w:eastAsia="Arial" w:hAnsi="Arial"/>
          <w:sz w:val="18"/>
          <w:szCs w:val="18"/>
          <w:u w:val="single" w:color="auto"/>
          <w:color w:val="auto"/>
        </w:rPr>
        <w:t>Subsection 5.2</w:t>
      </w:r>
      <w:r>
        <w:rPr>
          <w:rFonts w:ascii="Arial" w:cs="Arial" w:eastAsia="Arial" w:hAnsi="Arial"/>
          <w:sz w:val="18"/>
          <w:szCs w:val="18"/>
          <w:color w:val="auto"/>
        </w:rPr>
        <w:t>. In order to release the security interest in Warrant Shares in connection with a sale of such Warrant Shares, SMC must pay with respect to the SMC Note (a) principal of the SMC Note in an amount equal to $7.50 multiplied by the number of Warrant Shares being sold plus (b) the amount of interest accrued on such principal amount since the issue date of the SMC Note (with respect to such proposed sale, the “</w:t>
      </w:r>
      <w:r>
        <w:rPr>
          <w:rFonts w:ascii="Arial" w:cs="Arial" w:eastAsia="Arial" w:hAnsi="Arial"/>
          <w:sz w:val="18"/>
          <w:szCs w:val="18"/>
          <w:i w:val="1"/>
          <w:iCs w:val="1"/>
          <w:color w:val="auto"/>
        </w:rPr>
        <w:t>Required Note Payment</w:t>
      </w:r>
      <w:r>
        <w:rPr>
          <w:rFonts w:ascii="Arial" w:cs="Arial" w:eastAsia="Arial" w:hAnsi="Arial"/>
          <w:sz w:val="18"/>
          <w:szCs w:val="18"/>
          <w:color w:val="auto"/>
        </w:rPr>
        <w:t>”). In furtherance of the foregoing:</w:t>
      </w:r>
    </w:p>
    <w:p>
      <w:pPr>
        <w:spacing w:after="0" w:line="131" w:lineRule="exact"/>
        <w:rPr>
          <w:sz w:val="20"/>
          <w:szCs w:val="20"/>
          <w:color w:val="auto"/>
        </w:rPr>
      </w:pPr>
    </w:p>
    <w:p>
      <w:pPr>
        <w:jc w:val="both"/>
        <w:ind w:left="1306" w:hanging="495"/>
        <w:spacing w:after="0" w:line="259" w:lineRule="auto"/>
        <w:tabs>
          <w:tab w:leader="none" w:pos="13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SMC shall provide to ACM Shanghai, at least ten days before the date of any such sale, a notice (a “</w:t>
      </w:r>
      <w:r>
        <w:rPr>
          <w:rFonts w:ascii="Arial" w:cs="Arial" w:eastAsia="Arial" w:hAnsi="Arial"/>
          <w:sz w:val="18"/>
          <w:szCs w:val="18"/>
          <w:i w:val="1"/>
          <w:iCs w:val="1"/>
          <w:color w:val="auto"/>
        </w:rPr>
        <w:t>Sale Notice</w:t>
      </w:r>
      <w:r>
        <w:rPr>
          <w:rFonts w:ascii="Arial" w:cs="Arial" w:eastAsia="Arial" w:hAnsi="Arial"/>
          <w:sz w:val="18"/>
          <w:szCs w:val="18"/>
          <w:color w:val="auto"/>
        </w:rPr>
        <w:t>”) specifying the number of Warrant Shares proposed to be sold and the date on which such sale is to occur and describing the manner in which SMC will pay the Required Note Payment with respect to such sale;</w:t>
      </w:r>
    </w:p>
    <w:p>
      <w:pPr>
        <w:spacing w:after="0" w:line="126" w:lineRule="exact"/>
        <w:rPr>
          <w:rFonts w:ascii="Arial" w:cs="Arial" w:eastAsia="Arial" w:hAnsi="Arial"/>
          <w:sz w:val="18"/>
          <w:szCs w:val="18"/>
          <w:color w:val="auto"/>
        </w:rPr>
      </w:pPr>
    </w:p>
    <w:p>
      <w:pPr>
        <w:ind w:left="1306" w:hanging="495"/>
        <w:spacing w:after="0"/>
        <w:tabs>
          <w:tab w:leader="none" w:pos="13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SMC shall promptly respond to any questions that ACM Shanghai may have with respect to such Sale Notice;</w:t>
      </w:r>
    </w:p>
    <w:p>
      <w:pPr>
        <w:spacing w:after="0" w:line="157" w:lineRule="exact"/>
        <w:rPr>
          <w:rFonts w:ascii="Arial" w:cs="Arial" w:eastAsia="Arial" w:hAnsi="Arial"/>
          <w:sz w:val="18"/>
          <w:szCs w:val="18"/>
          <w:color w:val="auto"/>
        </w:rPr>
      </w:pPr>
    </w:p>
    <w:p>
      <w:pPr>
        <w:jc w:val="both"/>
        <w:ind w:left="1306" w:hanging="495"/>
        <w:spacing w:after="0" w:line="256" w:lineRule="auto"/>
        <w:tabs>
          <w:tab w:leader="none" w:pos="13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ACM Shanghai shall notify SMC, within five days of receipt of such Sale Notice, whether the proposed arrangements for the Required Note Payment are acceptable to ACM Shanghai in its sole discretion, it being understood that if such arrangements are not acceptable to ACM Shanghai, ACM Shanghai’s security interest in the Warrant Shares proposed to be sold will not be released and the sale cannot proceed; and</w:t>
      </w:r>
    </w:p>
    <w:p>
      <w:pPr>
        <w:spacing w:after="0" w:line="129" w:lineRule="exact"/>
        <w:rPr>
          <w:rFonts w:ascii="Arial" w:cs="Arial" w:eastAsia="Arial" w:hAnsi="Arial"/>
          <w:sz w:val="18"/>
          <w:szCs w:val="18"/>
          <w:color w:val="auto"/>
        </w:rPr>
      </w:pPr>
    </w:p>
    <w:p>
      <w:pPr>
        <w:ind w:left="1306" w:hanging="495"/>
        <w:spacing w:after="0" w:line="268" w:lineRule="auto"/>
        <w:tabs>
          <w:tab w:leader="none" w:pos="13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proposed arrangements for the Required Note Payment are acceptable to ACM Shanghai and SMC chooses to proceed with the sale of the Warrant Shares in accordance with the terms described in such Sale Notice,</w:t>
      </w:r>
    </w:p>
    <w:p>
      <w:pPr>
        <w:spacing w:after="0" w:line="118" w:lineRule="exact"/>
        <w:rPr>
          <w:rFonts w:ascii="Arial" w:cs="Arial" w:eastAsia="Arial" w:hAnsi="Arial"/>
          <w:sz w:val="18"/>
          <w:szCs w:val="18"/>
          <w:color w:val="auto"/>
        </w:rPr>
      </w:pPr>
    </w:p>
    <w:p>
      <w:pPr>
        <w:ind w:left="1786" w:hanging="489"/>
        <w:spacing w:after="0"/>
        <w:tabs>
          <w:tab w:leader="none" w:pos="1786" w:val="left"/>
        </w:tabs>
        <w:numPr>
          <w:ilvl w:val="1"/>
          <w:numId w:val="48"/>
        </w:numPr>
        <w:rPr>
          <w:rFonts w:ascii="Arial" w:cs="Arial" w:eastAsia="Arial" w:hAnsi="Arial"/>
          <w:sz w:val="18"/>
          <w:szCs w:val="18"/>
          <w:color w:val="auto"/>
        </w:rPr>
      </w:pPr>
      <w:r>
        <w:rPr>
          <w:rFonts w:ascii="Arial" w:cs="Arial" w:eastAsia="Arial" w:hAnsi="Arial"/>
          <w:sz w:val="18"/>
          <w:szCs w:val="18"/>
          <w:color w:val="auto"/>
        </w:rPr>
        <w:t>SMC shall pay the amount of the Required Note Payment to ACM, upon order of ACM Shanghai;</w:t>
      </w:r>
    </w:p>
    <w:p>
      <w:pPr>
        <w:spacing w:after="0" w:line="157" w:lineRule="exact"/>
        <w:rPr>
          <w:rFonts w:ascii="Arial" w:cs="Arial" w:eastAsia="Arial" w:hAnsi="Arial"/>
          <w:sz w:val="18"/>
          <w:szCs w:val="18"/>
          <w:color w:val="auto"/>
        </w:rPr>
      </w:pPr>
    </w:p>
    <w:p>
      <w:pPr>
        <w:ind w:left="1786" w:right="20" w:hanging="489"/>
        <w:spacing w:after="0" w:line="268" w:lineRule="auto"/>
        <w:tabs>
          <w:tab w:leader="none" w:pos="1786"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amount of the Required Note Payment shall be applied to payment of the SMC Note in the principal and interest allocations set forth in the preceding sentence;</w:t>
      </w:r>
    </w:p>
    <w:p>
      <w:pPr>
        <w:spacing w:after="0" w:line="118" w:lineRule="exact"/>
        <w:rPr>
          <w:rFonts w:ascii="Arial" w:cs="Arial" w:eastAsia="Arial" w:hAnsi="Arial"/>
          <w:sz w:val="18"/>
          <w:szCs w:val="18"/>
          <w:color w:val="auto"/>
        </w:rPr>
      </w:pPr>
    </w:p>
    <w:p>
      <w:pPr>
        <w:jc w:val="both"/>
        <w:ind w:left="1786" w:hanging="489"/>
        <w:spacing w:after="0" w:line="259" w:lineRule="auto"/>
        <w:tabs>
          <w:tab w:leader="none" w:pos="1786"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consideration of ACM Shanghai’s order for SMC to pay the Required Note Payment to ACM, the amount of the Required Note Payment shall be applied to payment of the Intercompany Note in the same principal and interest allocations as applicable to the SMC Note; and</w:t>
      </w:r>
    </w:p>
    <w:p>
      <w:pPr>
        <w:spacing w:after="0" w:line="34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6"/>
          </w:cols>
          <w:pgMar w:left="734" w:top="590" w:right="239" w:bottom="1440" w:gutter="0" w:footer="0" w:header="0"/>
        </w:sectPr>
      </w:pPr>
    </w:p>
    <w:bookmarkStart w:id="54" w:name="page55"/>
    <w:bookmarkEnd w:id="54"/>
    <w:p>
      <w:pPr>
        <w:ind w:left="1786" w:right="20" w:hanging="489"/>
        <w:spacing w:after="0" w:line="268" w:lineRule="auto"/>
        <w:tabs>
          <w:tab w:leader="none" w:pos="178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ACM Shanghai shall arrange for release of its security interest in such Warrant Shares, including the removal of any legends notated on such Warrant Shares to evidence ACM Shanghai’s security interest.</w:t>
      </w:r>
    </w:p>
    <w:p>
      <w:pPr>
        <w:spacing w:after="0" w:line="145" w:lineRule="exact"/>
        <w:rPr>
          <w:rFonts w:ascii="Arial" w:cs="Arial" w:eastAsia="Arial" w:hAnsi="Arial"/>
          <w:sz w:val="18"/>
          <w:szCs w:val="18"/>
          <w:color w:val="auto"/>
        </w:rPr>
      </w:pPr>
    </w:p>
    <w:p>
      <w:pPr>
        <w:ind w:left="346" w:hanging="346"/>
        <w:spacing w:after="0"/>
        <w:tabs>
          <w:tab w:leader="none" w:pos="34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85" w:lineRule="exact"/>
        <w:rPr>
          <w:sz w:val="20"/>
          <w:szCs w:val="20"/>
          <w:color w:val="auto"/>
        </w:rPr>
      </w:pPr>
    </w:p>
    <w:p>
      <w:pPr>
        <w:ind w:left="6" w:right="100" w:firstLine="972"/>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Survival</w:t>
      </w:r>
      <w:r>
        <w:rPr>
          <w:rFonts w:ascii="Arial" w:cs="Arial" w:eastAsia="Arial" w:hAnsi="Arial"/>
          <w:sz w:val="18"/>
          <w:szCs w:val="18"/>
          <w:color w:val="auto"/>
        </w:rPr>
        <w:t>. Unless otherwise set forth in this Agreement, the representations and warranties of each Party contained in this Agreement shall survive the execution and delivery of this Agreement and shall in no way be affected by any investigation or knowledge of the subject matter thereof made by or on behalf of the other Parties.</w:t>
      </w:r>
    </w:p>
    <w:p>
      <w:pPr>
        <w:spacing w:after="0" w:line="154" w:lineRule="exact"/>
        <w:rPr>
          <w:sz w:val="20"/>
          <w:szCs w:val="20"/>
          <w:color w:val="auto"/>
        </w:rPr>
      </w:pPr>
    </w:p>
    <w:p>
      <w:pPr>
        <w:ind w:left="6" w:right="240" w:firstLine="972"/>
        <w:spacing w:after="0" w:line="25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and conditions of this Agreement shall inure to the benefit of and be binding upon the respective successors and assigns of the Parties. Nothing in this Agreement, express or implied, is intended to confer upon any party other than the Parties to this Agreement or their respective successors and assigns any rights, remedies, obligations, or liabilities under or by reason of this Agreement, except as expressly provided in this Agreement.</w:t>
      </w:r>
    </w:p>
    <w:p>
      <w:pPr>
        <w:spacing w:after="0" w:line="157" w:lineRule="exact"/>
        <w:rPr>
          <w:sz w:val="20"/>
          <w:szCs w:val="20"/>
          <w:color w:val="auto"/>
        </w:rPr>
      </w:pPr>
    </w:p>
    <w:p>
      <w:pPr>
        <w:ind w:left="6" w:right="140" w:firstLine="972"/>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controversy arising out of or relating to this Agreement shall be 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157" w:lineRule="exact"/>
        <w:rPr>
          <w:sz w:val="20"/>
          <w:szCs w:val="20"/>
          <w:color w:val="auto"/>
        </w:rPr>
      </w:pPr>
    </w:p>
    <w:p>
      <w:pPr>
        <w:ind w:left="6" w:right="120" w:firstLine="972"/>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Arial" w:cs="Arial" w:eastAsia="Arial" w:hAnsi="Arial"/>
          <w:sz w:val="18"/>
          <w:szCs w:val="18"/>
          <w:i w:val="1"/>
          <w:iCs w:val="1"/>
          <w:color w:val="auto"/>
        </w:rPr>
        <w:t>e.g.</w:t>
      </w:r>
      <w:r>
        <w:rPr>
          <w:rFonts w:ascii="Arial" w:cs="Arial" w:eastAsia="Arial" w:hAnsi="Arial"/>
          <w:sz w:val="18"/>
          <w:szCs w:val="18"/>
          <w:color w:val="auto"/>
        </w:rPr>
        <w:t>, www.docusign.com) or other transmission method and any counterpart so delivered shall be deemed to have been duly and validly delivered and be valid and effective for all purposes.</w:t>
      </w:r>
    </w:p>
    <w:p>
      <w:pPr>
        <w:spacing w:after="0" w:line="157" w:lineRule="exact"/>
        <w:rPr>
          <w:sz w:val="20"/>
          <w:szCs w:val="20"/>
          <w:color w:val="auto"/>
        </w:rPr>
      </w:pPr>
    </w:p>
    <w:p>
      <w:pPr>
        <w:ind w:left="966"/>
        <w:spacing w:after="0"/>
        <w:tabs>
          <w:tab w:leader="none" w:pos="1385"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 For purposes of this Agreement:</w:t>
      </w:r>
    </w:p>
    <w:p>
      <w:pPr>
        <w:spacing w:after="0" w:line="158" w:lineRule="exact"/>
        <w:rPr>
          <w:sz w:val="20"/>
          <w:szCs w:val="20"/>
          <w:color w:val="auto"/>
        </w:rPr>
      </w:pPr>
    </w:p>
    <w:p>
      <w:pPr>
        <w:ind w:left="1306" w:hanging="495"/>
        <w:spacing w:after="0" w:line="268" w:lineRule="auto"/>
        <w:tabs>
          <w:tab w:leader="none" w:pos="13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headings used in this Agreement are for convenience of reference only and shall not, for any purpose, be deemed a part of this Agreement;</w:t>
      </w:r>
    </w:p>
    <w:p>
      <w:pPr>
        <w:spacing w:after="0" w:line="118" w:lineRule="exact"/>
        <w:rPr>
          <w:rFonts w:ascii="Arial" w:cs="Arial" w:eastAsia="Arial" w:hAnsi="Arial"/>
          <w:sz w:val="18"/>
          <w:szCs w:val="18"/>
          <w:color w:val="auto"/>
        </w:rPr>
      </w:pPr>
    </w:p>
    <w:p>
      <w:pPr>
        <w:ind w:left="1306" w:hanging="495"/>
        <w:spacing w:after="0"/>
        <w:tabs>
          <w:tab w:leader="none" w:pos="13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references to a Section or Subsection refer to a Section or Subsection of this Agreement, unless specified otherwise;</w:t>
      </w:r>
    </w:p>
    <w:p>
      <w:pPr>
        <w:spacing w:after="0" w:line="157" w:lineRule="exact"/>
        <w:rPr>
          <w:rFonts w:ascii="Arial" w:cs="Arial" w:eastAsia="Arial" w:hAnsi="Arial"/>
          <w:sz w:val="18"/>
          <w:szCs w:val="18"/>
          <w:color w:val="auto"/>
        </w:rPr>
      </w:pPr>
    </w:p>
    <w:p>
      <w:pPr>
        <w:ind w:left="1306" w:hanging="495"/>
        <w:spacing w:after="0"/>
        <w:tabs>
          <w:tab w:leader="none" w:pos="13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words “include” and “including” shall not be construed so as to exclude any other thing not referred to or described;</w:t>
      </w:r>
    </w:p>
    <w:p>
      <w:pPr>
        <w:spacing w:after="0" w:line="157" w:lineRule="exact"/>
        <w:rPr>
          <w:rFonts w:ascii="Arial" w:cs="Arial" w:eastAsia="Arial" w:hAnsi="Arial"/>
          <w:sz w:val="18"/>
          <w:szCs w:val="18"/>
          <w:color w:val="auto"/>
        </w:rPr>
      </w:pPr>
    </w:p>
    <w:p>
      <w:pPr>
        <w:ind w:left="1306" w:hanging="495"/>
        <w:spacing w:after="0"/>
        <w:tabs>
          <w:tab w:leader="none" w:pos="13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word “or” is not exclusive;</w:t>
      </w:r>
    </w:p>
    <w:p>
      <w:pPr>
        <w:spacing w:after="0" w:line="157" w:lineRule="exact"/>
        <w:rPr>
          <w:rFonts w:ascii="Arial" w:cs="Arial" w:eastAsia="Arial" w:hAnsi="Arial"/>
          <w:sz w:val="18"/>
          <w:szCs w:val="18"/>
          <w:color w:val="auto"/>
        </w:rPr>
      </w:pPr>
    </w:p>
    <w:p>
      <w:pPr>
        <w:ind w:left="1306" w:hanging="495"/>
        <w:spacing w:after="0"/>
        <w:tabs>
          <w:tab w:leader="none" w:pos="13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definition given for any term shall apply equally to both the singular and plural forms of the term defined;</w:t>
      </w:r>
    </w:p>
    <w:p>
      <w:pPr>
        <w:spacing w:after="0" w:line="157" w:lineRule="exact"/>
        <w:rPr>
          <w:rFonts w:ascii="Arial" w:cs="Arial" w:eastAsia="Arial" w:hAnsi="Arial"/>
          <w:sz w:val="18"/>
          <w:szCs w:val="18"/>
          <w:color w:val="auto"/>
        </w:rPr>
      </w:pPr>
    </w:p>
    <w:p>
      <w:pPr>
        <w:jc w:val="both"/>
        <w:ind w:left="1306" w:hanging="495"/>
        <w:spacing w:after="0" w:line="256" w:lineRule="auto"/>
        <w:tabs>
          <w:tab w:leader="none" w:pos="13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the context otherwise requires otherwise, references (i) to an agreement, instrument or other document (including this Agreement) mean such agreement, instrument or other document as amended, supplemented and modified from time to time to the extent permitted by the provisions thereof and (ii) to a statute mean such statute as amended from time to time and include any successor legislation thereto and any rules and regulations promulgated thereunder; and</w:t>
      </w:r>
    </w:p>
    <w:p>
      <w:pPr>
        <w:spacing w:after="0" w:line="346"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6"/>
          </w:cols>
          <w:pgMar w:left="734" w:top="563" w:right="239" w:bottom="1440" w:gutter="0" w:footer="0" w:header="0"/>
        </w:sectPr>
      </w:pPr>
    </w:p>
    <w:bookmarkStart w:id="55" w:name="page56"/>
    <w:bookmarkEnd w:id="55"/>
    <w:p>
      <w:pPr>
        <w:ind w:left="1300" w:hanging="495"/>
        <w:spacing w:after="0" w:line="268"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Agreement shall be construed without regard to any presumption or rule requiring construction or interpretation against the party drafting an instrument or causing any instrument to be drafted.</w:t>
      </w:r>
    </w:p>
    <w:p>
      <w:pPr>
        <w:spacing w:after="0" w:line="145" w:lineRule="exact"/>
        <w:rPr>
          <w:sz w:val="20"/>
          <w:szCs w:val="20"/>
          <w:color w:val="auto"/>
        </w:rPr>
      </w:pPr>
    </w:p>
    <w:p>
      <w:pPr>
        <w:ind w:firstLine="972"/>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the earlier of (a) personal delivery to, or other actual receipt by, the Party to be notified and (b) when sent, if sent by electronic mail during normal business hours of the recipient, or, if not sent during the recipient’s normal business hours, then on the recipient’s next business day. All communications shall be sent to the respective Parties at their addresses or e-mail addresses as set forth on the signature page, or to such address or e-mail address as subsequently modified by written notice given in accordance with this </w:t>
      </w:r>
      <w:r>
        <w:rPr>
          <w:rFonts w:ascii="Arial" w:cs="Arial" w:eastAsia="Arial" w:hAnsi="Arial"/>
          <w:sz w:val="16"/>
          <w:szCs w:val="16"/>
          <w:u w:val="single" w:color="auto"/>
          <w:color w:val="auto"/>
        </w:rPr>
        <w:t xml:space="preserve">Subsection </w:t>
      </w:r>
      <w:hyperlink w:anchor="page56">
        <w:r>
          <w:rPr>
            <w:rFonts w:ascii="Arial" w:cs="Arial" w:eastAsia="Arial" w:hAnsi="Arial"/>
            <w:sz w:val="16"/>
            <w:szCs w:val="16"/>
            <w:u w:val="single" w:color="auto"/>
            <w:color w:val="auto"/>
          </w:rPr>
          <w:t>6.6</w:t>
        </w:r>
      </w:hyperlink>
      <w:r>
        <w:rPr>
          <w:rFonts w:ascii="Arial" w:cs="Arial" w:eastAsia="Arial" w:hAnsi="Arial"/>
          <w:sz w:val="16"/>
          <w:szCs w:val="16"/>
          <w:u w:val="single" w:color="auto"/>
          <w:color w:val="auto"/>
        </w:rPr>
        <w:t>. If notice is given to ACM or ACM Shanghai, a copy shall also be sent to Mark L. Johnson at K&amp;L Gates LLP, State Street Financial Center, 1 Lincoln Street, Boston, Massachusetts 02111.</w:t>
      </w:r>
    </w:p>
    <w:p>
      <w:pPr>
        <w:spacing w:after="0" w:line="134" w:lineRule="exact"/>
        <w:rPr>
          <w:sz w:val="20"/>
          <w:szCs w:val="20"/>
          <w:color w:val="auto"/>
        </w:rPr>
      </w:pPr>
    </w:p>
    <w:p>
      <w:pPr>
        <w:ind w:right="160" w:firstLine="972"/>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Attorneys’ Fees</w:t>
      </w:r>
      <w:r>
        <w:rPr>
          <w:rFonts w:ascii="Arial" w:cs="Arial" w:eastAsia="Arial" w:hAnsi="Arial"/>
          <w:sz w:val="18"/>
          <w:szCs w:val="18"/>
          <w:color w:val="auto"/>
        </w:rPr>
        <w:t>. If any action at law or in equity (including arbitration) is necessary to enforce or interpret the terms of any of this Agreement, the prevailing Party shall be entitled to reasonable attorneys’ fees, costs and disbursements in addition to any other relief to which such Party may be entitled.</w:t>
      </w:r>
    </w:p>
    <w:p>
      <w:pPr>
        <w:spacing w:after="0" w:line="154" w:lineRule="exact"/>
        <w:rPr>
          <w:sz w:val="20"/>
          <w:szCs w:val="20"/>
          <w:color w:val="auto"/>
        </w:rPr>
      </w:pPr>
    </w:p>
    <w:p>
      <w:pPr>
        <w:ind w:left="960"/>
        <w:spacing w:after="0"/>
        <w:tabs>
          <w:tab w:leader="none" w:pos="13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5"/>
          <w:szCs w:val="15"/>
          <w:u w:val="single" w:color="auto"/>
          <w:color w:val="auto"/>
        </w:rPr>
        <w:t>Amendments</w:t>
      </w:r>
      <w:r>
        <w:rPr>
          <w:rFonts w:ascii="Arial" w:cs="Arial" w:eastAsia="Arial" w:hAnsi="Arial"/>
          <w:sz w:val="15"/>
          <w:szCs w:val="15"/>
          <w:color w:val="auto"/>
        </w:rPr>
        <w:t>. Any term of this Agreement may be amended or terminated only with the written consent of the Parties.</w:t>
      </w:r>
    </w:p>
    <w:p>
      <w:pPr>
        <w:spacing w:after="0" w:line="185" w:lineRule="exact"/>
        <w:rPr>
          <w:sz w:val="20"/>
          <w:szCs w:val="20"/>
          <w:color w:val="auto"/>
        </w:rPr>
      </w:pPr>
    </w:p>
    <w:p>
      <w:pPr>
        <w:ind w:right="60" w:firstLine="972"/>
        <w:spacing w:after="0" w:line="306"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20" w:lineRule="exact"/>
        <w:rPr>
          <w:sz w:val="20"/>
          <w:szCs w:val="20"/>
          <w:color w:val="auto"/>
        </w:rPr>
      </w:pPr>
    </w:p>
    <w:p>
      <w:pPr>
        <w:ind w:right="120" w:firstLine="972"/>
        <w:spacing w:after="0" w:line="294"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SMC Note, the Intercompany Note and the Registration Rights Agreement collectively constitute the full and entire understanding and agreement between the Parties with respect to the subject matter of this Agreement, the SMC Note, the Intercompany Note and the Registration Rights Agreement, and any other written or oral agreement relating to the subject matter of this Agreement, the SMC Note, the Intercompany Note or the Registration Rights Agreement existing between the Parties is expressly canceled. Upon execution and delivery of this Agreement, the Securities Purchase Agreement shall be of no further force and effect.</w:t>
      </w:r>
    </w:p>
    <w:p>
      <w:pPr>
        <w:spacing w:after="0" w:line="129" w:lineRule="exact"/>
        <w:rPr>
          <w:sz w:val="20"/>
          <w:szCs w:val="20"/>
          <w:color w:val="auto"/>
        </w:rPr>
      </w:pPr>
    </w:p>
    <w:p>
      <w:pPr>
        <w:ind w:left="960"/>
        <w:spacing w:after="0"/>
        <w:tabs>
          <w:tab w:leader="none" w:pos="14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185" w:lineRule="exact"/>
        <w:rPr>
          <w:sz w:val="20"/>
          <w:szCs w:val="20"/>
          <w:color w:val="auto"/>
        </w:rPr>
      </w:pPr>
    </w:p>
    <w:p>
      <w:pPr>
        <w:ind w:left="480" w:right="20" w:firstLine="1297"/>
        <w:spacing w:after="0" w:line="312" w:lineRule="auto"/>
        <w:tabs>
          <w:tab w:leader="none" w:pos="2187"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Parties (a) irrevocably and unconditionally submit to the jurisdiction of the state courts of the State of Delaware and to the jurisdiction of the U.S.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U.S. District Court for the District of Delaware,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of this Agreement may not be enforced in or by such court.</w:t>
      </w:r>
    </w:p>
    <w:p>
      <w:pPr>
        <w:spacing w:after="0" w:line="37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563" w:right="239" w:bottom="1440" w:gutter="0" w:footer="0" w:header="0"/>
        </w:sectPr>
      </w:pPr>
    </w:p>
    <w:bookmarkStart w:id="56" w:name="page57"/>
    <w:bookmarkEnd w:id="56"/>
    <w:p>
      <w:pPr>
        <w:jc w:val="both"/>
        <w:ind w:firstLine="1297"/>
        <w:spacing w:after="0" w:line="260" w:lineRule="auto"/>
        <w:tabs>
          <w:tab w:leader="none" w:pos="1717"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RIAL</w:t>
      </w:r>
      <w:r>
        <w:rPr>
          <w:rFonts w:ascii="Arial" w:cs="Arial" w:eastAsia="Arial" w:hAnsi="Arial"/>
          <w:sz w:val="18"/>
          <w:szCs w:val="18"/>
          <w:b w:val="1"/>
          <w:bCs w:val="1"/>
          <w:color w:val="auto"/>
        </w:rPr>
        <w:t>: E</w:t>
      </w:r>
      <w:r>
        <w:rPr>
          <w:rFonts w:ascii="Arial" w:cs="Arial" w:eastAsia="Arial" w:hAnsi="Arial"/>
          <w:sz w:val="12"/>
          <w:szCs w:val="12"/>
          <w:b w:val="1"/>
          <w:bCs w:val="1"/>
          <w:color w:val="auto"/>
        </w:rPr>
        <w:t>ACH</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ARTY WAIVES ITS RIGHTS TO A JURY TRIAL OF ANY CLAIM OR CAUSE OF ACTION BASED UPON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 xml:space="preserve">ARISING OUT OF THIS </w:t>
      </w:r>
      <w:r>
        <w:rPr>
          <w:rFonts w:ascii="Arial" w:cs="Arial" w:eastAsia="Arial" w:hAnsi="Arial"/>
          <w:sz w:val="17"/>
          <w:szCs w:val="17"/>
          <w:b w:val="1"/>
          <w:bCs w:val="1"/>
          <w:color w:val="auto"/>
        </w:rPr>
        <w:t>A</w:t>
      </w:r>
      <w:r>
        <w:rPr>
          <w:rFonts w:ascii="Arial" w:cs="Arial" w:eastAsia="Arial" w:hAnsi="Arial"/>
          <w:sz w:val="12"/>
          <w:szCs w:val="12"/>
          <w:b w:val="1"/>
          <w:bCs w:val="1"/>
          <w:color w:val="auto"/>
        </w:rPr>
        <w:t>GREEMENT</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THE </w:t>
      </w:r>
      <w:r>
        <w:rPr>
          <w:rFonts w:ascii="Arial" w:cs="Arial" w:eastAsia="Arial" w:hAnsi="Arial"/>
          <w:sz w:val="17"/>
          <w:szCs w:val="17"/>
          <w:b w:val="1"/>
          <w:bCs w:val="1"/>
          <w:color w:val="auto"/>
        </w:rPr>
        <w:t>W</w:t>
      </w:r>
      <w:r>
        <w:rPr>
          <w:rFonts w:ascii="Arial" w:cs="Arial" w:eastAsia="Arial" w:hAnsi="Arial"/>
          <w:sz w:val="12"/>
          <w:szCs w:val="12"/>
          <w:b w:val="1"/>
          <w:bCs w:val="1"/>
          <w:color w:val="auto"/>
        </w:rPr>
        <w:t xml:space="preserve">ARRANT </w:t>
      </w:r>
      <w:r>
        <w:rPr>
          <w:rFonts w:ascii="Arial" w:cs="Arial" w:eastAsia="Arial" w:hAnsi="Arial"/>
          <w:sz w:val="17"/>
          <w:szCs w:val="17"/>
          <w:b w:val="1"/>
          <w:bCs w:val="1"/>
          <w:color w:val="auto"/>
        </w:rPr>
        <w:t>S</w:t>
      </w:r>
      <w:r>
        <w:rPr>
          <w:rFonts w:ascii="Arial" w:cs="Arial" w:eastAsia="Arial" w:hAnsi="Arial"/>
          <w:sz w:val="12"/>
          <w:szCs w:val="12"/>
          <w:b w:val="1"/>
          <w:bCs w:val="1"/>
          <w:color w:val="auto"/>
        </w:rPr>
        <w:t>HARES</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OR THE SUBJECT MATTER OF THIS </w:t>
      </w:r>
      <w:r>
        <w:rPr>
          <w:rFonts w:ascii="Arial" w:cs="Arial" w:eastAsia="Arial" w:hAnsi="Arial"/>
          <w:sz w:val="17"/>
          <w:szCs w:val="17"/>
          <w:b w:val="1"/>
          <w:bCs w:val="1"/>
          <w:color w:val="auto"/>
        </w:rPr>
        <w:t>A</w:t>
      </w:r>
      <w:r>
        <w:rPr>
          <w:rFonts w:ascii="Arial" w:cs="Arial" w:eastAsia="Arial" w:hAnsi="Arial"/>
          <w:sz w:val="12"/>
          <w:szCs w:val="12"/>
          <w:b w:val="1"/>
          <w:bCs w:val="1"/>
          <w:color w:val="auto"/>
        </w:rPr>
        <w:t>GREEMENT</w:t>
      </w:r>
      <w:r>
        <w:rPr>
          <w:rFonts w:ascii="Arial" w:cs="Arial" w:eastAsia="Arial" w:hAnsi="Arial"/>
          <w:sz w:val="17"/>
          <w:szCs w:val="17"/>
          <w:b w:val="1"/>
          <w:bCs w:val="1"/>
          <w:color w:val="auto"/>
        </w:rPr>
        <w:t>. T</w:t>
      </w:r>
      <w:r>
        <w:rPr>
          <w:rFonts w:ascii="Arial" w:cs="Arial" w:eastAsia="Arial" w:hAnsi="Arial"/>
          <w:sz w:val="12"/>
          <w:szCs w:val="12"/>
          <w:b w:val="1"/>
          <w:bCs w:val="1"/>
          <w:color w:val="auto"/>
        </w:rPr>
        <w:t>HE SCOPE OF THIS WAIVER IS INTENDED TO BE ALL</w:t>
      </w:r>
      <w:r>
        <w:rPr>
          <w:rFonts w:ascii="Arial" w:cs="Arial" w:eastAsia="Arial" w:hAnsi="Arial"/>
          <w:sz w:val="17"/>
          <w:szCs w:val="17"/>
          <w:b w:val="1"/>
          <w:bCs w:val="1"/>
          <w:color w:val="auto"/>
        </w:rPr>
        <w:t>-</w:t>
      </w:r>
      <w:r>
        <w:rPr>
          <w:rFonts w:ascii="Arial" w:cs="Arial" w:eastAsia="Arial" w:hAnsi="Arial"/>
          <w:sz w:val="12"/>
          <w:szCs w:val="12"/>
          <w:b w:val="1"/>
          <w:bCs w:val="1"/>
          <w:color w:val="auto"/>
        </w:rPr>
        <w:t>ENCOMPASSING OF ANY AND ALL DISPUTES THAT MAY BE FILED IN ANY COURT AND THAT RELATE TO THE SUBJECT MATTER OF THIS TRANSACTION</w:t>
      </w:r>
      <w:r>
        <w:rPr>
          <w:rFonts w:ascii="Arial" w:cs="Arial" w:eastAsia="Arial" w:hAnsi="Arial"/>
          <w:sz w:val="17"/>
          <w:szCs w:val="17"/>
          <w:b w:val="1"/>
          <w:bCs w:val="1"/>
          <w:color w:val="auto"/>
        </w:rPr>
        <w:t>,</w:t>
      </w:r>
    </w:p>
    <w:p>
      <w:pPr>
        <w:ind w:right="60"/>
        <w:spacing w:after="0" w:line="265" w:lineRule="auto"/>
        <w:rPr>
          <w:sz w:val="20"/>
          <w:szCs w:val="20"/>
          <w:color w:val="auto"/>
        </w:rPr>
      </w:pPr>
      <w:r>
        <w:rPr>
          <w:rFonts w:ascii="Arial" w:cs="Arial" w:eastAsia="Arial" w:hAnsi="Arial"/>
          <w:sz w:val="12"/>
          <w:szCs w:val="12"/>
          <w:b w:val="1"/>
          <w:bCs w:val="1"/>
          <w:color w:val="auto"/>
        </w:rPr>
        <w:t>INCLUDING CONTRACT CLAIMS</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TORT CLAIMS </w:t>
      </w:r>
      <w:r>
        <w:rPr>
          <w:rFonts w:ascii="Arial" w:cs="Arial" w:eastAsia="Arial" w:hAnsi="Arial"/>
          <w:sz w:val="17"/>
          <w:szCs w:val="17"/>
          <w:b w:val="1"/>
          <w:bCs w:val="1"/>
          <w:color w:val="auto"/>
        </w:rPr>
        <w:t>(</w:t>
      </w:r>
      <w:r>
        <w:rPr>
          <w:rFonts w:ascii="Arial" w:cs="Arial" w:eastAsia="Arial" w:hAnsi="Arial"/>
          <w:sz w:val="12"/>
          <w:szCs w:val="12"/>
          <w:b w:val="1"/>
          <w:bCs w:val="1"/>
          <w:color w:val="auto"/>
        </w:rPr>
        <w:t>INCLUDING NEGLIGENCE</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BREACH OF DUTY CLAIMS</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AND ALL OTHER COMMON LAW AND STATUTORY CLAIMS</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w:t>
      </w:r>
      <w:r>
        <w:rPr>
          <w:rFonts w:ascii="Arial" w:cs="Arial" w:eastAsia="Arial" w:hAnsi="Arial"/>
          <w:sz w:val="17"/>
          <w:szCs w:val="17"/>
          <w:b w:val="1"/>
          <w:bCs w:val="1"/>
          <w:color w:val="auto"/>
        </w:rPr>
        <w:t>T</w:t>
      </w:r>
      <w:r>
        <w:rPr>
          <w:rFonts w:ascii="Arial" w:cs="Arial" w:eastAsia="Arial" w:hAnsi="Arial"/>
          <w:sz w:val="12"/>
          <w:szCs w:val="12"/>
          <w:b w:val="1"/>
          <w:bCs w:val="1"/>
          <w:color w:val="auto"/>
        </w:rPr>
        <w: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2"/>
          <w:szCs w:val="12"/>
          <w:b w:val="1"/>
          <w:bCs w:val="1"/>
          <w:u w:val="single" w:color="auto"/>
          <w:color w:val="auto"/>
        </w:rPr>
        <w:t>UBSECTION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6.11(b)</w:t>
      </w:r>
      <w:r>
        <w:rPr>
          <w:rFonts w:ascii="Arial" w:cs="Arial" w:eastAsia="Arial" w:hAnsi="Arial"/>
          <w:sz w:val="17"/>
          <w:szCs w:val="17"/>
          <w:b w:val="1"/>
          <w:bCs w:val="1"/>
          <w:color w:val="auto"/>
        </w:rPr>
        <w:t xml:space="preserve"> </w:t>
      </w:r>
      <w:r>
        <w:rPr>
          <w:rFonts w:ascii="Arial" w:cs="Arial" w:eastAsia="Arial" w:hAnsi="Arial"/>
          <w:sz w:val="12"/>
          <w:szCs w:val="12"/>
          <w:b w:val="1"/>
          <w:bCs w:val="1"/>
          <w:color w:val="auto"/>
        </w:rPr>
        <w:t>HAS BEEN FULLY DISCUSSED BY EACH OF THE</w:t>
      </w:r>
      <w:r>
        <w:rPr>
          <w:rFonts w:ascii="Arial" w:cs="Arial" w:eastAsia="Arial" w:hAnsi="Arial"/>
          <w:sz w:val="17"/>
          <w:szCs w:val="17"/>
          <w:b w:val="1"/>
          <w:bCs w:val="1"/>
          <w:color w:val="auto"/>
        </w:rPr>
        <w:t xml:space="preserve"> P</w:t>
      </w:r>
      <w:r>
        <w:rPr>
          <w:rFonts w:ascii="Arial" w:cs="Arial" w:eastAsia="Arial" w:hAnsi="Arial"/>
          <w:sz w:val="12"/>
          <w:szCs w:val="12"/>
          <w:b w:val="1"/>
          <w:bCs w:val="1"/>
          <w:color w:val="auto"/>
        </w:rPr>
        <w:t>ARTIES AND THESE PROVISIONS WILL NOT BE SUBJECT TO ANY EXCEPTIONS</w:t>
      </w:r>
      <w:r>
        <w:rPr>
          <w:rFonts w:ascii="Arial" w:cs="Arial" w:eastAsia="Arial" w:hAnsi="Arial"/>
          <w:sz w:val="17"/>
          <w:szCs w:val="17"/>
          <w:b w:val="1"/>
          <w:bCs w:val="1"/>
          <w:color w:val="auto"/>
        </w:rPr>
        <w:t>. E</w:t>
      </w:r>
      <w:r>
        <w:rPr>
          <w:rFonts w:ascii="Arial" w:cs="Arial" w:eastAsia="Arial" w:hAnsi="Arial"/>
          <w:sz w:val="12"/>
          <w:szCs w:val="12"/>
          <w:b w:val="1"/>
          <w:bCs w:val="1"/>
          <w:color w:val="auto"/>
        </w:rPr>
        <w:t>ACH</w:t>
      </w:r>
    </w:p>
    <w:p>
      <w:pPr>
        <w:ind w:right="340"/>
        <w:spacing w:after="0" w:line="261" w:lineRule="auto"/>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ARTY FURTHER WARRANTS AND REPRESENTS THAT IT HAS REVIEWED THIS WAIVER WITH ITS LEGAL COUNSEL</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AND THAT SUCH</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ARTY KNOWINGLY AND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VOLUNTARILY WAIVES ITS JURY TRIAL RIGHTS FOLLOWING CONSULTATION WITH LEGAL COUNSEL</w:t>
      </w:r>
      <w:r>
        <w:rPr>
          <w:rFonts w:ascii="Arial" w:cs="Arial" w:eastAsia="Arial" w:hAnsi="Arial"/>
          <w:sz w:val="17"/>
          <w:szCs w:val="17"/>
          <w:b w:val="1"/>
          <w:bCs w:val="1"/>
          <w:color w:val="auto"/>
        </w:rPr>
        <w:t>.</w:t>
      </w:r>
    </w:p>
    <w:p>
      <w:pPr>
        <w:spacing w:after="0" w:line="124" w:lineRule="exact"/>
        <w:rPr>
          <w:sz w:val="20"/>
          <w:szCs w:val="20"/>
          <w:color w:val="auto"/>
        </w:rPr>
      </w:pPr>
    </w:p>
    <w:p>
      <w:pPr>
        <w:jc w:val="center"/>
        <w:ind w:right="26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220" w:top="584"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the Parties have executed this Agreement as of the date first written above.</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H. Wang</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David H. Wang</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 Chief Executive Officer and President</w:t>
      </w: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Address:</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Fremont, CA 94539</w:t>
      </w: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xml:space="preserve"> (S</w:t>
      </w:r>
      <w:r>
        <w:rPr>
          <w:rFonts w:ascii="Arial" w:cs="Arial" w:eastAsia="Arial" w:hAnsi="Arial"/>
          <w:sz w:val="12"/>
          <w:szCs w:val="12"/>
          <w:color w:val="auto"/>
        </w:rPr>
        <w:t>HANGHAI</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H. Wang</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David H. Wang</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 Chief Executive Officer and President</w:t>
      </w: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Address:</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Building 4, No.1690</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Cai Lun Road</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Zhangjiang High Tech Park</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Shanghai, P.R. China 201203</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HENGXIN</w:t>
      </w:r>
      <w:r>
        <w:rPr>
          <w:rFonts w:ascii="Arial" w:cs="Arial" w:eastAsia="Arial" w:hAnsi="Arial"/>
          <w:sz w:val="18"/>
          <w:szCs w:val="18"/>
          <w:color w:val="auto"/>
        </w:rPr>
        <w:t xml:space="preserve"> (S</w:t>
      </w:r>
      <w:r>
        <w:rPr>
          <w:rFonts w:ascii="Arial" w:cs="Arial" w:eastAsia="Arial" w:hAnsi="Arial"/>
          <w:sz w:val="12"/>
          <w:szCs w:val="12"/>
          <w:color w:val="auto"/>
        </w:rPr>
        <w:t>HANGHAI</w:t>
      </w:r>
      <w:r>
        <w:rPr>
          <w:rFonts w:ascii="Arial" w:cs="Arial" w:eastAsia="Arial" w:hAnsi="Arial"/>
          <w:sz w:val="18"/>
          <w:szCs w:val="18"/>
          <w:color w:val="auto"/>
        </w:rPr>
        <w:t>) M</w:t>
      </w:r>
      <w:r>
        <w:rPr>
          <w:rFonts w:ascii="Arial" w:cs="Arial" w:eastAsia="Arial" w:hAnsi="Arial"/>
          <w:sz w:val="12"/>
          <w:szCs w:val="12"/>
          <w:color w:val="auto"/>
        </w:rPr>
        <w:t>ANAGEMENT</w:t>
      </w:r>
      <w:r>
        <w:rPr>
          <w:rFonts w:ascii="Arial" w:cs="Arial" w:eastAsia="Arial" w:hAnsi="Arial"/>
          <w:sz w:val="18"/>
          <w:szCs w:val="18"/>
          <w:color w:val="auto"/>
        </w:rPr>
        <w:t xml:space="preserve"> C</w:t>
      </w:r>
      <w:r>
        <w:rPr>
          <w:rFonts w:ascii="Arial" w:cs="Arial" w:eastAsia="Arial" w:hAnsi="Arial"/>
          <w:sz w:val="12"/>
          <w:szCs w:val="12"/>
          <w:color w:val="auto"/>
        </w:rPr>
        <w:t>ONSULTING</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p>
    <w:p>
      <w:pPr>
        <w:spacing w:after="0" w:line="200" w:lineRule="exact"/>
        <w:rPr>
          <w:sz w:val="20"/>
          <w:szCs w:val="20"/>
          <w:color w:val="auto"/>
        </w:rPr>
      </w:pPr>
    </w:p>
    <w:p>
      <w:pPr>
        <w:spacing w:after="0" w:line="26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Jian Wang</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Jian Wang</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 General Partner</w:t>
      </w: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Address:</w:t>
      </w:r>
    </w:p>
    <w:p>
      <w:pPr>
        <w:ind w:left="5220"/>
        <w:spacing w:after="0" w:line="208" w:lineRule="auto"/>
        <w:rPr>
          <w:sz w:val="20"/>
          <w:szCs w:val="20"/>
          <w:color w:val="auto"/>
        </w:rPr>
      </w:pPr>
      <w:r>
        <w:rPr>
          <w:rFonts w:ascii="Arial" w:cs="Arial" w:eastAsia="Arial" w:hAnsi="Arial"/>
          <w:sz w:val="18"/>
          <w:szCs w:val="18"/>
          <w:color w:val="auto"/>
        </w:rPr>
        <w:t>Rm. 210-32,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 Building 1</w:t>
      </w:r>
    </w:p>
    <w:p>
      <w:pPr>
        <w:ind w:left="5220"/>
        <w:spacing w:after="0"/>
        <w:rPr>
          <w:sz w:val="20"/>
          <w:szCs w:val="20"/>
          <w:color w:val="auto"/>
        </w:rPr>
      </w:pPr>
      <w:r>
        <w:rPr>
          <w:rFonts w:ascii="Arial" w:cs="Arial" w:eastAsia="Arial" w:hAnsi="Arial"/>
          <w:sz w:val="18"/>
          <w:szCs w:val="18"/>
          <w:color w:val="auto"/>
        </w:rPr>
        <w:t>38 Debao Rd.</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Pilot Free Trade Zone</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Shanghai, China</w:t>
      </w:r>
    </w:p>
    <w:p>
      <w:pPr>
        <w:spacing w:after="0" w:line="219"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to Warrant Exercise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105410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80"/>
          </w:cols>
          <w:pgMar w:left="740" w:top="563" w:right="11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Shengxin (Shanghai) Management Consulting Limited Partnership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ENIOR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ROMISSORY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p>
    <w:p>
      <w:pPr>
        <w:spacing w:after="0" w:line="164" w:lineRule="exact"/>
        <w:rPr>
          <w:sz w:val="20"/>
          <w:szCs w:val="20"/>
          <w:color w:val="auto"/>
        </w:rPr>
      </w:pPr>
    </w:p>
    <w:p>
      <w:pPr>
        <w:spacing w:after="0"/>
        <w:tabs>
          <w:tab w:leader="none" w:pos="9460" w:val="left"/>
        </w:tabs>
        <w:rPr>
          <w:sz w:val="20"/>
          <w:szCs w:val="20"/>
          <w:color w:val="auto"/>
        </w:rPr>
      </w:pPr>
      <w:r>
        <w:rPr>
          <w:rFonts w:ascii="Arial" w:cs="Arial" w:eastAsia="Arial" w:hAnsi="Arial"/>
          <w:sz w:val="18"/>
          <w:szCs w:val="18"/>
          <w:color w:val="auto"/>
        </w:rPr>
        <w:t>$2,981,259.26</w:t>
      </w:r>
      <w:r>
        <w:rPr>
          <w:sz w:val="20"/>
          <w:szCs w:val="20"/>
          <w:color w:val="auto"/>
        </w:rPr>
        <w:tab/>
      </w:r>
      <w:r>
        <w:rPr>
          <w:rFonts w:ascii="Arial" w:cs="Arial" w:eastAsia="Arial" w:hAnsi="Arial"/>
          <w:sz w:val="15"/>
          <w:szCs w:val="15"/>
          <w:color w:val="auto"/>
        </w:rPr>
        <w:t>Issue Date: March 30, 2018</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OR</w:t>
      </w:r>
      <w:r>
        <w:rPr>
          <w:rFonts w:ascii="Arial" w:cs="Arial" w:eastAsia="Arial" w:hAnsi="Arial"/>
          <w:sz w:val="18"/>
          <w:szCs w:val="18"/>
          <w:color w:val="auto"/>
        </w:rPr>
        <w:t xml:space="preserve"> V</w:t>
      </w:r>
      <w:r>
        <w:rPr>
          <w:rFonts w:ascii="Arial" w:cs="Arial" w:eastAsia="Arial" w:hAnsi="Arial"/>
          <w:sz w:val="12"/>
          <w:szCs w:val="12"/>
          <w:color w:val="auto"/>
        </w:rPr>
        <w:t>ALUE</w:t>
      </w:r>
      <w:r>
        <w:rPr>
          <w:rFonts w:ascii="Arial" w:cs="Arial" w:eastAsia="Arial" w:hAnsi="Arial"/>
          <w:sz w:val="18"/>
          <w:szCs w:val="18"/>
          <w:color w:val="auto"/>
        </w:rPr>
        <w:t xml:space="preserve"> R</w:t>
      </w:r>
      <w:r>
        <w:rPr>
          <w:rFonts w:ascii="Arial" w:cs="Arial" w:eastAsia="Arial" w:hAnsi="Arial"/>
          <w:sz w:val="12"/>
          <w:szCs w:val="12"/>
          <w:color w:val="auto"/>
        </w:rPr>
        <w:t>ECEIVED</w:t>
      </w:r>
      <w:r>
        <w:rPr>
          <w:rFonts w:ascii="Arial" w:cs="Arial" w:eastAsia="Arial" w:hAnsi="Arial"/>
          <w:sz w:val="18"/>
          <w:szCs w:val="18"/>
          <w:color w:val="auto"/>
        </w:rPr>
        <w:t>, and subject to the terms and conditions set forth herein, Shengxin (Shanghai) Management Consulting Limited Partnership (“</w:t>
      </w:r>
      <w:r>
        <w:rPr>
          <w:rFonts w:ascii="Arial" w:cs="Arial" w:eastAsia="Arial" w:hAnsi="Arial"/>
          <w:sz w:val="18"/>
          <w:szCs w:val="18"/>
          <w:i w:val="1"/>
          <w:iCs w:val="1"/>
          <w:color w:val="auto"/>
        </w:rPr>
        <w:t>SMC</w:t>
      </w:r>
      <w:r>
        <w:rPr>
          <w:rFonts w:ascii="Arial" w:cs="Arial" w:eastAsia="Arial" w:hAnsi="Arial"/>
          <w:sz w:val="18"/>
          <w:szCs w:val="18"/>
          <w:color w:val="auto"/>
        </w:rPr>
        <w:t>”) hereby unconditionally promises to pay to the order of ACM Research (Shanghai), Inc. or its assigns (the “</w:t>
      </w:r>
      <w:r>
        <w:rPr>
          <w:rFonts w:ascii="Arial" w:cs="Arial" w:eastAsia="Arial" w:hAnsi="Arial"/>
          <w:sz w:val="18"/>
          <w:szCs w:val="18"/>
          <w:i w:val="1"/>
          <w:iCs w:val="1"/>
          <w:color w:val="auto"/>
        </w:rPr>
        <w:t>Holder</w:t>
      </w:r>
      <w:r>
        <w:rPr>
          <w:rFonts w:ascii="Arial" w:cs="Arial" w:eastAsia="Arial" w:hAnsi="Arial"/>
          <w:sz w:val="18"/>
          <w:szCs w:val="18"/>
          <w:color w:val="auto"/>
        </w:rPr>
        <w:t>,” and together with SMC, the “</w:t>
      </w:r>
      <w:r>
        <w:rPr>
          <w:rFonts w:ascii="Arial" w:cs="Arial" w:eastAsia="Arial" w:hAnsi="Arial"/>
          <w:sz w:val="18"/>
          <w:szCs w:val="18"/>
          <w:i w:val="1"/>
          <w:iCs w:val="1"/>
          <w:color w:val="auto"/>
        </w:rPr>
        <w:t>Parties</w:t>
      </w:r>
      <w:r>
        <w:rPr>
          <w:rFonts w:ascii="Arial" w:cs="Arial" w:eastAsia="Arial" w:hAnsi="Arial"/>
          <w:sz w:val="18"/>
          <w:szCs w:val="18"/>
          <w:color w:val="auto"/>
        </w:rPr>
        <w:t>”), the principal amount of $2,981,259.26 (the “</w:t>
      </w:r>
      <w:r>
        <w:rPr>
          <w:rFonts w:ascii="Arial" w:cs="Arial" w:eastAsia="Arial" w:hAnsi="Arial"/>
          <w:sz w:val="18"/>
          <w:szCs w:val="18"/>
          <w:i w:val="1"/>
          <w:iCs w:val="1"/>
          <w:color w:val="auto"/>
        </w:rPr>
        <w:t>Loan</w:t>
      </w:r>
      <w:r>
        <w:rPr>
          <w:rFonts w:ascii="Arial" w:cs="Arial" w:eastAsia="Arial" w:hAnsi="Arial"/>
          <w:sz w:val="18"/>
          <w:szCs w:val="18"/>
          <w:color w:val="auto"/>
        </w:rPr>
        <w:t>”), together with all accrued interest thereon, as provided in this Senior Secured Promissory Note (this “</w:t>
      </w:r>
      <w:r>
        <w:rPr>
          <w:rFonts w:ascii="Arial" w:cs="Arial" w:eastAsia="Arial" w:hAnsi="Arial"/>
          <w:sz w:val="18"/>
          <w:szCs w:val="18"/>
          <w:i w:val="1"/>
          <w:iCs w:val="1"/>
          <w:color w:val="auto"/>
        </w:rPr>
        <w:t>Note</w:t>
      </w:r>
      <w:r>
        <w:rPr>
          <w:rFonts w:ascii="Arial" w:cs="Arial" w:eastAsia="Arial" w:hAnsi="Arial"/>
          <w:sz w:val="18"/>
          <w:szCs w:val="18"/>
          <w:color w:val="auto"/>
        </w:rPr>
        <w:t>”). This Note is being issued pursuant to the terms of a Warrant Exercise Agreement, dated as of the Issue Date hereof, by and among SMC, the Holder and ACM Research, Inc. (the “</w:t>
      </w:r>
      <w:r>
        <w:rPr>
          <w:rFonts w:ascii="Arial" w:cs="Arial" w:eastAsia="Arial" w:hAnsi="Arial"/>
          <w:sz w:val="18"/>
          <w:szCs w:val="18"/>
          <w:i w:val="1"/>
          <w:iCs w:val="1"/>
          <w:color w:val="auto"/>
        </w:rPr>
        <w:t>Warrant Exercise Agreement</w:t>
      </w:r>
      <w:r>
        <w:rPr>
          <w:rFonts w:ascii="Arial" w:cs="Arial" w:eastAsia="Arial" w:hAnsi="Arial"/>
          <w:sz w:val="18"/>
          <w:szCs w:val="18"/>
          <w:color w:val="auto"/>
        </w:rPr>
        <w:t>”).</w:t>
      </w:r>
    </w:p>
    <w:p>
      <w:pPr>
        <w:spacing w:after="0" w:line="156" w:lineRule="exact"/>
        <w:rPr>
          <w:sz w:val="20"/>
          <w:szCs w:val="20"/>
          <w:color w:val="auto"/>
        </w:rPr>
      </w:pPr>
    </w:p>
    <w:p>
      <w:pPr>
        <w:ind w:left="840" w:hanging="346"/>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herein shall have the meanings set forth in this </w:t>
      </w:r>
      <w:r>
        <w:rPr>
          <w:rFonts w:ascii="Arial" w:cs="Arial" w:eastAsia="Arial" w:hAnsi="Arial"/>
          <w:sz w:val="18"/>
          <w:szCs w:val="18"/>
          <w:u w:val="single" w:color="auto"/>
          <w:color w:val="auto"/>
        </w:rPr>
        <w:t xml:space="preserve">Section </w:t>
      </w:r>
      <w:hyperlink w:anchor="page59">
        <w:r>
          <w:rPr>
            <w:rFonts w:ascii="Arial" w:cs="Arial" w:eastAsia="Arial" w:hAnsi="Arial"/>
            <w:sz w:val="18"/>
            <w:szCs w:val="18"/>
            <w:u w:val="single" w:color="auto"/>
            <w:color w:val="auto"/>
          </w:rPr>
          <w:t>1</w:t>
        </w:r>
      </w:hyperlink>
      <w:r>
        <w:rPr>
          <w:rFonts w:ascii="Arial" w:cs="Arial" w:eastAsia="Arial" w:hAnsi="Arial"/>
          <w:sz w:val="18"/>
          <w:szCs w:val="18"/>
          <w:u w:val="single" w:color="auto"/>
          <w:color w:val="auto"/>
        </w:rPr>
        <w:t>.</w:t>
      </w:r>
    </w:p>
    <w:p>
      <w:pPr>
        <w:spacing w:after="0" w:line="158" w:lineRule="exact"/>
        <w:rPr>
          <w:sz w:val="20"/>
          <w:szCs w:val="20"/>
          <w:color w:val="auto"/>
        </w:rPr>
      </w:pPr>
    </w:p>
    <w:p>
      <w:pPr>
        <w:jc w:val="both"/>
        <w:ind w:left="980" w:right="20"/>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hyperlink w:anchor="page60">
        <w:r>
          <w:rPr>
            <w:rFonts w:ascii="Arial" w:cs="Arial" w:eastAsia="Arial" w:hAnsi="Arial"/>
            <w:sz w:val="18"/>
            <w:szCs w:val="18"/>
            <w:u w:val="single" w:color="auto"/>
            <w:color w:val="0000EE"/>
          </w:rPr>
          <w:t>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that constitutes an Event of Default or that, upon the giving of notice, the lapse of time or both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hyperlink w:anchor="page60">
        <w:r>
          <w:rPr>
            <w:rFonts w:ascii="Arial" w:cs="Arial" w:eastAsia="Arial" w:hAnsi="Arial"/>
            <w:sz w:val="18"/>
            <w:szCs w:val="18"/>
            <w:u w:val="single" w:color="auto"/>
            <w:color w:val="0000EE"/>
          </w:rPr>
          <w:t>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would, unless cured or waived, become an Event of Default.</w:t>
      </w:r>
    </w:p>
    <w:p>
      <w:pPr>
        <w:spacing w:after="0" w:line="118" w:lineRule="exact"/>
        <w:rPr>
          <w:sz w:val="20"/>
          <w:szCs w:val="20"/>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hyperlink w:anchor="page60">
        <w:r>
          <w:rPr>
            <w:rFonts w:ascii="Arial" w:cs="Arial" w:eastAsia="Arial" w:hAnsi="Arial"/>
            <w:sz w:val="18"/>
            <w:szCs w:val="18"/>
            <w:u w:val="single" w:color="auto"/>
            <w:color w:val="0000EE"/>
          </w:rPr>
          <w:t>5</w:t>
        </w:r>
      </w:hyperlink>
      <w:r>
        <w:rPr>
          <w:rFonts w:ascii="Arial" w:cs="Arial" w:eastAsia="Arial" w:hAnsi="Arial"/>
          <w:sz w:val="18"/>
          <w:szCs w:val="18"/>
          <w:color w:val="auto"/>
        </w:rPr>
        <w:t>.</w:t>
      </w:r>
    </w:p>
    <w:p>
      <w:pPr>
        <w:spacing w:after="0" w:line="158" w:lineRule="exact"/>
        <w:rPr>
          <w:sz w:val="20"/>
          <w:szCs w:val="20"/>
          <w:color w:val="auto"/>
        </w:rPr>
      </w:pPr>
    </w:p>
    <w:p>
      <w:pPr>
        <w:jc w:val="both"/>
        <w:ind w:left="98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Law,</w:t>
      </w:r>
      <w:r>
        <w:rPr>
          <w:rFonts w:ascii="Arial" w:cs="Arial" w:eastAsia="Arial" w:hAnsi="Arial"/>
          <w:sz w:val="16"/>
          <w:szCs w:val="16"/>
          <w:color w:val="auto"/>
        </w:rPr>
        <w:t>” as to any person, means any law (including common law), statute, ordinance, treaty, rule, regulation, policy or requirement (including any authoritative interpretation thereon) of any government of any nation or any political subdivision thereof (whether at the national, state, territorial, provincial, municipal or any other level), or any agency, authority, instrumentality, regulatory body, court, central bank or other entity exercising executive, legislative, judicial, taxing, regulatory or administrative powers or functions of, or pertaining to, government, whether now or hereafter in effect, in each case, applicable to or binding on such person or any of its properties or to which such person or any of its properties is subject.</w:t>
      </w:r>
    </w:p>
    <w:p>
      <w:pPr>
        <w:spacing w:after="0" w:line="102" w:lineRule="exact"/>
        <w:rPr>
          <w:sz w:val="20"/>
          <w:szCs w:val="20"/>
          <w:color w:val="auto"/>
        </w:rPr>
      </w:pPr>
    </w:p>
    <w:p>
      <w:pPr>
        <w:jc w:val="both"/>
        <w:ind w:left="980"/>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xml:space="preserve">” means the earlier of (a) August 17, 2023 and (b) the date on which all amounts under this Note shall become due and payable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hyperlink w:anchor="page61">
        <w:r>
          <w:rPr>
            <w:rFonts w:ascii="Arial" w:cs="Arial" w:eastAsia="Arial" w:hAnsi="Arial"/>
            <w:sz w:val="18"/>
            <w:szCs w:val="18"/>
            <w:u w:val="single" w:color="auto"/>
            <w:color w:val="0000EE"/>
          </w:rPr>
          <w:t>6</w:t>
        </w:r>
      </w:hyperlink>
      <w:r>
        <w:rPr>
          <w:rFonts w:ascii="Arial" w:cs="Arial" w:eastAsia="Arial" w:hAnsi="Arial"/>
          <w:sz w:val="18"/>
          <w:szCs w:val="18"/>
          <w:color w:val="auto"/>
        </w:rPr>
        <w:t>.</w:t>
      </w:r>
    </w:p>
    <w:p>
      <w:pPr>
        <w:spacing w:after="0" w:line="145" w:lineRule="exact"/>
        <w:rPr>
          <w:sz w:val="20"/>
          <w:szCs w:val="20"/>
          <w:color w:val="auto"/>
        </w:rPr>
      </w:pPr>
    </w:p>
    <w:p>
      <w:pPr>
        <w:ind w:left="840" w:hanging="346"/>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185" w:lineRule="exact"/>
        <w:rPr>
          <w:sz w:val="20"/>
          <w:szCs w:val="20"/>
          <w:color w:val="auto"/>
        </w:rPr>
      </w:pPr>
    </w:p>
    <w:p>
      <w:pPr>
        <w:ind w:left="500" w:right="120" w:firstLine="972"/>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Payment Dates</w:t>
      </w:r>
      <w:r>
        <w:rPr>
          <w:rFonts w:ascii="Arial" w:cs="Arial" w:eastAsia="Arial" w:hAnsi="Arial"/>
          <w:sz w:val="18"/>
          <w:szCs w:val="18"/>
          <w:color w:val="auto"/>
        </w:rPr>
        <w:t>. The aggregate unpaid amount of the Loan, all accrued and unpaid interest on the Loan, and all other amounts payable under this Note shall be due and payable on the Maturity Date.</w:t>
      </w:r>
    </w:p>
    <w:p>
      <w:pPr>
        <w:spacing w:after="0" w:line="145" w:lineRule="exact"/>
        <w:rPr>
          <w:sz w:val="20"/>
          <w:szCs w:val="20"/>
          <w:color w:val="auto"/>
        </w:rPr>
      </w:pPr>
    </w:p>
    <w:p>
      <w:pPr>
        <w:ind w:left="500" w:right="100" w:firstLine="972"/>
        <w:spacing w:after="0" w:line="33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SMC may prepay the Loan in whole or in part at any time or from time to time without penalty or premium by paying the amount of the Loan to be prepaid together with accrued interest thereon to the date of prepayment. No prepaid amount may be reborrowed.</w:t>
      </w:r>
    </w:p>
    <w:p>
      <w:pPr>
        <w:spacing w:after="0" w:line="99" w:lineRule="exact"/>
        <w:rPr>
          <w:sz w:val="20"/>
          <w:szCs w:val="20"/>
          <w:color w:val="auto"/>
        </w:rPr>
      </w:pPr>
    </w:p>
    <w:p>
      <w:pPr>
        <w:jc w:val="both"/>
        <w:ind w:left="500" w:right="20" w:firstLine="972"/>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Offset</w:t>
      </w:r>
      <w:r>
        <w:rPr>
          <w:rFonts w:ascii="Arial" w:cs="Arial" w:eastAsia="Arial" w:hAnsi="Arial"/>
          <w:sz w:val="18"/>
          <w:szCs w:val="18"/>
          <w:color w:val="auto"/>
        </w:rPr>
        <w:t>. Upon the occurrence of an Event of Default, the Holder may, by notice to SMC, elect to apply any amount that is payable under this Note and that is the subject of such Event of Default to pay by offset all or a portion of the amounts outstanding under the SMC Investment (as defined in the Warrant Exercise Agreement), whether then due or by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9" w:name="page60"/>
    <w:bookmarkEnd w:id="59"/>
    <w:p>
      <w:pPr>
        <w:ind w:left="820" w:hanging="34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85" w:lineRule="exact"/>
        <w:rPr>
          <w:sz w:val="20"/>
          <w:szCs w:val="20"/>
          <w:color w:val="auto"/>
        </w:rPr>
      </w:pPr>
    </w:p>
    <w:p>
      <w:pPr>
        <w:ind w:left="480" w:right="20" w:firstLine="972"/>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Interest Rate</w:t>
      </w:r>
      <w:r>
        <w:rPr>
          <w:rFonts w:ascii="Arial" w:cs="Arial" w:eastAsia="Arial" w:hAnsi="Arial"/>
          <w:sz w:val="16"/>
          <w:szCs w:val="16"/>
          <w:color w:val="auto"/>
        </w:rPr>
        <w:t>. Except as otherwise provided herein, the outstanding amount of the Loan shall bear interest at a rate of 3.01% per annum from the date the Loan was made until the Loan is paid in full, whether at the Maturity Date, upon acceleration, by prepayment or otherwise.</w:t>
      </w:r>
    </w:p>
    <w:p>
      <w:pPr>
        <w:spacing w:after="0" w:line="99" w:lineRule="exact"/>
        <w:rPr>
          <w:sz w:val="20"/>
          <w:szCs w:val="20"/>
          <w:color w:val="auto"/>
        </w:rPr>
      </w:pPr>
    </w:p>
    <w:p>
      <w:pPr>
        <w:ind w:left="480" w:firstLine="972"/>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Default Interest</w:t>
      </w:r>
      <w:r>
        <w:rPr>
          <w:rFonts w:ascii="Arial" w:cs="Arial" w:eastAsia="Arial" w:hAnsi="Arial"/>
          <w:sz w:val="18"/>
          <w:szCs w:val="18"/>
          <w:color w:val="auto"/>
        </w:rPr>
        <w:t>. If any amount payable hereunder is not paid when due (without regard to any applicable grace periods), whether at the Maturity Date, by acceleration, or otherwise, such overdue amount shall bear interest at the rate of 12.0% per annum from the date of such non-payment until such amount is paid in full.</w:t>
      </w:r>
    </w:p>
    <w:p>
      <w:pPr>
        <w:spacing w:after="0" w:line="154" w:lineRule="exact"/>
        <w:rPr>
          <w:sz w:val="20"/>
          <w:szCs w:val="20"/>
          <w:color w:val="auto"/>
        </w:rPr>
      </w:pPr>
    </w:p>
    <w:p>
      <w:pPr>
        <w:ind w:left="480" w:right="200" w:firstLine="972"/>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 All computations of interest shall be made on the basis of a year of 365 days and the actual number of days elapsed. Interest shall accrue on the Loan on the day it is made, and shall not accrue on the Loan for the day on which it is paid.</w:t>
      </w:r>
    </w:p>
    <w:p>
      <w:pPr>
        <w:spacing w:after="0" w:line="99" w:lineRule="exact"/>
        <w:rPr>
          <w:sz w:val="20"/>
          <w:szCs w:val="20"/>
          <w:color w:val="auto"/>
        </w:rPr>
      </w:pPr>
    </w:p>
    <w:p>
      <w:pPr>
        <w:jc w:val="both"/>
        <w:ind w:left="480" w:right="40" w:firstLine="972"/>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If at any time and for any reason whatsoever, the interest rate payable on the Loan shall exceed the maximum rate of interest permitted to be charged by the Holder to SMC under applicable Law, such interest rate shall be reduced automatically to the maximum rate of interest permitted to be charged under applicable Law.</w:t>
      </w:r>
    </w:p>
    <w:p>
      <w:pPr>
        <w:spacing w:after="0" w:line="154" w:lineRule="exact"/>
        <w:rPr>
          <w:sz w:val="20"/>
          <w:szCs w:val="20"/>
          <w:color w:val="auto"/>
        </w:rPr>
      </w:pPr>
    </w:p>
    <w:p>
      <w:pPr>
        <w:ind w:left="-20" w:right="140" w:firstLine="494"/>
        <w:spacing w:after="0" w:line="259" w:lineRule="auto"/>
        <w:tabs>
          <w:tab w:leader="none" w:pos="81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Payment Mechanics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 xml:space="preserve">Subsection </w:t>
      </w:r>
      <w:hyperlink w:anchor="page59">
        <w:r>
          <w:rPr>
            <w:rFonts w:ascii="Arial" w:cs="Arial" w:eastAsia="Arial" w:hAnsi="Arial"/>
            <w:sz w:val="18"/>
            <w:szCs w:val="18"/>
            <w:u w:val="single" w:color="auto"/>
            <w:color w:val="auto"/>
          </w:rPr>
          <w:t>2.3</w:t>
        </w:r>
      </w:hyperlink>
      <w:r>
        <w:rPr>
          <w:rFonts w:ascii="Arial" w:cs="Arial" w:eastAsia="Arial" w:hAnsi="Arial"/>
          <w:sz w:val="18"/>
          <w:szCs w:val="18"/>
          <w:u w:val="single" w:color="auto"/>
          <w:color w:val="auto"/>
        </w:rPr>
        <w:t>, payment of the Loan and interest thereon shall be made in lawful money of the United States of America no later than 5:00 p.m., Pacific time, on the date on which such payment is due by wire transfer of immediately available funds to the Holder’s account at a bank specified by the Holder in writing to SMC from time to time.</w:t>
      </w:r>
    </w:p>
    <w:p>
      <w:pPr>
        <w:spacing w:after="0" w:line="153" w:lineRule="exact"/>
        <w:rPr>
          <w:rFonts w:ascii="Arial" w:cs="Arial" w:eastAsia="Arial" w:hAnsi="Arial"/>
          <w:sz w:val="18"/>
          <w:szCs w:val="18"/>
          <w:color w:val="auto"/>
        </w:rPr>
      </w:pPr>
    </w:p>
    <w:p>
      <w:pPr>
        <w:ind w:left="820" w:hanging="346"/>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Event of Default hereunder:</w:t>
      </w:r>
    </w:p>
    <w:p>
      <w:pPr>
        <w:spacing w:after="0" w:line="185" w:lineRule="exact"/>
        <w:rPr>
          <w:sz w:val="20"/>
          <w:szCs w:val="20"/>
          <w:color w:val="auto"/>
        </w:rPr>
      </w:pPr>
    </w:p>
    <w:p>
      <w:pPr>
        <w:ind w:left="480" w:right="200" w:firstLine="972"/>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SMC fails to pay (a) any amount of the Loan when due or (b) interest or any other amount when due and such failure continues for five days.</w:t>
      </w:r>
    </w:p>
    <w:p>
      <w:pPr>
        <w:spacing w:after="0" w:line="145" w:lineRule="exact"/>
        <w:rPr>
          <w:sz w:val="20"/>
          <w:szCs w:val="20"/>
          <w:color w:val="auto"/>
        </w:rPr>
      </w:pPr>
    </w:p>
    <w:p>
      <w:pPr>
        <w:ind w:left="1440"/>
        <w:spacing w:after="0"/>
        <w:tabs>
          <w:tab w:leader="none" w:pos="18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Bankruptcy</w:t>
      </w:r>
      <w:r>
        <w:rPr>
          <w:rFonts w:ascii="Arial" w:cs="Arial" w:eastAsia="Arial" w:hAnsi="Arial"/>
          <w:sz w:val="16"/>
          <w:szCs w:val="16"/>
          <w:color w:val="auto"/>
        </w:rPr>
        <w:t>.</w:t>
      </w:r>
    </w:p>
    <w:p>
      <w:pPr>
        <w:spacing w:after="0" w:line="185" w:lineRule="exact"/>
        <w:rPr>
          <w:sz w:val="20"/>
          <w:szCs w:val="20"/>
          <w:color w:val="auto"/>
        </w:rPr>
      </w:pPr>
    </w:p>
    <w:p>
      <w:pPr>
        <w:ind w:left="960" w:right="300" w:firstLine="1297"/>
        <w:spacing w:after="0" w:line="294" w:lineRule="auto"/>
        <w:tabs>
          <w:tab w:leader="none" w:pos="2667" w:val="left"/>
        </w:tabs>
        <w:numPr>
          <w:ilvl w:val="0"/>
          <w:numId w:val="59"/>
        </w:numPr>
        <w:rPr>
          <w:rFonts w:ascii="Arial" w:cs="Arial" w:eastAsia="Arial" w:hAnsi="Arial"/>
          <w:sz w:val="16"/>
          <w:szCs w:val="16"/>
          <w:color w:val="auto"/>
        </w:rPr>
      </w:pPr>
      <w:r>
        <w:rPr>
          <w:rFonts w:ascii="Arial" w:cs="Arial" w:eastAsia="Arial" w:hAnsi="Arial"/>
          <w:sz w:val="16"/>
          <w:szCs w:val="16"/>
          <w:color w:val="auto"/>
        </w:rPr>
        <w:t>SMC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SMC makes a general assignment for the benefit of its creditors.</w:t>
      </w:r>
    </w:p>
    <w:p>
      <w:pPr>
        <w:spacing w:after="0" w:line="129" w:lineRule="exact"/>
        <w:rPr>
          <w:rFonts w:ascii="Arial" w:cs="Arial" w:eastAsia="Arial" w:hAnsi="Arial"/>
          <w:sz w:val="16"/>
          <w:szCs w:val="16"/>
          <w:color w:val="auto"/>
        </w:rPr>
      </w:pPr>
    </w:p>
    <w:p>
      <w:pPr>
        <w:ind w:left="960" w:firstLine="1297"/>
        <w:spacing w:after="0" w:line="259" w:lineRule="auto"/>
        <w:tabs>
          <w:tab w:leader="none" w:pos="26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There is commenced against SMC any case, proceeding or other action of a nature referred to in </w:t>
      </w:r>
      <w:r>
        <w:rPr>
          <w:rFonts w:ascii="Arial" w:cs="Arial" w:eastAsia="Arial" w:hAnsi="Arial"/>
          <w:sz w:val="18"/>
          <w:szCs w:val="18"/>
          <w:u w:val="single" w:color="auto"/>
          <w:color w:val="auto"/>
        </w:rPr>
        <w:t xml:space="preserve">Subsection </w:t>
      </w:r>
      <w:hyperlink w:anchor="page60">
        <w:r>
          <w:rPr>
            <w:rFonts w:ascii="Arial" w:cs="Arial" w:eastAsia="Arial" w:hAnsi="Arial"/>
            <w:sz w:val="18"/>
            <w:szCs w:val="18"/>
            <w:u w:val="single" w:color="auto"/>
            <w:color w:val="auto"/>
          </w:rPr>
          <w:t xml:space="preserve">5.2(a) </w:t>
        </w:r>
      </w:hyperlink>
      <w:r>
        <w:rPr>
          <w:rFonts w:ascii="Arial" w:cs="Arial" w:eastAsia="Arial" w:hAnsi="Arial"/>
          <w:sz w:val="18"/>
          <w:szCs w:val="18"/>
          <w:u w:val="single" w:color="auto"/>
          <w:color w:val="auto"/>
        </w:rPr>
        <w:t>that (i) results in the entry of an order for relief or any such adjudication or appointment or (ii) remains undismissed, undischarged or unbonded for a period of thirty days.</w:t>
      </w:r>
    </w:p>
    <w:p>
      <w:pPr>
        <w:spacing w:after="0" w:line="153" w:lineRule="exact"/>
        <w:rPr>
          <w:rFonts w:ascii="Arial" w:cs="Arial" w:eastAsia="Arial" w:hAnsi="Arial"/>
          <w:sz w:val="18"/>
          <w:szCs w:val="18"/>
          <w:color w:val="auto"/>
        </w:rPr>
      </w:pPr>
    </w:p>
    <w:p>
      <w:pPr>
        <w:ind w:left="960" w:right="200" w:firstLine="1297"/>
        <w:spacing w:after="0" w:line="306" w:lineRule="auto"/>
        <w:tabs>
          <w:tab w:leader="none" w:pos="266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There is commenced against SMC any case, proceeding or other action seeking issuance of a warrant of attachment, execution or similar process against all or any substantial part of its assets that results in the entry of an order for any such relief that has not been vacated, discharged, or stayed or bonded pending appeal within thirty days from the entry thereof.</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590" w:right="259" w:bottom="1440" w:gutter="0" w:footer="0" w:header="0"/>
        </w:sectPr>
      </w:pPr>
    </w:p>
    <w:bookmarkStart w:id="60" w:name="page61"/>
    <w:bookmarkEnd w:id="60"/>
    <w:p>
      <w:pPr>
        <w:ind w:left="960" w:firstLine="1297"/>
        <w:spacing w:after="0" w:line="268" w:lineRule="auto"/>
        <w:tabs>
          <w:tab w:leader="none" w:pos="2677" w:val="left"/>
        </w:tabs>
        <w:numPr>
          <w:ilvl w:val="0"/>
          <w:numId w:val="60"/>
        </w:numPr>
        <w:rPr>
          <w:rFonts w:ascii="Arial" w:cs="Arial" w:eastAsia="Arial" w:hAnsi="Arial"/>
          <w:sz w:val="18"/>
          <w:szCs w:val="18"/>
          <w:u w:val="single" w:color="auto"/>
          <w:color w:val="auto"/>
        </w:rPr>
      </w:pPr>
      <w:r>
        <w:rPr>
          <w:rFonts w:ascii="Arial" w:cs="Arial" w:eastAsia="Arial" w:hAnsi="Arial"/>
          <w:sz w:val="18"/>
          <w:szCs w:val="18"/>
          <w:color w:val="auto"/>
        </w:rPr>
        <w:t xml:space="preserve">SMC takes any action in furtherance of, or indicating its consent to, approval of, or acquiescence in, any of the acts set forth in </w:t>
      </w:r>
      <w:r>
        <w:rPr>
          <w:rFonts w:ascii="Arial" w:cs="Arial" w:eastAsia="Arial" w:hAnsi="Arial"/>
          <w:sz w:val="18"/>
          <w:szCs w:val="18"/>
          <w:u w:val="single" w:color="auto"/>
          <w:color w:val="auto"/>
        </w:rPr>
        <w:t xml:space="preserve">Subsection </w:t>
      </w:r>
      <w:hyperlink w:anchor="page60">
        <w:r>
          <w:rPr>
            <w:rFonts w:ascii="Arial" w:cs="Arial" w:eastAsia="Arial" w:hAnsi="Arial"/>
            <w:sz w:val="18"/>
            <w:szCs w:val="18"/>
            <w:u w:val="single" w:color="auto"/>
            <w:color w:val="auto"/>
          </w:rPr>
          <w:t>5.2(a)</w:t>
        </w:r>
      </w:hyperlink>
      <w:r>
        <w:rPr>
          <w:rFonts w:ascii="Arial" w:cs="Arial" w:eastAsia="Arial" w:hAnsi="Arial"/>
          <w:sz w:val="18"/>
          <w:szCs w:val="18"/>
          <w:u w:val="single" w:color="auto"/>
          <w:color w:val="auto"/>
        </w:rPr>
        <w:t xml:space="preserve">, </w:t>
      </w:r>
      <w:hyperlink w:anchor="page60">
        <w:r>
          <w:rPr>
            <w:rFonts w:ascii="Arial" w:cs="Arial" w:eastAsia="Arial" w:hAnsi="Arial"/>
            <w:sz w:val="18"/>
            <w:szCs w:val="18"/>
            <w:u w:val="single" w:color="auto"/>
            <w:color w:val="auto"/>
          </w:rPr>
          <w:t xml:space="preserve">(b) </w:t>
        </w:r>
      </w:hyperlink>
      <w:r>
        <w:rPr>
          <w:rFonts w:ascii="Arial" w:cs="Arial" w:eastAsia="Arial" w:hAnsi="Arial"/>
          <w:sz w:val="18"/>
          <w:szCs w:val="18"/>
          <w:u w:val="single" w:color="auto"/>
          <w:color w:val="auto"/>
        </w:rPr>
        <w:t xml:space="preserve">or </w:t>
      </w:r>
      <w:hyperlink w:anchor="page60">
        <w:r>
          <w:rPr>
            <w:rFonts w:ascii="Arial" w:cs="Arial" w:eastAsia="Arial" w:hAnsi="Arial"/>
            <w:sz w:val="18"/>
            <w:szCs w:val="18"/>
            <w:u w:val="single" w:color="auto"/>
            <w:color w:val="auto"/>
          </w:rPr>
          <w:t>(c)</w:t>
        </w:r>
      </w:hyperlink>
      <w:r>
        <w:rPr>
          <w:rFonts w:ascii="Arial" w:cs="Arial" w:eastAsia="Arial" w:hAnsi="Arial"/>
          <w:sz w:val="18"/>
          <w:szCs w:val="18"/>
          <w:u w:val="single" w:color="auto"/>
          <w:color w:val="auto"/>
        </w:rPr>
        <w:t>.</w:t>
      </w:r>
    </w:p>
    <w:p>
      <w:pPr>
        <w:spacing w:after="0" w:line="145" w:lineRule="exact"/>
        <w:rPr>
          <w:rFonts w:ascii="Arial" w:cs="Arial" w:eastAsia="Arial" w:hAnsi="Arial"/>
          <w:sz w:val="18"/>
          <w:szCs w:val="18"/>
          <w:u w:val="single" w:color="auto"/>
          <w:color w:val="auto"/>
        </w:rPr>
      </w:pPr>
    </w:p>
    <w:p>
      <w:pPr>
        <w:ind w:left="2660" w:hanging="403"/>
        <w:spacing w:after="0"/>
        <w:tabs>
          <w:tab w:leader="none" w:pos="2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SMC is generally not able to, or shall be unable to, or admits in writing its inability to, pay its debts as they become due.</w:t>
      </w:r>
    </w:p>
    <w:p>
      <w:pPr>
        <w:spacing w:after="0" w:line="208" w:lineRule="exact"/>
        <w:rPr>
          <w:rFonts w:ascii="Arial" w:cs="Arial" w:eastAsia="Arial" w:hAnsi="Arial"/>
          <w:sz w:val="18"/>
          <w:szCs w:val="18"/>
          <w:color w:val="auto"/>
        </w:rPr>
      </w:pPr>
    </w:p>
    <w:p>
      <w:pPr>
        <w:ind w:left="480" w:right="160" w:firstLine="972"/>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Judgments</w:t>
      </w:r>
      <w:r>
        <w:rPr>
          <w:rFonts w:ascii="Arial" w:cs="Arial" w:eastAsia="Arial" w:hAnsi="Arial"/>
          <w:sz w:val="18"/>
          <w:szCs w:val="18"/>
          <w:color w:val="auto"/>
        </w:rPr>
        <w:t>. One or more judgments or decrees shall be entered against SMC and all of such judgments or decrees shall not have been vacated, discharged, stayed or bonded pending appeal within thirty days from the entry thereof.</w:t>
      </w:r>
    </w:p>
    <w:p>
      <w:pPr>
        <w:spacing w:after="0" w:line="145" w:lineRule="exact"/>
        <w:rPr>
          <w:rFonts w:ascii="Arial" w:cs="Arial" w:eastAsia="Arial" w:hAnsi="Arial"/>
          <w:sz w:val="18"/>
          <w:szCs w:val="18"/>
          <w:color w:val="auto"/>
        </w:rPr>
      </w:pPr>
    </w:p>
    <w:p>
      <w:pPr>
        <w:ind w:left="480" w:right="280" w:firstLine="972"/>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Breach</w:t>
      </w:r>
      <w:r>
        <w:rPr>
          <w:rFonts w:ascii="Arial" w:cs="Arial" w:eastAsia="Arial" w:hAnsi="Arial"/>
          <w:sz w:val="18"/>
          <w:szCs w:val="18"/>
          <w:color w:val="auto"/>
        </w:rPr>
        <w:t>. SMC defaults in any material respect in its performance of any material covenant or obligation required to be performed or satisfied by it under this Note or the Warrant Exercise Agreement.</w:t>
      </w:r>
    </w:p>
    <w:p>
      <w:pPr>
        <w:spacing w:after="0" w:line="145" w:lineRule="exact"/>
        <w:rPr>
          <w:rFonts w:ascii="Arial" w:cs="Arial" w:eastAsia="Arial" w:hAnsi="Arial"/>
          <w:sz w:val="18"/>
          <w:szCs w:val="18"/>
          <w:color w:val="auto"/>
        </w:rPr>
      </w:pPr>
    </w:p>
    <w:p>
      <w:pPr>
        <w:ind w:left="-20" w:right="20" w:firstLine="494"/>
        <w:spacing w:after="0" w:line="298" w:lineRule="auto"/>
        <w:tabs>
          <w:tab w:leader="none" w:pos="81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Upon the occurrence of any Event of Default and at any time thereafter during the continuance of such Event of Default, the Holder may at its option, by written notice to SMC, declare the entire amount of the Loan, together with all accrued interest thereon and all other amounts payable hereunder, immediately due and payable,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 Event of Default described in </w:t>
      </w:r>
      <w:r>
        <w:rPr>
          <w:rFonts w:ascii="Arial" w:cs="Arial" w:eastAsia="Arial" w:hAnsi="Arial"/>
          <w:sz w:val="16"/>
          <w:szCs w:val="16"/>
          <w:u w:val="single" w:color="auto"/>
          <w:color w:val="auto"/>
        </w:rPr>
        <w:t xml:space="preserve">Subsection </w:t>
      </w:r>
      <w:hyperlink w:anchor="page60">
        <w:r>
          <w:rPr>
            <w:rFonts w:ascii="Arial" w:cs="Arial" w:eastAsia="Arial" w:hAnsi="Arial"/>
            <w:sz w:val="16"/>
            <w:szCs w:val="16"/>
            <w:u w:val="single" w:color="auto"/>
            <w:color w:val="auto"/>
          </w:rPr>
          <w:t xml:space="preserve">5.2 </w:t>
        </w:r>
      </w:hyperlink>
      <w:r>
        <w:rPr>
          <w:rFonts w:ascii="Arial" w:cs="Arial" w:eastAsia="Arial" w:hAnsi="Arial"/>
          <w:sz w:val="16"/>
          <w:szCs w:val="16"/>
          <w:u w:val="single" w:color="auto"/>
          <w:color w:val="auto"/>
        </w:rPr>
        <w:t>shall occur, the amount of the Loan, and accrued interest thereon, shall become immediately due and payable without any notice, declaration or other act on the part of the Holder.</w:t>
      </w:r>
    </w:p>
    <w:p>
      <w:pPr>
        <w:spacing w:after="0" w:line="126" w:lineRule="exact"/>
        <w:rPr>
          <w:rFonts w:ascii="Arial" w:cs="Arial" w:eastAsia="Arial" w:hAnsi="Arial"/>
          <w:sz w:val="16"/>
          <w:szCs w:val="16"/>
          <w:color w:val="auto"/>
        </w:rPr>
      </w:pPr>
    </w:p>
    <w:p>
      <w:pPr>
        <w:ind w:left="-20" w:right="40" w:firstLine="494"/>
        <w:spacing w:after="0" w:line="290" w:lineRule="auto"/>
        <w:tabs>
          <w:tab w:leader="none" w:pos="81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As security for its obligations hereunder and under the Warrant Exercise Agreement, SMC has granted to the Holder a continuing security interest in all right, title and interest in and to the Warrant Shares (as defined in the Warrant Exercise Agreement). The existence of such security shall not limit any other rights or remedies that the Holder may have in an Event of Default hereunder. SMC hereby irrevocably authorizes the Holder at any time and from time to time to file in any relevant jurisdiction any financing statements and amendments thereto that contain the information required by Article 9 of the Uniform Commercial Code of each applicable jurisdiction for the filing of any financing statement or amendment relating to the collateral, including any financing or continuation statements or other documents for the purpose of perfecting, confirming, continuing, enforcing or protecting the security interest granted by SMC hereunder, without the signature of SMC where permitted by law.</w:t>
      </w:r>
    </w:p>
    <w:p>
      <w:pPr>
        <w:spacing w:after="0" w:line="131" w:lineRule="exact"/>
        <w:rPr>
          <w:rFonts w:ascii="Arial" w:cs="Arial" w:eastAsia="Arial" w:hAnsi="Arial"/>
          <w:sz w:val="16"/>
          <w:szCs w:val="16"/>
          <w:color w:val="auto"/>
        </w:rPr>
      </w:pPr>
    </w:p>
    <w:p>
      <w:pPr>
        <w:ind w:left="820" w:hanging="34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480" w:right="300" w:firstLine="972"/>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or other communications required or permitted to be delivered hereunder shall be delivered in writing and in accordance with the Warrant Exercise Agreement.</w:t>
      </w:r>
    </w:p>
    <w:p>
      <w:pPr>
        <w:spacing w:after="0" w:line="145" w:lineRule="exact"/>
        <w:rPr>
          <w:rFonts w:ascii="Arial" w:cs="Arial" w:eastAsia="Arial" w:hAnsi="Arial"/>
          <w:sz w:val="18"/>
          <w:szCs w:val="18"/>
          <w:color w:val="auto"/>
        </w:rPr>
      </w:pPr>
    </w:p>
    <w:p>
      <w:pPr>
        <w:ind w:left="480" w:right="20" w:firstLine="972"/>
        <w:spacing w:after="0" w:line="33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Note and any claim, controversy, dispute or cause of action (whether in contract or tort or otherwise) based upon, arising out of or relating to this Note and the transactions contemplated hereby shall be governed by the laws of the State of Delaware.</w:t>
      </w:r>
    </w:p>
    <w:p>
      <w:pPr>
        <w:spacing w:after="0" w:line="99" w:lineRule="exact"/>
        <w:rPr>
          <w:rFonts w:ascii="Arial" w:cs="Arial" w:eastAsia="Arial" w:hAnsi="Arial"/>
          <w:sz w:val="18"/>
          <w:szCs w:val="18"/>
          <w:color w:val="auto"/>
        </w:rPr>
      </w:pPr>
    </w:p>
    <w:p>
      <w:pPr>
        <w:ind w:left="1440"/>
        <w:spacing w:after="0"/>
        <w:tabs>
          <w:tab w:leader="none" w:pos="18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Submission to Jurisdiction.</w:t>
      </w:r>
    </w:p>
    <w:p>
      <w:pPr>
        <w:spacing w:after="0" w:line="185" w:lineRule="exact"/>
        <w:rPr>
          <w:rFonts w:ascii="Arial" w:cs="Arial" w:eastAsia="Arial" w:hAnsi="Arial"/>
          <w:sz w:val="18"/>
          <w:szCs w:val="18"/>
          <w:color w:val="auto"/>
        </w:rPr>
      </w:pPr>
    </w:p>
    <w:p>
      <w:pPr>
        <w:jc w:val="both"/>
        <w:ind w:left="960" w:right="100" w:firstLine="1297"/>
        <w:spacing w:after="0" w:line="256" w:lineRule="auto"/>
        <w:tabs>
          <w:tab w:leader="none" w:pos="2667" w:val="left"/>
        </w:tabs>
        <w:numPr>
          <w:ilvl w:val="0"/>
          <w:numId w:val="62"/>
        </w:numPr>
        <w:rPr>
          <w:rFonts w:ascii="Arial" w:cs="Arial" w:eastAsia="Arial" w:hAnsi="Arial"/>
          <w:sz w:val="18"/>
          <w:szCs w:val="18"/>
          <w:color w:val="auto"/>
        </w:rPr>
      </w:pPr>
      <w:r>
        <w:rPr>
          <w:rFonts w:ascii="Arial" w:cs="Arial" w:eastAsia="Arial" w:hAnsi="Arial"/>
          <w:sz w:val="18"/>
          <w:szCs w:val="18"/>
          <w:color w:val="auto"/>
        </w:rPr>
        <w:t>SMC hereby irrevocably and unconditionally (i) agrees that any legal action, suit or proceeding arising out of or relating to this Note may be brought in the state courts of Delaware and the U.S. District Court for the District of Delaware and (ii) submits to the jurisdiction of any such court in any such action, suit or proceeding. Final judgment against SMC in any action, suit or proceeding shall be conclusive and may be enforced in any other jurisdiction by suit on the judgment.</w:t>
      </w:r>
    </w:p>
    <w:p>
      <w:pPr>
        <w:spacing w:after="0" w:line="34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61" w:name="page62"/>
    <w:bookmarkEnd w:id="61"/>
    <w:p>
      <w:pPr>
        <w:ind w:left="480" w:right="80" w:firstLine="1297"/>
        <w:spacing w:after="0" w:line="332" w:lineRule="auto"/>
        <w:tabs>
          <w:tab w:leader="none" w:pos="2197"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 xml:space="preserve">Subsection </w:t>
      </w:r>
      <w:hyperlink w:anchor="page61">
        <w:r>
          <w:rPr>
            <w:rFonts w:ascii="Arial" w:cs="Arial" w:eastAsia="Arial" w:hAnsi="Arial"/>
            <w:sz w:val="16"/>
            <w:szCs w:val="16"/>
            <w:u w:val="single" w:color="auto"/>
            <w:color w:val="auto"/>
          </w:rPr>
          <w:t xml:space="preserve">8.3 </w:t>
        </w:r>
      </w:hyperlink>
      <w:r>
        <w:rPr>
          <w:rFonts w:ascii="Arial" w:cs="Arial" w:eastAsia="Arial" w:hAnsi="Arial"/>
          <w:sz w:val="16"/>
          <w:szCs w:val="16"/>
          <w:u w:val="single" w:color="auto"/>
          <w:color w:val="auto"/>
        </w:rPr>
        <w:t>shall affect the right of the Holder to (i) commence legal proceedings or otherwise sue SMC in any other court having jurisdiction over SMC or (ii) serve process upon SMC in any manner authorized by the laws of any such jurisdiction.</w:t>
      </w:r>
    </w:p>
    <w:p>
      <w:pPr>
        <w:spacing w:after="0" w:line="99" w:lineRule="exact"/>
        <w:rPr>
          <w:sz w:val="20"/>
          <w:szCs w:val="20"/>
          <w:color w:val="auto"/>
        </w:rPr>
      </w:pPr>
    </w:p>
    <w:p>
      <w:pPr>
        <w:ind w:firstLine="972"/>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Venue</w:t>
      </w:r>
      <w:r>
        <w:rPr>
          <w:rFonts w:ascii="Arial" w:cs="Arial" w:eastAsia="Arial" w:hAnsi="Arial"/>
          <w:sz w:val="18"/>
          <w:szCs w:val="18"/>
          <w:color w:val="auto"/>
        </w:rPr>
        <w:t xml:space="preserve">. SMC irrevocably and unconditionally waives, to the fullest extent permitted by applicable law, any objection that it may now or hereafter have to the laying of venue of any action or proceeding arising out of or relating to this Note in any court referred to in </w:t>
      </w:r>
      <w:r>
        <w:rPr>
          <w:rFonts w:ascii="Arial" w:cs="Arial" w:eastAsia="Arial" w:hAnsi="Arial"/>
          <w:sz w:val="18"/>
          <w:szCs w:val="18"/>
          <w:u w:val="single" w:color="auto"/>
          <w:color w:val="auto"/>
        </w:rPr>
        <w:t xml:space="preserve">Subsection </w:t>
      </w:r>
      <w:hyperlink w:anchor="page61">
        <w:r>
          <w:rPr>
            <w:rFonts w:ascii="Arial" w:cs="Arial" w:eastAsia="Arial" w:hAnsi="Arial"/>
            <w:sz w:val="18"/>
            <w:szCs w:val="18"/>
            <w:u w:val="single" w:color="auto"/>
            <w:color w:val="auto"/>
          </w:rPr>
          <w:t xml:space="preserve">8.3 </w:t>
        </w:r>
      </w:hyperlink>
      <w:r>
        <w:rPr>
          <w:rFonts w:ascii="Arial" w:cs="Arial" w:eastAsia="Arial" w:hAnsi="Arial"/>
          <w:sz w:val="18"/>
          <w:szCs w:val="18"/>
          <w:u w:val="single" w:color="auto"/>
          <w:color w:val="auto"/>
        </w:rPr>
        <w:t>and the defense of an inconvenient forum to the maintenance of such action or proceeding in any such court.</w:t>
      </w:r>
    </w:p>
    <w:p>
      <w:pPr>
        <w:spacing w:after="0" w:line="154" w:lineRule="exact"/>
        <w:rPr>
          <w:sz w:val="20"/>
          <w:szCs w:val="20"/>
          <w:color w:val="auto"/>
        </w:rPr>
      </w:pPr>
    </w:p>
    <w:p>
      <w:pPr>
        <w:jc w:val="both"/>
        <w:ind w:right="280" w:firstLine="972"/>
        <w:spacing w:after="0" w:line="30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SMC HEREBY IRREVOCABLY WAIVES, TO THE FULLEST EXTENT PERMITTED BY APPLICABLE LAW, ANY RIGHT IT MAY HAVE TO A TRIAL BY JURY IN ANY LEGAL PROCEEDING DIRECTLY OR INDIRECTLY RELATING TO THIS NOTE OR THE TRANSACTIONS CONTEMPLATED HEREBY WHETHER BASED ON CONTRACT, TORT OR ANY OTHER THEORY.</w:t>
      </w:r>
    </w:p>
    <w:p>
      <w:pPr>
        <w:spacing w:after="0" w:line="120" w:lineRule="exact"/>
        <w:rPr>
          <w:sz w:val="20"/>
          <w:szCs w:val="20"/>
          <w:color w:val="auto"/>
        </w:rPr>
      </w:pPr>
    </w:p>
    <w:p>
      <w:pPr>
        <w:ind w:right="180" w:firstLine="972"/>
        <w:spacing w:after="0" w:line="26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Note may not be assigned or transferred by the Holder or SMC without the prior written consent of the other Party. This Note shall inure to the benefit of, and be binding upon, the Parties and their permitted assigns.</w:t>
      </w:r>
    </w:p>
    <w:p>
      <w:pPr>
        <w:spacing w:after="0" w:line="145" w:lineRule="exact"/>
        <w:rPr>
          <w:sz w:val="20"/>
          <w:szCs w:val="20"/>
          <w:color w:val="auto"/>
        </w:rPr>
      </w:pPr>
    </w:p>
    <w:p>
      <w:pPr>
        <w:ind w:right="140" w:firstLine="972"/>
        <w:spacing w:after="0" w:line="332"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Waiver of Notice</w:t>
      </w:r>
      <w:r>
        <w:rPr>
          <w:rFonts w:ascii="Arial" w:cs="Arial" w:eastAsia="Arial" w:hAnsi="Arial"/>
          <w:sz w:val="16"/>
          <w:szCs w:val="16"/>
          <w:color w:val="auto"/>
        </w:rPr>
        <w:t>. SMC hereby waives demand for payment, presentment for payment, protest, notice of payment, notice of dishonor, notice of nonpayment, notice of acceleration of maturity and diligence in taking any action to collect sums owing hereunder.</w:t>
      </w:r>
    </w:p>
    <w:p>
      <w:pPr>
        <w:spacing w:after="0" w:line="99" w:lineRule="exact"/>
        <w:rPr>
          <w:sz w:val="20"/>
          <w:szCs w:val="20"/>
          <w:color w:val="auto"/>
        </w:rPr>
      </w:pPr>
    </w:p>
    <w:p>
      <w:pPr>
        <w:ind w:right="20" w:firstLine="972"/>
        <w:spacing w:after="0" w:line="312"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u w:val="single" w:color="auto"/>
          <w:color w:val="auto"/>
        </w:rPr>
        <w:t>Interpretation</w:t>
      </w:r>
      <w:r>
        <w:rPr>
          <w:rFonts w:ascii="Arial" w:cs="Arial" w:eastAsia="Arial" w:hAnsi="Arial"/>
          <w:sz w:val="15"/>
          <w:szCs w:val="15"/>
          <w:color w:val="auto"/>
        </w:rPr>
        <w:t>. For purposes of this Note: (a) the words “include” and “including” shall be deemed to be followed by the words “without limitation”; (b) the word “or” is not exclusive; and (c) the words “herein,” “hereof,” “hereby,” “hereto” and “hereunder” refer to this Note as a whole. The definitions given for any defined terms in this Note shall apply equally to both the singular and plural forms of the terms defined. Unless the context otherwise requires, references herein (x) to an agreement, instrument or other document mean such agreement, instrument or other document as amended, supplemented and modified from time to time to the extent permitted by the provisions thereof and (y) to a statute mean such statute as amended from time to time and include any successor legislation thereto and any regulations promulgated thereunder. This Note shall be construed without regard to any presumption or rule requiring construction or interpretation against the Party drafting an instrument or causing any instrument to be drafted.</w:t>
      </w:r>
    </w:p>
    <w:p>
      <w:pPr>
        <w:spacing w:after="0" w:line="119" w:lineRule="exact"/>
        <w:rPr>
          <w:sz w:val="20"/>
          <w:szCs w:val="20"/>
          <w:color w:val="auto"/>
        </w:rPr>
      </w:pPr>
    </w:p>
    <w:p>
      <w:pPr>
        <w:ind w:right="360" w:firstLine="972"/>
        <w:spacing w:after="0" w:line="332"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Amendments</w:t>
      </w:r>
      <w:r>
        <w:rPr>
          <w:rFonts w:ascii="Arial" w:cs="Arial" w:eastAsia="Arial" w:hAnsi="Arial"/>
          <w:sz w:val="16"/>
          <w:szCs w:val="16"/>
          <w:color w:val="auto"/>
        </w:rPr>
        <w:t>. No term of this Note may be waived, modified or amended except by an instrument in writing signed by both of the Parties. Any waiver of the terms hereof shall be effective only in the specific instance and for the specific purpose given.</w:t>
      </w:r>
    </w:p>
    <w:p>
      <w:pPr>
        <w:spacing w:after="0" w:line="99" w:lineRule="exact"/>
        <w:rPr>
          <w:sz w:val="20"/>
          <w:szCs w:val="20"/>
          <w:color w:val="auto"/>
        </w:rPr>
      </w:pPr>
    </w:p>
    <w:p>
      <w:pPr>
        <w:ind w:right="80" w:firstLine="972"/>
        <w:spacing w:after="0" w:line="268"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Sections and Subsections herein are for reference only and shall not define, modify, expand or limit any of the terms or provisions hereof.</w:t>
      </w:r>
    </w:p>
    <w:p>
      <w:pPr>
        <w:spacing w:after="0" w:line="145" w:lineRule="exact"/>
        <w:rPr>
          <w:sz w:val="20"/>
          <w:szCs w:val="20"/>
          <w:color w:val="auto"/>
        </w:rPr>
      </w:pPr>
    </w:p>
    <w:p>
      <w:pPr>
        <w:jc w:val="both"/>
        <w:ind w:right="220" w:firstLine="972"/>
        <w:spacing w:after="0" w:line="298"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 No failure to exercise and no delay in exercising on the part of the 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31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590" w:right="239" w:bottom="1440" w:gutter="0" w:footer="0" w:header="0"/>
        </w:sectPr>
      </w:pPr>
    </w:p>
    <w:bookmarkStart w:id="62" w:name="page63"/>
    <w:bookmarkEnd w:id="62"/>
    <w:p>
      <w:pPr>
        <w:ind w:firstLine="972"/>
        <w:spacing w:after="0" w:line="294"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Electronic Execution</w:t>
      </w:r>
      <w:r>
        <w:rPr>
          <w:rFonts w:ascii="Arial" w:cs="Arial" w:eastAsia="Arial" w:hAnsi="Arial"/>
          <w:sz w:val="16"/>
          <w:szCs w:val="16"/>
          <w:color w:val="auto"/>
        </w:rPr>
        <w:t>. The words “execution,” “signed,” “signature,” and words of similar import in this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 et seq.), the Electronic Signatures and Records Act of 1999 (N.Y. State Tech. Law §§ 301-309), or any other similar state laws based on the Uniform Electronic Transactions Act.</w:t>
      </w:r>
    </w:p>
    <w:p>
      <w:pPr>
        <w:spacing w:after="0" w:line="129" w:lineRule="exact"/>
        <w:rPr>
          <w:sz w:val="20"/>
          <w:szCs w:val="20"/>
          <w:color w:val="auto"/>
        </w:rPr>
      </w:pPr>
    </w:p>
    <w:p>
      <w:pPr>
        <w:ind w:right="140" w:firstLine="972"/>
        <w:spacing w:after="0" w:line="259"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SMC has caused this Note to be signed in its name as of the Issue Date written above.</w:t>
      </w:r>
    </w:p>
    <w:p>
      <w:pPr>
        <w:spacing w:after="0" w:line="158"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HENGXIN</w:t>
      </w:r>
      <w:r>
        <w:rPr>
          <w:rFonts w:ascii="Arial" w:cs="Arial" w:eastAsia="Arial" w:hAnsi="Arial"/>
          <w:sz w:val="18"/>
          <w:szCs w:val="18"/>
          <w:color w:val="auto"/>
        </w:rPr>
        <w:t xml:space="preserve"> (S</w:t>
      </w:r>
      <w:r>
        <w:rPr>
          <w:rFonts w:ascii="Arial" w:cs="Arial" w:eastAsia="Arial" w:hAnsi="Arial"/>
          <w:sz w:val="12"/>
          <w:szCs w:val="12"/>
          <w:color w:val="auto"/>
        </w:rPr>
        <w:t>HANGHAI</w:t>
      </w:r>
      <w:r>
        <w:rPr>
          <w:rFonts w:ascii="Arial" w:cs="Arial" w:eastAsia="Arial" w:hAnsi="Arial"/>
          <w:sz w:val="18"/>
          <w:szCs w:val="18"/>
          <w:color w:val="auto"/>
        </w:rPr>
        <w:t>) M</w:t>
      </w:r>
      <w:r>
        <w:rPr>
          <w:rFonts w:ascii="Arial" w:cs="Arial" w:eastAsia="Arial" w:hAnsi="Arial"/>
          <w:sz w:val="12"/>
          <w:szCs w:val="12"/>
          <w:color w:val="auto"/>
        </w:rPr>
        <w:t>ANAGEMENT</w:t>
      </w:r>
      <w:r>
        <w:rPr>
          <w:rFonts w:ascii="Arial" w:cs="Arial" w:eastAsia="Arial" w:hAnsi="Arial"/>
          <w:sz w:val="18"/>
          <w:szCs w:val="18"/>
          <w:color w:val="auto"/>
        </w:rPr>
        <w:t xml:space="preserve"> C</w:t>
      </w:r>
      <w:r>
        <w:rPr>
          <w:rFonts w:ascii="Arial" w:cs="Arial" w:eastAsia="Arial" w:hAnsi="Arial"/>
          <w:sz w:val="12"/>
          <w:szCs w:val="12"/>
          <w:color w:val="auto"/>
        </w:rPr>
        <w:t>ONSULTING</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p>
    <w:p>
      <w:pPr>
        <w:spacing w:after="0" w:line="200" w:lineRule="exact"/>
        <w:rPr>
          <w:sz w:val="20"/>
          <w:szCs w:val="20"/>
          <w:color w:val="auto"/>
        </w:rPr>
      </w:pPr>
    </w:p>
    <w:p>
      <w:pPr>
        <w:spacing w:after="0" w:line="24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Jian Wang</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Name: Jian Wang</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Title: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590"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(Shanghai),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NTERCOMPANY</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ROMISSORY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p>
    <w:p>
      <w:pPr>
        <w:spacing w:after="0" w:line="151" w:lineRule="exact"/>
        <w:rPr>
          <w:sz w:val="20"/>
          <w:szCs w:val="20"/>
          <w:color w:val="auto"/>
        </w:rPr>
      </w:pPr>
    </w:p>
    <w:p>
      <w:pPr>
        <w:spacing w:after="0"/>
        <w:tabs>
          <w:tab w:leader="none" w:pos="9460" w:val="left"/>
        </w:tabs>
        <w:rPr>
          <w:sz w:val="20"/>
          <w:szCs w:val="20"/>
          <w:color w:val="auto"/>
        </w:rPr>
      </w:pPr>
      <w:r>
        <w:rPr>
          <w:rFonts w:ascii="Arial" w:cs="Arial" w:eastAsia="Arial" w:hAnsi="Arial"/>
          <w:sz w:val="18"/>
          <w:szCs w:val="18"/>
          <w:color w:val="auto"/>
        </w:rPr>
        <w:t>$2,981,259.26</w:t>
      </w:r>
      <w:r>
        <w:rPr>
          <w:sz w:val="20"/>
          <w:szCs w:val="20"/>
          <w:color w:val="auto"/>
        </w:rPr>
        <w:tab/>
      </w:r>
      <w:r>
        <w:rPr>
          <w:rFonts w:ascii="Arial" w:cs="Arial" w:eastAsia="Arial" w:hAnsi="Arial"/>
          <w:sz w:val="15"/>
          <w:szCs w:val="15"/>
          <w:color w:val="auto"/>
        </w:rPr>
        <w:t>Issue Date: March 30, 2018</w:t>
      </w:r>
    </w:p>
    <w:p>
      <w:pPr>
        <w:spacing w:after="0" w:line="374"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F</w:t>
      </w:r>
      <w:r>
        <w:rPr>
          <w:rFonts w:ascii="Arial" w:cs="Arial" w:eastAsia="Arial" w:hAnsi="Arial"/>
          <w:sz w:val="11"/>
          <w:szCs w:val="11"/>
          <w:color w:val="auto"/>
        </w:rPr>
        <w:t>OR</w:t>
      </w:r>
      <w:r>
        <w:rPr>
          <w:rFonts w:ascii="Arial" w:cs="Arial" w:eastAsia="Arial" w:hAnsi="Arial"/>
          <w:sz w:val="16"/>
          <w:szCs w:val="16"/>
          <w:color w:val="auto"/>
        </w:rPr>
        <w:t xml:space="preserve"> V</w:t>
      </w:r>
      <w:r>
        <w:rPr>
          <w:rFonts w:ascii="Arial" w:cs="Arial" w:eastAsia="Arial" w:hAnsi="Arial"/>
          <w:sz w:val="11"/>
          <w:szCs w:val="11"/>
          <w:color w:val="auto"/>
        </w:rPr>
        <w:t>ALUE</w:t>
      </w:r>
      <w:r>
        <w:rPr>
          <w:rFonts w:ascii="Arial" w:cs="Arial" w:eastAsia="Arial" w:hAnsi="Arial"/>
          <w:sz w:val="16"/>
          <w:szCs w:val="16"/>
          <w:color w:val="auto"/>
        </w:rPr>
        <w:t xml:space="preserve"> R</w:t>
      </w:r>
      <w:r>
        <w:rPr>
          <w:rFonts w:ascii="Arial" w:cs="Arial" w:eastAsia="Arial" w:hAnsi="Arial"/>
          <w:sz w:val="11"/>
          <w:szCs w:val="11"/>
          <w:color w:val="auto"/>
        </w:rPr>
        <w:t>ECEIVED</w:t>
      </w:r>
      <w:r>
        <w:rPr>
          <w:rFonts w:ascii="Arial" w:cs="Arial" w:eastAsia="Arial" w:hAnsi="Arial"/>
          <w:sz w:val="16"/>
          <w:szCs w:val="16"/>
          <w:color w:val="auto"/>
        </w:rPr>
        <w:t>, and subject to the terms and conditions set forth herein, ACM Research (Shanghai), Inc. (“</w:t>
      </w:r>
      <w:r>
        <w:rPr>
          <w:rFonts w:ascii="Arial" w:cs="Arial" w:eastAsia="Arial" w:hAnsi="Arial"/>
          <w:sz w:val="16"/>
          <w:szCs w:val="16"/>
          <w:i w:val="1"/>
          <w:iCs w:val="1"/>
          <w:color w:val="auto"/>
        </w:rPr>
        <w:t>ACM Shanghai</w:t>
      </w:r>
      <w:r>
        <w:rPr>
          <w:rFonts w:ascii="Arial" w:cs="Arial" w:eastAsia="Arial" w:hAnsi="Arial"/>
          <w:sz w:val="16"/>
          <w:szCs w:val="16"/>
          <w:color w:val="auto"/>
        </w:rPr>
        <w:t>”) unconditionally promises to pay to the order of ACM Research, Inc. or its assigns (the “</w:t>
      </w:r>
      <w:r>
        <w:rPr>
          <w:rFonts w:ascii="Arial" w:cs="Arial" w:eastAsia="Arial" w:hAnsi="Arial"/>
          <w:sz w:val="16"/>
          <w:szCs w:val="16"/>
          <w:i w:val="1"/>
          <w:iCs w:val="1"/>
          <w:color w:val="auto"/>
        </w:rPr>
        <w:t>Holder</w:t>
      </w:r>
      <w:r>
        <w:rPr>
          <w:rFonts w:ascii="Arial" w:cs="Arial" w:eastAsia="Arial" w:hAnsi="Arial"/>
          <w:sz w:val="16"/>
          <w:szCs w:val="16"/>
          <w:color w:val="auto"/>
        </w:rPr>
        <w:t>,” and together with ACM Shanghai, the “</w:t>
      </w:r>
      <w:r>
        <w:rPr>
          <w:rFonts w:ascii="Arial" w:cs="Arial" w:eastAsia="Arial" w:hAnsi="Arial"/>
          <w:sz w:val="16"/>
          <w:szCs w:val="16"/>
          <w:i w:val="1"/>
          <w:iCs w:val="1"/>
          <w:color w:val="auto"/>
        </w:rPr>
        <w:t>Parties</w:t>
      </w:r>
      <w:r>
        <w:rPr>
          <w:rFonts w:ascii="Arial" w:cs="Arial" w:eastAsia="Arial" w:hAnsi="Arial"/>
          <w:sz w:val="16"/>
          <w:szCs w:val="16"/>
          <w:color w:val="auto"/>
        </w:rPr>
        <w:t>”), the principal amount of $2,981,259.26 (the “</w:t>
      </w:r>
      <w:r>
        <w:rPr>
          <w:rFonts w:ascii="Arial" w:cs="Arial" w:eastAsia="Arial" w:hAnsi="Arial"/>
          <w:sz w:val="16"/>
          <w:szCs w:val="16"/>
          <w:i w:val="1"/>
          <w:iCs w:val="1"/>
          <w:color w:val="auto"/>
        </w:rPr>
        <w:t>Loan</w:t>
      </w:r>
      <w:r>
        <w:rPr>
          <w:rFonts w:ascii="Arial" w:cs="Arial" w:eastAsia="Arial" w:hAnsi="Arial"/>
          <w:sz w:val="16"/>
          <w:szCs w:val="16"/>
          <w:color w:val="auto"/>
        </w:rPr>
        <w:t>”), together with all accrued interest thereon, as provided in this Intercompany Promissory Note (this “</w:t>
      </w:r>
      <w:r>
        <w:rPr>
          <w:rFonts w:ascii="Arial" w:cs="Arial" w:eastAsia="Arial" w:hAnsi="Arial"/>
          <w:sz w:val="16"/>
          <w:szCs w:val="16"/>
          <w:i w:val="1"/>
          <w:iCs w:val="1"/>
          <w:color w:val="auto"/>
        </w:rPr>
        <w:t>Note</w:t>
      </w:r>
      <w:r>
        <w:rPr>
          <w:rFonts w:ascii="Arial" w:cs="Arial" w:eastAsia="Arial" w:hAnsi="Arial"/>
          <w:sz w:val="16"/>
          <w:szCs w:val="16"/>
          <w:color w:val="auto"/>
        </w:rPr>
        <w:t>”). This Note is being issued pursuant to the terms of a Warrant Exercise Agreement, dated as of the Issue Date hereof, by and among ACM Shanghai, the Holder and Shengxin (Shanghai) Management Consulting Limited Partnership (the “</w:t>
      </w:r>
      <w:r>
        <w:rPr>
          <w:rFonts w:ascii="Arial" w:cs="Arial" w:eastAsia="Arial" w:hAnsi="Arial"/>
          <w:sz w:val="16"/>
          <w:szCs w:val="16"/>
          <w:i w:val="1"/>
          <w:iCs w:val="1"/>
          <w:color w:val="auto"/>
        </w:rPr>
        <w:t>Warrant Exercise Agreement</w:t>
      </w:r>
      <w:r>
        <w:rPr>
          <w:rFonts w:ascii="Arial" w:cs="Arial" w:eastAsia="Arial" w:hAnsi="Arial"/>
          <w:sz w:val="16"/>
          <w:szCs w:val="16"/>
          <w:color w:val="auto"/>
        </w:rPr>
        <w:t>”).</w:t>
      </w:r>
    </w:p>
    <w:p>
      <w:pPr>
        <w:spacing w:after="0" w:line="129" w:lineRule="exact"/>
        <w:rPr>
          <w:sz w:val="20"/>
          <w:szCs w:val="20"/>
          <w:color w:val="auto"/>
        </w:rPr>
      </w:pPr>
    </w:p>
    <w:p>
      <w:pPr>
        <w:ind w:left="840" w:hanging="346"/>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herein shall have the meanings set forth in this </w:t>
      </w:r>
      <w:r>
        <w:rPr>
          <w:rFonts w:ascii="Arial" w:cs="Arial" w:eastAsia="Arial" w:hAnsi="Arial"/>
          <w:sz w:val="18"/>
          <w:szCs w:val="18"/>
          <w:u w:val="single" w:color="auto"/>
          <w:color w:val="auto"/>
        </w:rPr>
        <w:t xml:space="preserve">Section </w:t>
      </w:r>
      <w:hyperlink w:anchor="page64">
        <w:r>
          <w:rPr>
            <w:rFonts w:ascii="Arial" w:cs="Arial" w:eastAsia="Arial" w:hAnsi="Arial"/>
            <w:sz w:val="18"/>
            <w:szCs w:val="18"/>
            <w:u w:val="single" w:color="auto"/>
            <w:color w:val="auto"/>
          </w:rPr>
          <w:t>1.</w:t>
        </w:r>
      </w:hyperlink>
    </w:p>
    <w:p>
      <w:pPr>
        <w:spacing w:after="0" w:line="158" w:lineRule="exact"/>
        <w:rPr>
          <w:sz w:val="20"/>
          <w:szCs w:val="20"/>
          <w:color w:val="auto"/>
        </w:rPr>
      </w:pPr>
    </w:p>
    <w:p>
      <w:pPr>
        <w:jc w:val="both"/>
        <w:ind w:left="980" w:right="20"/>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hyperlink w:anchor="page65">
        <w:r>
          <w:rPr>
            <w:rFonts w:ascii="Arial" w:cs="Arial" w:eastAsia="Arial" w:hAnsi="Arial"/>
            <w:sz w:val="18"/>
            <w:szCs w:val="18"/>
            <w:u w:val="single" w:color="auto"/>
            <w:color w:val="0000EE"/>
          </w:rPr>
          <w:t>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that constitutes an Event of Default or that, upon the giving of notice, the lapse of time or both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hyperlink w:anchor="page65">
        <w:r>
          <w:rPr>
            <w:rFonts w:ascii="Arial" w:cs="Arial" w:eastAsia="Arial" w:hAnsi="Arial"/>
            <w:sz w:val="18"/>
            <w:szCs w:val="18"/>
            <w:u w:val="single" w:color="auto"/>
            <w:color w:val="0000EE"/>
          </w:rPr>
          <w:t>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would, unless cured or waived, become an Event of Default.</w:t>
      </w:r>
    </w:p>
    <w:p>
      <w:pPr>
        <w:spacing w:after="0" w:line="118" w:lineRule="exact"/>
        <w:rPr>
          <w:sz w:val="20"/>
          <w:szCs w:val="20"/>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hyperlink w:anchor="page65">
        <w:r>
          <w:rPr>
            <w:rFonts w:ascii="Arial" w:cs="Arial" w:eastAsia="Arial" w:hAnsi="Arial"/>
            <w:sz w:val="18"/>
            <w:szCs w:val="18"/>
            <w:u w:val="single" w:color="auto"/>
            <w:color w:val="0000EE"/>
          </w:rPr>
          <w:t>5</w:t>
        </w:r>
      </w:hyperlink>
      <w:r>
        <w:rPr>
          <w:rFonts w:ascii="Arial" w:cs="Arial" w:eastAsia="Arial" w:hAnsi="Arial"/>
          <w:sz w:val="18"/>
          <w:szCs w:val="18"/>
          <w:color w:val="auto"/>
        </w:rPr>
        <w:t>.</w:t>
      </w:r>
    </w:p>
    <w:p>
      <w:pPr>
        <w:spacing w:after="0" w:line="158" w:lineRule="exact"/>
        <w:rPr>
          <w:sz w:val="20"/>
          <w:szCs w:val="20"/>
          <w:color w:val="auto"/>
        </w:rPr>
      </w:pPr>
    </w:p>
    <w:p>
      <w:pPr>
        <w:jc w:val="both"/>
        <w:ind w:left="98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Law,</w:t>
      </w:r>
      <w:r>
        <w:rPr>
          <w:rFonts w:ascii="Arial" w:cs="Arial" w:eastAsia="Arial" w:hAnsi="Arial"/>
          <w:sz w:val="16"/>
          <w:szCs w:val="16"/>
          <w:color w:val="auto"/>
        </w:rPr>
        <w:t>” as to any person, means any law (including common law), statute, ordinance, treaty, rule, regulation, policy or requirement (including any authoritative interpretation thereon) of any government of any nation or any political subdivision thereof (whether at the national, state, territorial, provincial, municipal or any other level), or any agency, authority, instrumentality, regulatory body, court, central bank or other entity exercising executive, legislative, judicial, taxing, regulatory or administrative powers or functions of, or pertaining to, government, whether now or hereafter in effect, in each case, applicable to or binding on such person or any of its properties or to which such person or any of its properties is subject.</w:t>
      </w:r>
    </w:p>
    <w:p>
      <w:pPr>
        <w:spacing w:after="0" w:line="102" w:lineRule="exact"/>
        <w:rPr>
          <w:sz w:val="20"/>
          <w:szCs w:val="20"/>
          <w:color w:val="auto"/>
        </w:rPr>
      </w:pPr>
    </w:p>
    <w:p>
      <w:pPr>
        <w:jc w:val="both"/>
        <w:ind w:left="980"/>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xml:space="preserve">” means the earlier of (a) August 17, 2023 and (b) the date on which all amounts under this Note shall become due and payable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hyperlink w:anchor="page66">
        <w:r>
          <w:rPr>
            <w:rFonts w:ascii="Arial" w:cs="Arial" w:eastAsia="Arial" w:hAnsi="Arial"/>
            <w:sz w:val="18"/>
            <w:szCs w:val="18"/>
            <w:u w:val="single" w:color="auto"/>
            <w:color w:val="0000EE"/>
          </w:rPr>
          <w:t>6</w:t>
        </w:r>
      </w:hyperlink>
      <w:r>
        <w:rPr>
          <w:rFonts w:ascii="Arial" w:cs="Arial" w:eastAsia="Arial" w:hAnsi="Arial"/>
          <w:sz w:val="18"/>
          <w:szCs w:val="18"/>
          <w:color w:val="auto"/>
        </w:rPr>
        <w:t>.</w:t>
      </w:r>
    </w:p>
    <w:p>
      <w:pPr>
        <w:spacing w:after="0" w:line="145" w:lineRule="exact"/>
        <w:rPr>
          <w:sz w:val="20"/>
          <w:szCs w:val="20"/>
          <w:color w:val="auto"/>
        </w:rPr>
      </w:pPr>
    </w:p>
    <w:p>
      <w:pPr>
        <w:ind w:left="840" w:hanging="346"/>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185" w:lineRule="exact"/>
        <w:rPr>
          <w:sz w:val="20"/>
          <w:szCs w:val="20"/>
          <w:color w:val="auto"/>
        </w:rPr>
      </w:pPr>
    </w:p>
    <w:p>
      <w:pPr>
        <w:ind w:left="500" w:right="120" w:firstLine="972"/>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Payment Dates</w:t>
      </w:r>
      <w:r>
        <w:rPr>
          <w:rFonts w:ascii="Arial" w:cs="Arial" w:eastAsia="Arial" w:hAnsi="Arial"/>
          <w:sz w:val="18"/>
          <w:szCs w:val="18"/>
          <w:color w:val="auto"/>
        </w:rPr>
        <w:t>. The aggregate unpaid amount of the Loan, all accrued and unpaid interest on the Loan, and all other amounts payable under this Note shall be due and payable on the Maturity Date.</w:t>
      </w:r>
    </w:p>
    <w:p>
      <w:pPr>
        <w:spacing w:after="0" w:line="145" w:lineRule="exact"/>
        <w:rPr>
          <w:sz w:val="20"/>
          <w:szCs w:val="20"/>
          <w:color w:val="auto"/>
        </w:rPr>
      </w:pPr>
    </w:p>
    <w:p>
      <w:pPr>
        <w:ind w:left="500" w:right="280" w:firstLine="972"/>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ACM Shanghai may prepay the Loan in whole or in part at any time or from time to time without penalty or premium by paying the amount of the Loan to be prepaid together with accrued interest thereon to the date of prepayment. No prepaid amount may be reborrowed.</w:t>
      </w:r>
    </w:p>
    <w:p>
      <w:pPr>
        <w:spacing w:after="0" w:line="154" w:lineRule="exact"/>
        <w:rPr>
          <w:sz w:val="20"/>
          <w:szCs w:val="20"/>
          <w:color w:val="auto"/>
        </w:rPr>
      </w:pPr>
    </w:p>
    <w:p>
      <w:pPr>
        <w:ind w:left="840" w:hanging="346"/>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Interest.</w:t>
      </w:r>
    </w:p>
    <w:p>
      <w:pPr>
        <w:spacing w:after="0" w:line="185" w:lineRule="exact"/>
        <w:rPr>
          <w:sz w:val="20"/>
          <w:szCs w:val="20"/>
          <w:color w:val="auto"/>
        </w:rPr>
      </w:pPr>
    </w:p>
    <w:p>
      <w:pPr>
        <w:ind w:left="500" w:right="40" w:firstLine="972"/>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Interest Rate</w:t>
      </w:r>
      <w:r>
        <w:rPr>
          <w:rFonts w:ascii="Arial" w:cs="Arial" w:eastAsia="Arial" w:hAnsi="Arial"/>
          <w:sz w:val="16"/>
          <w:szCs w:val="16"/>
          <w:color w:val="auto"/>
        </w:rPr>
        <w:t>. Except as otherwise provided herein, the outstanding amount of the Loan shall bear interest at a rate of 3.01% per annum from the date the Loan was made until the Loan is paid in full, whether at the Maturity Date, upon acceleration, by prepayment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4" w:name="page65"/>
    <w:bookmarkEnd w:id="64"/>
    <w:p>
      <w:pPr>
        <w:ind w:left="480" w:right="20" w:firstLine="972"/>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Default Interest</w:t>
      </w:r>
      <w:r>
        <w:rPr>
          <w:rFonts w:ascii="Arial" w:cs="Arial" w:eastAsia="Arial" w:hAnsi="Arial"/>
          <w:sz w:val="18"/>
          <w:szCs w:val="18"/>
          <w:color w:val="auto"/>
        </w:rPr>
        <w:t>. If any amount payable hereunder is not paid when due (without regard to any applicable grace periods), whether at the Maturity Date, by acceleration, or otherwise, such overdue amount shall bear interest at the rate of 12.0% per annum from the date of such non-payment until such amount is paid in full.</w:t>
      </w:r>
    </w:p>
    <w:p>
      <w:pPr>
        <w:spacing w:after="0" w:line="154" w:lineRule="exact"/>
        <w:rPr>
          <w:sz w:val="20"/>
          <w:szCs w:val="20"/>
          <w:color w:val="auto"/>
        </w:rPr>
      </w:pPr>
    </w:p>
    <w:p>
      <w:pPr>
        <w:ind w:left="480" w:right="220" w:firstLine="972"/>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 All computations of interest shall be made on the basis of a year of 365 days and the actual number of days elapsed. Interest shall accrue on the Loan on the day it is made, and shall not accrue on the Loan for the day on which it is paid.</w:t>
      </w:r>
    </w:p>
    <w:p>
      <w:pPr>
        <w:spacing w:after="0" w:line="99" w:lineRule="exact"/>
        <w:rPr>
          <w:sz w:val="20"/>
          <w:szCs w:val="20"/>
          <w:color w:val="auto"/>
        </w:rPr>
      </w:pPr>
    </w:p>
    <w:p>
      <w:pPr>
        <w:ind w:left="480" w:right="60" w:firstLine="972"/>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If at any time and for any reason whatsoever, the interest rate payable on the Loan shall exceed the maximum rate of interest permitted to be charged by the Holder to ACM Shanghai under applicable Law, such interest rate shall be reduced automatically to the maximum rate of interest permitted to be charged under applicable Law.</w:t>
      </w:r>
    </w:p>
    <w:p>
      <w:pPr>
        <w:spacing w:after="0" w:line="154" w:lineRule="exact"/>
        <w:rPr>
          <w:sz w:val="20"/>
          <w:szCs w:val="20"/>
          <w:color w:val="auto"/>
        </w:rPr>
      </w:pPr>
    </w:p>
    <w:p>
      <w:pPr>
        <w:ind w:left="-20" w:right="20" w:firstLine="494"/>
        <w:spacing w:after="0" w:line="259" w:lineRule="auto"/>
        <w:tabs>
          <w:tab w:leader="none" w:pos="81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Payment Mechanics</w:t>
      </w:r>
      <w:r>
        <w:rPr>
          <w:rFonts w:ascii="Arial" w:cs="Arial" w:eastAsia="Arial" w:hAnsi="Arial"/>
          <w:sz w:val="18"/>
          <w:szCs w:val="18"/>
          <w:color w:val="auto"/>
        </w:rPr>
        <w:t>. Payment of the Loan and interest thereon shall be made in lawful money of the United States of America no later than 5:00 p.m., Pacific time, on the date on which such payment is due by wire transfer of immediately available funds to the Holder’s account at a bank specified by the Holder in writing to ACM Shanghai from time to time.</w:t>
      </w:r>
    </w:p>
    <w:p>
      <w:pPr>
        <w:spacing w:after="0" w:line="153" w:lineRule="exact"/>
        <w:rPr>
          <w:rFonts w:ascii="Arial" w:cs="Arial" w:eastAsia="Arial" w:hAnsi="Arial"/>
          <w:sz w:val="18"/>
          <w:szCs w:val="18"/>
          <w:color w:val="auto"/>
        </w:rPr>
      </w:pPr>
    </w:p>
    <w:p>
      <w:pPr>
        <w:ind w:left="820" w:hanging="346"/>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Event of Default hereunder:</w:t>
      </w:r>
    </w:p>
    <w:p>
      <w:pPr>
        <w:spacing w:after="0" w:line="185" w:lineRule="exact"/>
        <w:rPr>
          <w:sz w:val="20"/>
          <w:szCs w:val="20"/>
          <w:color w:val="auto"/>
        </w:rPr>
      </w:pPr>
    </w:p>
    <w:p>
      <w:pPr>
        <w:ind w:left="480" w:firstLine="972"/>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xml:space="preserve"> ACM Shanghai fails to pay (a) any amount of the Loan when due or (b) interest or any other amount when due and such failure continues for five days.</w:t>
      </w:r>
    </w:p>
    <w:p>
      <w:pPr>
        <w:spacing w:after="0" w:line="145" w:lineRule="exact"/>
        <w:rPr>
          <w:sz w:val="20"/>
          <w:szCs w:val="20"/>
          <w:color w:val="auto"/>
        </w:rPr>
      </w:pPr>
    </w:p>
    <w:p>
      <w:pPr>
        <w:ind w:left="1440"/>
        <w:spacing w:after="0"/>
        <w:tabs>
          <w:tab w:leader="none" w:pos="18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Bankruptcy</w:t>
      </w:r>
      <w:r>
        <w:rPr>
          <w:rFonts w:ascii="Arial" w:cs="Arial" w:eastAsia="Arial" w:hAnsi="Arial"/>
          <w:sz w:val="16"/>
          <w:szCs w:val="16"/>
          <w:color w:val="auto"/>
        </w:rPr>
        <w:t>.</w:t>
      </w:r>
    </w:p>
    <w:p>
      <w:pPr>
        <w:spacing w:after="0" w:line="185" w:lineRule="exact"/>
        <w:rPr>
          <w:sz w:val="20"/>
          <w:szCs w:val="20"/>
          <w:color w:val="auto"/>
        </w:rPr>
      </w:pPr>
    </w:p>
    <w:p>
      <w:pPr>
        <w:ind w:left="960" w:right="40" w:firstLine="1297"/>
        <w:spacing w:after="0" w:line="294" w:lineRule="auto"/>
        <w:tabs>
          <w:tab w:leader="none" w:pos="2667" w:val="left"/>
        </w:tabs>
        <w:numPr>
          <w:ilvl w:val="0"/>
          <w:numId w:val="68"/>
        </w:numPr>
        <w:rPr>
          <w:rFonts w:ascii="Arial" w:cs="Arial" w:eastAsia="Arial" w:hAnsi="Arial"/>
          <w:sz w:val="16"/>
          <w:szCs w:val="16"/>
          <w:color w:val="auto"/>
        </w:rPr>
      </w:pPr>
      <w:r>
        <w:rPr>
          <w:rFonts w:ascii="Arial" w:cs="Arial" w:eastAsia="Arial" w:hAnsi="Arial"/>
          <w:sz w:val="16"/>
          <w:szCs w:val="16"/>
          <w:color w:val="auto"/>
        </w:rPr>
        <w:t>ACM Shanghai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ACM Shanghai makes a general assignment for the benefit of its creditors.</w:t>
      </w:r>
    </w:p>
    <w:p>
      <w:pPr>
        <w:spacing w:after="0" w:line="129" w:lineRule="exact"/>
        <w:rPr>
          <w:rFonts w:ascii="Arial" w:cs="Arial" w:eastAsia="Arial" w:hAnsi="Arial"/>
          <w:sz w:val="16"/>
          <w:szCs w:val="16"/>
          <w:color w:val="auto"/>
        </w:rPr>
      </w:pPr>
    </w:p>
    <w:p>
      <w:pPr>
        <w:ind w:left="2680" w:hanging="423"/>
        <w:spacing w:after="0"/>
        <w:tabs>
          <w:tab w:leader="none" w:pos="2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is commenced against ACM Shanghai any case, proceeding or other action of a nature referred to in</w:t>
      </w:r>
    </w:p>
    <w:p>
      <w:pPr>
        <w:spacing w:after="0" w:line="15" w:lineRule="exact"/>
        <w:rPr>
          <w:sz w:val="20"/>
          <w:szCs w:val="20"/>
          <w:color w:val="auto"/>
        </w:rPr>
      </w:pPr>
    </w:p>
    <w:p>
      <w:pPr>
        <w:ind w:left="960" w:right="20"/>
        <w:spacing w:after="0" w:line="261" w:lineRule="auto"/>
        <w:rPr>
          <w:rFonts w:ascii="Arial" w:cs="Arial" w:eastAsia="Arial" w:hAnsi="Arial"/>
          <w:sz w:val="18"/>
          <w:szCs w:val="18"/>
          <w:color w:val="auto"/>
        </w:rPr>
      </w:pPr>
      <w:r>
        <w:rPr>
          <w:rFonts w:ascii="Arial" w:cs="Arial" w:eastAsia="Arial" w:hAnsi="Arial"/>
          <w:sz w:val="18"/>
          <w:szCs w:val="18"/>
          <w:u w:val="single" w:color="auto"/>
          <w:color w:val="auto"/>
        </w:rPr>
        <w:t xml:space="preserve">Subsection </w:t>
      </w:r>
      <w:hyperlink w:anchor="page65">
        <w:r>
          <w:rPr>
            <w:rFonts w:ascii="Arial" w:cs="Arial" w:eastAsia="Arial" w:hAnsi="Arial"/>
            <w:sz w:val="18"/>
            <w:szCs w:val="18"/>
            <w:u w:val="single" w:color="auto"/>
            <w:color w:val="auto"/>
          </w:rPr>
          <w:t xml:space="preserve">5.2(a) </w:t>
        </w:r>
      </w:hyperlink>
      <w:r>
        <w:rPr>
          <w:rFonts w:ascii="Arial" w:cs="Arial" w:eastAsia="Arial" w:hAnsi="Arial"/>
          <w:sz w:val="18"/>
          <w:szCs w:val="18"/>
          <w:u w:val="single" w:color="auto"/>
          <w:color w:val="auto"/>
        </w:rPr>
        <w:t>that (i) results in the entry of an order for relief or any such adjudication or appointment or (ii) remains undismissed, undischarged or unbonded for a period of thirty days.</w:t>
      </w:r>
    </w:p>
    <w:p>
      <w:pPr>
        <w:spacing w:after="0" w:line="151" w:lineRule="exact"/>
        <w:rPr>
          <w:sz w:val="20"/>
          <w:szCs w:val="20"/>
          <w:color w:val="auto"/>
        </w:rPr>
      </w:pPr>
    </w:p>
    <w:p>
      <w:pPr>
        <w:ind w:left="960" w:right="20" w:firstLine="1297"/>
        <w:spacing w:after="0" w:line="306" w:lineRule="auto"/>
        <w:tabs>
          <w:tab w:leader="none" w:pos="266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There is commenced against ACM Shanghai any case, proceeding or other action seeking issuance of a warrant of attachment, execution or similar process against all or any substantial part of its assets that results in the entry of an order for any such relief that has not been vacated, discharged, or stayed or bonded pending appeal within thirty days from the entry thereof.</w:t>
      </w:r>
    </w:p>
    <w:p>
      <w:pPr>
        <w:spacing w:after="0" w:line="120" w:lineRule="exact"/>
        <w:rPr>
          <w:rFonts w:ascii="Arial" w:cs="Arial" w:eastAsia="Arial" w:hAnsi="Arial"/>
          <w:sz w:val="16"/>
          <w:szCs w:val="16"/>
          <w:color w:val="auto"/>
        </w:rPr>
      </w:pPr>
    </w:p>
    <w:p>
      <w:pPr>
        <w:ind w:left="960" w:right="220" w:firstLine="1297"/>
        <w:spacing w:after="0" w:line="268" w:lineRule="auto"/>
        <w:tabs>
          <w:tab w:leader="none" w:pos="2677" w:val="left"/>
        </w:tabs>
        <w:numPr>
          <w:ilvl w:val="0"/>
          <w:numId w:val="69"/>
        </w:numPr>
        <w:rPr>
          <w:rFonts w:ascii="Arial" w:cs="Arial" w:eastAsia="Arial" w:hAnsi="Arial"/>
          <w:sz w:val="18"/>
          <w:szCs w:val="18"/>
          <w:u w:val="single" w:color="auto"/>
          <w:color w:val="auto"/>
        </w:rPr>
      </w:pPr>
      <w:r>
        <w:rPr>
          <w:rFonts w:ascii="Arial" w:cs="Arial" w:eastAsia="Arial" w:hAnsi="Arial"/>
          <w:sz w:val="18"/>
          <w:szCs w:val="18"/>
          <w:color w:val="auto"/>
        </w:rPr>
        <w:t xml:space="preserve">ACM Shanghai takes any action in furtherance of, or indicating its consent to, approval of, or acquiescence in, any of the acts set forth in </w:t>
      </w:r>
      <w:r>
        <w:rPr>
          <w:rFonts w:ascii="Arial" w:cs="Arial" w:eastAsia="Arial" w:hAnsi="Arial"/>
          <w:sz w:val="18"/>
          <w:szCs w:val="18"/>
          <w:u w:val="single" w:color="auto"/>
          <w:color w:val="auto"/>
        </w:rPr>
        <w:t xml:space="preserve">Subsection </w:t>
      </w:r>
      <w:hyperlink w:anchor="page65">
        <w:r>
          <w:rPr>
            <w:rFonts w:ascii="Arial" w:cs="Arial" w:eastAsia="Arial" w:hAnsi="Arial"/>
            <w:sz w:val="18"/>
            <w:szCs w:val="18"/>
            <w:u w:val="single" w:color="auto"/>
            <w:color w:val="auto"/>
          </w:rPr>
          <w:t>5.2(a)</w:t>
        </w:r>
      </w:hyperlink>
      <w:r>
        <w:rPr>
          <w:rFonts w:ascii="Arial" w:cs="Arial" w:eastAsia="Arial" w:hAnsi="Arial"/>
          <w:sz w:val="18"/>
          <w:szCs w:val="18"/>
          <w:u w:val="single" w:color="auto"/>
          <w:color w:val="auto"/>
        </w:rPr>
        <w:t xml:space="preserve">, </w:t>
      </w:r>
      <w:hyperlink w:anchor="page65">
        <w:r>
          <w:rPr>
            <w:rFonts w:ascii="Arial" w:cs="Arial" w:eastAsia="Arial" w:hAnsi="Arial"/>
            <w:sz w:val="18"/>
            <w:szCs w:val="18"/>
            <w:u w:val="single" w:color="auto"/>
            <w:color w:val="auto"/>
          </w:rPr>
          <w:t xml:space="preserve">5.2(b) </w:t>
        </w:r>
      </w:hyperlink>
      <w:r>
        <w:rPr>
          <w:rFonts w:ascii="Arial" w:cs="Arial" w:eastAsia="Arial" w:hAnsi="Arial"/>
          <w:sz w:val="18"/>
          <w:szCs w:val="18"/>
          <w:u w:val="single" w:color="auto"/>
          <w:color w:val="auto"/>
        </w:rPr>
        <w:t xml:space="preserve">or </w:t>
      </w:r>
      <w:hyperlink w:anchor="page65">
        <w:r>
          <w:rPr>
            <w:rFonts w:ascii="Arial" w:cs="Arial" w:eastAsia="Arial" w:hAnsi="Arial"/>
            <w:sz w:val="18"/>
            <w:szCs w:val="18"/>
            <w:u w:val="single" w:color="auto"/>
            <w:color w:val="auto"/>
          </w:rPr>
          <w:t>(c)</w:t>
        </w:r>
      </w:hyperlink>
      <w:r>
        <w:rPr>
          <w:rFonts w:ascii="Arial" w:cs="Arial" w:eastAsia="Arial" w:hAnsi="Arial"/>
          <w:sz w:val="18"/>
          <w:szCs w:val="18"/>
          <w:u w:val="single" w:color="auto"/>
          <w:color w:val="auto"/>
        </w:rPr>
        <w:t>.</w:t>
      </w:r>
    </w:p>
    <w:p>
      <w:pPr>
        <w:spacing w:after="0" w:line="145" w:lineRule="exact"/>
        <w:rPr>
          <w:rFonts w:ascii="Arial" w:cs="Arial" w:eastAsia="Arial" w:hAnsi="Arial"/>
          <w:sz w:val="18"/>
          <w:szCs w:val="18"/>
          <w:u w:val="single" w:color="auto"/>
          <w:color w:val="auto"/>
        </w:rPr>
      </w:pPr>
    </w:p>
    <w:p>
      <w:pPr>
        <w:ind w:left="2660" w:hanging="403"/>
        <w:spacing w:after="0"/>
        <w:tabs>
          <w:tab w:leader="none" w:pos="2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ACM Shanghai is generally not able to, or shall be unable to, or admits in writing its inability to, pay its debts as they</w:t>
      </w:r>
    </w:p>
    <w:p>
      <w:pPr>
        <w:spacing w:after="0" w:line="38"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become due.</w:t>
      </w:r>
    </w:p>
    <w:p>
      <w:pPr>
        <w:spacing w:after="0" w:line="36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90" w:right="239" w:bottom="1440" w:gutter="0" w:footer="0" w:header="0"/>
        </w:sectPr>
      </w:pPr>
    </w:p>
    <w:bookmarkStart w:id="65" w:name="page66"/>
    <w:bookmarkEnd w:id="65"/>
    <w:p>
      <w:pPr>
        <w:ind w:left="460" w:right="160" w:firstLine="972"/>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Judgments</w:t>
      </w:r>
      <w:r>
        <w:rPr>
          <w:rFonts w:ascii="Arial" w:cs="Arial" w:eastAsia="Arial" w:hAnsi="Arial"/>
          <w:sz w:val="18"/>
          <w:szCs w:val="18"/>
          <w:color w:val="auto"/>
        </w:rPr>
        <w:t>. One or more judgments or decrees shall be entered against ACM Shanghai and all of such judgments or decrees shall not have been vacated, discharged, stayed or bonded pending appeal within thirty days from the entry thereof.</w:t>
      </w:r>
    </w:p>
    <w:p>
      <w:pPr>
        <w:spacing w:after="0" w:line="145" w:lineRule="exact"/>
        <w:rPr>
          <w:sz w:val="20"/>
          <w:szCs w:val="20"/>
          <w:color w:val="auto"/>
        </w:rPr>
      </w:pPr>
    </w:p>
    <w:p>
      <w:pPr>
        <w:ind w:left="460" w:right="500" w:firstLine="972"/>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Breach.</w:t>
      </w:r>
      <w:r>
        <w:rPr>
          <w:rFonts w:ascii="Arial" w:cs="Arial" w:eastAsia="Arial" w:hAnsi="Arial"/>
          <w:sz w:val="18"/>
          <w:szCs w:val="18"/>
          <w:color w:val="auto"/>
        </w:rPr>
        <w:t xml:space="preserve"> ACM Shanghai defaults in any material respect in its performance of any material covenant or obligation required to be performed or satisfied by it under this Note or the Warrant Exercise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-175895</wp:posOffset>
            </wp:positionV>
            <wp:extent cx="279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25" w:lineRule="exact"/>
        <w:rPr>
          <w:sz w:val="20"/>
          <w:szCs w:val="20"/>
          <w:color w:val="auto"/>
        </w:rPr>
      </w:pPr>
    </w:p>
    <w:p>
      <w:pPr>
        <w:ind w:left="-40" w:firstLine="494"/>
        <w:spacing w:after="0" w:line="298" w:lineRule="auto"/>
        <w:tabs>
          <w:tab w:leader="none" w:pos="794"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Upon the occurrence of any Event of Default and at any time thereafter during the continuance of such Event of Default, the Holder may at its option, by written notice to ACM Shanghai, declare the entire amount of the Loan, together with all accrued interest thereon and all other amounts payable hereunder, immediately due and payable,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Event of Default described in </w:t>
      </w:r>
      <w:r>
        <w:rPr>
          <w:rFonts w:ascii="Arial" w:cs="Arial" w:eastAsia="Arial" w:hAnsi="Arial"/>
          <w:sz w:val="16"/>
          <w:szCs w:val="16"/>
          <w:u w:val="single" w:color="auto"/>
          <w:color w:val="auto"/>
        </w:rPr>
        <w:t xml:space="preserve">Subsection </w:t>
      </w:r>
      <w:hyperlink w:anchor="page65">
        <w:r>
          <w:rPr>
            <w:rFonts w:ascii="Arial" w:cs="Arial" w:eastAsia="Arial" w:hAnsi="Arial"/>
            <w:sz w:val="16"/>
            <w:szCs w:val="16"/>
            <w:u w:val="single" w:color="auto"/>
            <w:color w:val="auto"/>
          </w:rPr>
          <w:t xml:space="preserve">5.2 </w:t>
        </w:r>
      </w:hyperlink>
      <w:r>
        <w:rPr>
          <w:rFonts w:ascii="Arial" w:cs="Arial" w:eastAsia="Arial" w:hAnsi="Arial"/>
          <w:sz w:val="16"/>
          <w:szCs w:val="16"/>
          <w:u w:val="single" w:color="auto"/>
          <w:color w:val="auto"/>
        </w:rPr>
        <w:t>shall occur, the amount of the Loan, and accrued interest thereon, shall become immediately due and payable without any notice, declaration or other act on the part of the Holder.</w:t>
      </w:r>
    </w:p>
    <w:p>
      <w:pPr>
        <w:spacing w:after="0" w:line="126" w:lineRule="exact"/>
        <w:rPr>
          <w:rFonts w:ascii="Arial" w:cs="Arial" w:eastAsia="Arial" w:hAnsi="Arial"/>
          <w:sz w:val="16"/>
          <w:szCs w:val="16"/>
          <w:color w:val="auto"/>
        </w:rPr>
      </w:pPr>
    </w:p>
    <w:p>
      <w:pPr>
        <w:ind w:left="800" w:hanging="346"/>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85" w:lineRule="exact"/>
        <w:rPr>
          <w:sz w:val="20"/>
          <w:szCs w:val="20"/>
          <w:color w:val="auto"/>
        </w:rPr>
      </w:pPr>
    </w:p>
    <w:p>
      <w:pPr>
        <w:ind w:left="460" w:right="260" w:firstLine="972"/>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or other communications required or permitted to be delivered hereunder shall be delivered in writing and in accordance with the Warrant Exercise Agreement.</w:t>
      </w:r>
    </w:p>
    <w:p>
      <w:pPr>
        <w:spacing w:after="0" w:line="145" w:lineRule="exact"/>
        <w:rPr>
          <w:sz w:val="20"/>
          <w:szCs w:val="20"/>
          <w:color w:val="auto"/>
        </w:rPr>
      </w:pPr>
    </w:p>
    <w:p>
      <w:pPr>
        <w:ind w:left="460" w:firstLine="972"/>
        <w:spacing w:after="0" w:line="33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Note and any claim, controversy, dispute or cause of action (whether in contract or tort or otherwise) based upon, arising out of or relating to this Note and the transactions contemplated hereby shall be governed by the laws of the State of Delaware.</w:t>
      </w:r>
    </w:p>
    <w:p>
      <w:pPr>
        <w:spacing w:after="0" w:line="99"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w:t>
      </w:r>
    </w:p>
    <w:p>
      <w:pPr>
        <w:spacing w:after="0" w:line="185" w:lineRule="exact"/>
        <w:rPr>
          <w:sz w:val="20"/>
          <w:szCs w:val="20"/>
          <w:color w:val="auto"/>
        </w:rPr>
      </w:pPr>
    </w:p>
    <w:p>
      <w:pPr>
        <w:ind w:left="940" w:right="120" w:firstLine="1297"/>
        <w:spacing w:after="0" w:line="298" w:lineRule="auto"/>
        <w:tabs>
          <w:tab w:leader="none" w:pos="2647" w:val="left"/>
        </w:tabs>
        <w:numPr>
          <w:ilvl w:val="0"/>
          <w:numId w:val="71"/>
        </w:numPr>
        <w:rPr>
          <w:rFonts w:ascii="Arial" w:cs="Arial" w:eastAsia="Arial" w:hAnsi="Arial"/>
          <w:sz w:val="16"/>
          <w:szCs w:val="16"/>
          <w:color w:val="auto"/>
        </w:rPr>
      </w:pPr>
      <w:r>
        <w:rPr>
          <w:rFonts w:ascii="Arial" w:cs="Arial" w:eastAsia="Arial" w:hAnsi="Arial"/>
          <w:sz w:val="16"/>
          <w:szCs w:val="16"/>
          <w:color w:val="auto"/>
        </w:rPr>
        <w:t>ACM Shanghai hereby irrevocably and unconditionally (i) agrees that any legal action, suit or proceeding arising out of or relating to this Note may be brought in the state courts of Delaware and the U.S. District Court for the District of Delaware and (ii) submits to the jurisdiction of any such court in any such action, suit or proceeding. Final judgment against ACM Shanghai in any action, suit or proceeding shall be conclusive and may be enforced in any other jurisdiction by suit on the judgment.</w:t>
      </w:r>
    </w:p>
    <w:p>
      <w:pPr>
        <w:spacing w:after="0" w:line="126" w:lineRule="exact"/>
        <w:rPr>
          <w:rFonts w:ascii="Arial" w:cs="Arial" w:eastAsia="Arial" w:hAnsi="Arial"/>
          <w:sz w:val="16"/>
          <w:szCs w:val="16"/>
          <w:color w:val="auto"/>
        </w:rPr>
      </w:pPr>
    </w:p>
    <w:p>
      <w:pPr>
        <w:ind w:left="940" w:right="40" w:firstLine="1297"/>
        <w:spacing w:after="0" w:line="259" w:lineRule="auto"/>
        <w:tabs>
          <w:tab w:leader="none" w:pos="265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 xml:space="preserve">Subsection </w:t>
      </w:r>
      <w:hyperlink w:anchor="page66">
        <w:r>
          <w:rPr>
            <w:rFonts w:ascii="Arial" w:cs="Arial" w:eastAsia="Arial" w:hAnsi="Arial"/>
            <w:sz w:val="18"/>
            <w:szCs w:val="18"/>
            <w:u w:val="single" w:color="auto"/>
            <w:color w:val="auto"/>
          </w:rPr>
          <w:t xml:space="preserve">7.3 </w:t>
        </w:r>
      </w:hyperlink>
      <w:r>
        <w:rPr>
          <w:rFonts w:ascii="Arial" w:cs="Arial" w:eastAsia="Arial" w:hAnsi="Arial"/>
          <w:sz w:val="18"/>
          <w:szCs w:val="18"/>
          <w:u w:val="single" w:color="auto"/>
          <w:color w:val="auto"/>
        </w:rPr>
        <w:t>shall affect the right of the Holder to (i) commence legal proceedings or otherwise sue ACM Shanghai in any other court having jurisdiction over ACM Shanghai or (ii) serve process upon ACM Shanghai in any manner authorized by the laws of any such jurisdiction.</w:t>
      </w:r>
    </w:p>
    <w:p>
      <w:pPr>
        <w:spacing w:after="0" w:line="154" w:lineRule="exact"/>
        <w:rPr>
          <w:sz w:val="20"/>
          <w:szCs w:val="20"/>
          <w:color w:val="auto"/>
        </w:rPr>
      </w:pPr>
    </w:p>
    <w:p>
      <w:pPr>
        <w:ind w:left="460" w:right="160" w:firstLine="972"/>
        <w:spacing w:after="0" w:line="306" w:lineRule="auto"/>
        <w:rPr>
          <w:rFonts w:ascii="Arial" w:cs="Arial" w:eastAsia="Arial" w:hAnsi="Arial"/>
          <w:sz w:val="16"/>
          <w:szCs w:val="16"/>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Venue</w:t>
      </w:r>
      <w:r>
        <w:rPr>
          <w:rFonts w:ascii="Arial" w:cs="Arial" w:eastAsia="Arial" w:hAnsi="Arial"/>
          <w:sz w:val="16"/>
          <w:szCs w:val="16"/>
          <w:color w:val="auto"/>
        </w:rPr>
        <w:t xml:space="preserve">. ACM Shanghai irrevocably and unconditionally waives, to the fullest extent permitted by applicable law, any objection that it may now or hereafter have to the laying of venue of any action or proceeding arising out of or relating to this Note in any court referred to in </w:t>
      </w:r>
      <w:r>
        <w:rPr>
          <w:rFonts w:ascii="Arial" w:cs="Arial" w:eastAsia="Arial" w:hAnsi="Arial"/>
          <w:sz w:val="16"/>
          <w:szCs w:val="16"/>
          <w:u w:val="single" w:color="auto"/>
          <w:color w:val="auto"/>
        </w:rPr>
        <w:t xml:space="preserve">Subsection </w:t>
      </w:r>
      <w:hyperlink w:anchor="page66">
        <w:r>
          <w:rPr>
            <w:rFonts w:ascii="Arial" w:cs="Arial" w:eastAsia="Arial" w:hAnsi="Arial"/>
            <w:sz w:val="16"/>
            <w:szCs w:val="16"/>
            <w:u w:val="single" w:color="auto"/>
            <w:color w:val="auto"/>
          </w:rPr>
          <w:t xml:space="preserve">7.3 </w:t>
        </w:r>
      </w:hyperlink>
      <w:r>
        <w:rPr>
          <w:rFonts w:ascii="Arial" w:cs="Arial" w:eastAsia="Arial" w:hAnsi="Arial"/>
          <w:sz w:val="16"/>
          <w:szCs w:val="16"/>
          <w:u w:val="single" w:color="auto"/>
          <w:color w:val="auto"/>
        </w:rPr>
        <w:t>and the defense of an inconvenient forum to the maintenance of such action or proceeding in any such court.</w:t>
      </w:r>
    </w:p>
    <w:p>
      <w:pPr>
        <w:spacing w:after="0" w:line="120" w:lineRule="exact"/>
        <w:rPr>
          <w:sz w:val="20"/>
          <w:szCs w:val="20"/>
          <w:color w:val="auto"/>
        </w:rPr>
      </w:pPr>
    </w:p>
    <w:p>
      <w:pPr>
        <w:ind w:left="460" w:right="560" w:firstLine="972"/>
        <w:spacing w:after="0" w:line="25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ACM Shanghai HEREBY IRREVOCABLY WAIVES, TO THE FULLEST EXTENT PERMITTED BY APPLICABLE LAW, ANY RIGHT IT MAY HAVE TO A TRIAL BY JURY IN ANY LEGAL PROCEEDING DIRECTLY OR INDIRECTLY RELATING TO THIS NOTE OR THE TRANSACTIONS CONTEMPLATED HEREBY WHETHER BASED ON CONTRACT, TORT OR ANY OTHER THEORY.</w:t>
      </w:r>
    </w:p>
    <w:p>
      <w:pPr>
        <w:spacing w:after="0" w:line="157" w:lineRule="exact"/>
        <w:rPr>
          <w:sz w:val="20"/>
          <w:szCs w:val="20"/>
          <w:color w:val="auto"/>
        </w:rPr>
      </w:pPr>
    </w:p>
    <w:p>
      <w:pPr>
        <w:ind w:left="460" w:right="480" w:firstLine="972"/>
        <w:spacing w:after="0" w:line="33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Note may not be assigned or transferred by the Holder or ACM Shanghai without the prior written consent of the other Party. This Note shall inure to the benefit of, and be binding upon, the Parties and their permitted assigns.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90" w:right="259" w:bottom="1440" w:gutter="0" w:footer="0" w:header="0"/>
        </w:sectPr>
      </w:pPr>
    </w:p>
    <w:bookmarkStart w:id="66" w:name="page67"/>
    <w:bookmarkEnd w:id="66"/>
    <w:p>
      <w:pPr>
        <w:ind w:right="80" w:firstLine="972"/>
        <w:spacing w:after="0" w:line="33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Waiver of Notice.</w:t>
      </w:r>
      <w:r>
        <w:rPr>
          <w:rFonts w:ascii="Arial" w:cs="Arial" w:eastAsia="Arial" w:hAnsi="Arial"/>
          <w:sz w:val="16"/>
          <w:szCs w:val="16"/>
          <w:color w:val="auto"/>
        </w:rPr>
        <w:t xml:space="preserve"> ACM Shanghai hereby waives demand for payment, presentment for payment, protest, notice of payment, notice of dishonor, notice of nonpayment, notice of acceleration of maturity and diligence in taking any action to collect sums owing hereunder.</w:t>
      </w:r>
    </w:p>
    <w:p>
      <w:pPr>
        <w:spacing w:after="0" w:line="99" w:lineRule="exact"/>
        <w:rPr>
          <w:sz w:val="20"/>
          <w:szCs w:val="20"/>
          <w:color w:val="auto"/>
        </w:rPr>
      </w:pPr>
    </w:p>
    <w:p>
      <w:pPr>
        <w:ind w:firstLine="972"/>
        <w:spacing w:after="0" w:line="290"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Interpretation</w:t>
      </w:r>
      <w:r>
        <w:rPr>
          <w:rFonts w:ascii="Arial" w:cs="Arial" w:eastAsia="Arial" w:hAnsi="Arial"/>
          <w:sz w:val="16"/>
          <w:szCs w:val="16"/>
          <w:color w:val="auto"/>
        </w:rPr>
        <w:t>. For purposes of this Note: (a) the words “include” and “including” shall be deemed to be followed by the words “without limitation”; (b) the word “or” is not exclusive; and (c) the words “herein,” “hereof,” “hereby” and “hereunder” refer to this Note as a whole. The definitions given for any defined terms in this Note shall apply equally to both the singular and plural forms of the terms defined. Unless the context otherwise requires, references herein (x) to an agreement, instrument or other document mean such agreement, instrument or other document as amended, supplemented and modified from time to time to the extent permitted by the provisions thereof and (y) to a statute mean such statute as amended from time to time and include any successor legislation thereto and any regulations promulgated thereunder. This Note shall be construed without regard to any presumption or rule requiring construction or interpretation against the Party drafting an instrument or causing any instrument to be drafted.</w:t>
      </w:r>
    </w:p>
    <w:p>
      <w:pPr>
        <w:spacing w:after="0" w:line="132" w:lineRule="exact"/>
        <w:rPr>
          <w:sz w:val="20"/>
          <w:szCs w:val="20"/>
          <w:color w:val="auto"/>
        </w:rPr>
      </w:pPr>
    </w:p>
    <w:p>
      <w:pPr>
        <w:ind w:right="340" w:firstLine="972"/>
        <w:spacing w:after="0" w:line="332"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Amendments</w:t>
      </w:r>
      <w:r>
        <w:rPr>
          <w:rFonts w:ascii="Arial" w:cs="Arial" w:eastAsia="Arial" w:hAnsi="Arial"/>
          <w:sz w:val="16"/>
          <w:szCs w:val="16"/>
          <w:color w:val="auto"/>
        </w:rPr>
        <w:t>. No term of this Note may be waived, modified or amended except by an instrument in writing signed by both of the Parties. Any waiver of the terms hereof shall be effective only in the specific instance and for the specific purpose given.</w:t>
      </w:r>
    </w:p>
    <w:p>
      <w:pPr>
        <w:spacing w:after="0" w:line="99" w:lineRule="exact"/>
        <w:rPr>
          <w:sz w:val="20"/>
          <w:szCs w:val="20"/>
          <w:color w:val="auto"/>
        </w:rPr>
      </w:pPr>
    </w:p>
    <w:p>
      <w:pPr>
        <w:ind w:right="60" w:firstLine="972"/>
        <w:spacing w:after="0" w:line="268"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Sections and Subsections herein are for reference only and shall not define, modify, expand or limit any of the terms or provisions hereof.</w:t>
      </w:r>
    </w:p>
    <w:p>
      <w:pPr>
        <w:spacing w:after="0" w:line="145" w:lineRule="exact"/>
        <w:rPr>
          <w:sz w:val="20"/>
          <w:szCs w:val="20"/>
          <w:color w:val="auto"/>
        </w:rPr>
      </w:pPr>
    </w:p>
    <w:p>
      <w:pPr>
        <w:jc w:val="both"/>
        <w:ind w:right="200" w:firstLine="972"/>
        <w:spacing w:after="0" w:line="298"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 No failure to exercise and no delay in exercising on the part of the 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26" w:lineRule="exact"/>
        <w:rPr>
          <w:sz w:val="20"/>
          <w:szCs w:val="20"/>
          <w:color w:val="auto"/>
        </w:rPr>
      </w:pPr>
    </w:p>
    <w:p>
      <w:pPr>
        <w:ind w:firstLine="972"/>
        <w:spacing w:after="0" w:line="294"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Electronic Execution</w:t>
      </w:r>
      <w:r>
        <w:rPr>
          <w:rFonts w:ascii="Arial" w:cs="Arial" w:eastAsia="Arial" w:hAnsi="Arial"/>
          <w:sz w:val="16"/>
          <w:szCs w:val="16"/>
          <w:color w:val="auto"/>
        </w:rPr>
        <w:t>. The words “execution,” “signed,” “signature,” and words of similar import in this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 et seq.), the Electronic Signatures and Records Act of 1999 (N.Y. State Tech. Law §§ 301-309), or any other similar state laws based on the Uniform Electronic Transactions Act.</w:t>
      </w:r>
    </w:p>
    <w:p>
      <w:pPr>
        <w:spacing w:after="0" w:line="129" w:lineRule="exact"/>
        <w:rPr>
          <w:sz w:val="20"/>
          <w:szCs w:val="20"/>
          <w:color w:val="auto"/>
        </w:rPr>
      </w:pPr>
    </w:p>
    <w:p>
      <w:pPr>
        <w:ind w:right="140" w:firstLine="972"/>
        <w:spacing w:after="0" w:line="259"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w:t>
      </w:r>
    </w:p>
    <w:p>
      <w:pPr>
        <w:spacing w:after="0" w:line="200" w:lineRule="exact"/>
        <w:rPr>
          <w:sz w:val="20"/>
          <w:szCs w:val="20"/>
          <w:color w:val="auto"/>
        </w:rPr>
      </w:pPr>
    </w:p>
    <w:p>
      <w:pPr>
        <w:spacing w:after="0" w:line="29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590" w:right="259" w:bottom="1440" w:gutter="0" w:footer="0" w:header="0"/>
        </w:sectPr>
      </w:pPr>
    </w:p>
    <w:bookmarkStart w:id="67" w:name="page68"/>
    <w:bookmarkEnd w:id="67"/>
    <w:p>
      <w:pPr>
        <w:spacing w:after="0"/>
        <w:rPr>
          <w:sz w:val="20"/>
          <w:szCs w:val="20"/>
          <w:color w:val="auto"/>
        </w:rPr>
      </w:pPr>
      <w:r>
        <w:rPr>
          <w:rFonts w:ascii="Arial" w:cs="Arial" w:eastAsia="Arial" w:hAnsi="Arial"/>
          <w:sz w:val="15"/>
          <w:szCs w:val="15"/>
          <w:color w:val="auto"/>
        </w:rPr>
        <w:t>I</w:t>
      </w:r>
      <w:r>
        <w:rPr>
          <w:rFonts w:ascii="Arial" w:cs="Arial" w:eastAsia="Arial" w:hAnsi="Arial"/>
          <w:sz w:val="11"/>
          <w:szCs w:val="11"/>
          <w:color w:val="auto"/>
        </w:rPr>
        <w:t>N</w:t>
      </w:r>
      <w:r>
        <w:rPr>
          <w:rFonts w:ascii="Arial" w:cs="Arial" w:eastAsia="Arial" w:hAnsi="Arial"/>
          <w:sz w:val="15"/>
          <w:szCs w:val="15"/>
          <w:color w:val="auto"/>
        </w:rPr>
        <w:t xml:space="preserve"> W</w:t>
      </w:r>
      <w:r>
        <w:rPr>
          <w:rFonts w:ascii="Arial" w:cs="Arial" w:eastAsia="Arial" w:hAnsi="Arial"/>
          <w:sz w:val="11"/>
          <w:szCs w:val="11"/>
          <w:color w:val="auto"/>
        </w:rPr>
        <w:t>ITNESS</w:t>
      </w:r>
      <w:r>
        <w:rPr>
          <w:rFonts w:ascii="Arial" w:cs="Arial" w:eastAsia="Arial" w:hAnsi="Arial"/>
          <w:sz w:val="15"/>
          <w:szCs w:val="15"/>
          <w:color w:val="auto"/>
        </w:rPr>
        <w:t xml:space="preserve"> W</w:t>
      </w:r>
      <w:r>
        <w:rPr>
          <w:rFonts w:ascii="Arial" w:cs="Arial" w:eastAsia="Arial" w:hAnsi="Arial"/>
          <w:sz w:val="11"/>
          <w:szCs w:val="11"/>
          <w:color w:val="auto"/>
        </w:rPr>
        <w:t>HEREOF</w:t>
      </w:r>
      <w:r>
        <w:rPr>
          <w:rFonts w:ascii="Arial" w:cs="Arial" w:eastAsia="Arial" w:hAnsi="Arial"/>
          <w:sz w:val="15"/>
          <w:szCs w:val="15"/>
          <w:color w:val="auto"/>
        </w:rPr>
        <w:t>, ACM Shanghai has caused this Note to be signed in its name as of the Issue Date written above.</w:t>
      </w:r>
    </w:p>
    <w:p>
      <w:pPr>
        <w:sectPr>
          <w:pgSz w:w="11900" w:h="16838" w:orient="portrait"/>
          <w:cols w:equalWidth="0" w:num="1">
            <w:col w:w="9719"/>
          </w:cols>
          <w:pgMar w:left="740" w:top="563" w:right="1440" w:bottom="1440" w:gutter="0" w:footer="0" w:header="0"/>
        </w:sect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ACM R</w:t>
      </w:r>
      <w:r>
        <w:rPr>
          <w:rFonts w:ascii="Arial" w:cs="Arial" w:eastAsia="Arial" w:hAnsi="Arial"/>
          <w:sz w:val="11"/>
          <w:szCs w:val="11"/>
          <w:color w:val="auto"/>
        </w:rPr>
        <w:t>ESEARCH</w:t>
      </w:r>
      <w:r>
        <w:rPr>
          <w:rFonts w:ascii="Arial" w:cs="Arial" w:eastAsia="Arial" w:hAnsi="Arial"/>
          <w:sz w:val="16"/>
          <w:szCs w:val="16"/>
          <w:color w:val="auto"/>
        </w:rPr>
        <w:t xml:space="preserve"> (S</w:t>
      </w:r>
      <w:r>
        <w:rPr>
          <w:rFonts w:ascii="Arial" w:cs="Arial" w:eastAsia="Arial" w:hAnsi="Arial"/>
          <w:sz w:val="11"/>
          <w:szCs w:val="11"/>
          <w:color w:val="auto"/>
        </w:rPr>
        <w:t>HANGHAI</w:t>
      </w:r>
      <w:r>
        <w:rPr>
          <w:rFonts w:ascii="Arial" w:cs="Arial" w:eastAsia="Arial" w:hAnsi="Arial"/>
          <w:sz w:val="16"/>
          <w:szCs w:val="16"/>
          <w:color w:val="auto"/>
        </w:rPr>
        <w:t>), I</w:t>
      </w:r>
      <w:r>
        <w:rPr>
          <w:rFonts w:ascii="Arial" w:cs="Arial" w:eastAsia="Arial" w:hAnsi="Arial"/>
          <w:sz w:val="11"/>
          <w:szCs w:val="11"/>
          <w:color w:val="auto"/>
        </w:rPr>
        <w:t>NC</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H. Wang</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719"/>
      </w:cols>
      <w:pgMar w:left="740" w:top="5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2"/>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lvl w:ilvl="1">
      <w:lvlJc w:val="left"/>
      <w:lvlText w:val="(%2)"/>
      <w:numFmt w:val="lowerLetter"/>
      <w:start w:val="1"/>
    </w:lvl>
  </w:abstractNum>
  <w:abstractNum w:abstractNumId="19">
    <w:nsid w:val="7A6D8D3C"/>
    <w:multiLevelType w:val="hybridMultilevel"/>
    <w:lvl w:ilvl="0">
      <w:lvlJc w:val="left"/>
      <w:lvlText w:val="%1."/>
      <w:numFmt w:val="decimal"/>
      <w:start w:val="1"/>
    </w:lvl>
    <w:lvl w:ilvl="1">
      <w:lvlJc w:val="left"/>
      <w:lvlText w:val="(%2)"/>
      <w:numFmt w:val="lowerLetter"/>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2"/>
    </w:lvl>
  </w:abstractNum>
  <w:abstractNum w:abstractNumId="23">
    <w:nsid w:val="38437FDB"/>
    <w:multiLevelType w:val="hybridMultilevel"/>
    <w:lvl w:ilvl="0">
      <w:lvlJc w:val="left"/>
      <w:lvlText w:val="%1."/>
      <w:numFmt w:val="lowerLetter"/>
      <w:start w:val="1"/>
    </w:lvl>
  </w:abstractNum>
  <w:abstractNum w:abstractNumId="24">
    <w:nsid w:val="7644A45C"/>
    <w:multiLevelType w:val="hybridMultilevel"/>
    <w:lvl w:ilvl="0">
      <w:lvlJc w:val="left"/>
      <w:lvlText w:val="%1."/>
      <w:numFmt w:val="lowerLetter"/>
      <w:start w:val="2"/>
    </w:lvl>
  </w:abstractNum>
  <w:abstractNum w:abstractNumId="25">
    <w:nsid w:val="32FFF902"/>
    <w:multiLevelType w:val="hybridMultilevel"/>
    <w:lvl w:ilvl="0">
      <w:lvlJc w:val="left"/>
      <w:lvlText w:val="%1."/>
      <w:numFmt w:val="decimal"/>
      <w:start w:val="3"/>
    </w:lvl>
  </w:abstractNum>
  <w:abstractNum w:abstractNumId="26">
    <w:nsid w:val="684A481A"/>
    <w:multiLevelType w:val="hybridMultilevel"/>
    <w:lvl w:ilvl="0">
      <w:lvlJc w:val="left"/>
      <w:lvlText w:val="%1."/>
      <w:numFmt w:val="lowerLetter"/>
      <w:start w:val="1"/>
    </w:lvl>
  </w:abstractNum>
  <w:abstractNum w:abstractNumId="27">
    <w:nsid w:val="579478FE"/>
    <w:multiLevelType w:val="hybridMultilevel"/>
    <w:lvl w:ilvl="0">
      <w:lvlJc w:val="left"/>
      <w:lvlText w:val="%1."/>
      <w:numFmt w:val="decimal"/>
      <w:start w:val="4"/>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1."/>
      <w:numFmt w:val="lowerLetter"/>
      <w:start w:val="2"/>
    </w:lvl>
  </w:abstractNum>
  <w:abstractNum w:abstractNumId="30">
    <w:nsid w:val="1BA026FA"/>
    <w:multiLevelType w:val="hybridMultilevel"/>
    <w:lvl w:ilvl="0">
      <w:lvlJc w:val="left"/>
      <w:lvlText w:val="%1."/>
      <w:numFmt w:val="decimal"/>
      <w:start w:val="5"/>
    </w:lvl>
  </w:abstractNum>
  <w:abstractNum w:abstractNumId="31">
    <w:nsid w:val="79A1DEAA"/>
    <w:multiLevelType w:val="hybridMultilevel"/>
    <w:lvl w:ilvl="0">
      <w:lvlJc w:val="left"/>
      <w:lvlText w:val="%1."/>
      <w:numFmt w:val="lowerLetter"/>
      <w:start w:val="1"/>
    </w:lvl>
  </w:abstractNum>
  <w:abstractNum w:abstractNumId="32">
    <w:nsid w:val="75C6C33A"/>
    <w:multiLevelType w:val="hybridMultilevel"/>
    <w:lvl w:ilvl="0">
      <w:lvlJc w:val="left"/>
      <w:lvlText w:val="%1."/>
      <w:numFmt w:val="lowerLetter"/>
      <w:start w:val="6"/>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upperLetter"/>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lowerLetter"/>
      <w:start w:val="1"/>
    </w:lvl>
  </w:abstractNum>
  <w:abstractNum w:abstractNumId="37">
    <w:nsid w:val="4F4EF005"/>
    <w:multiLevelType w:val="hybridMultilevel"/>
    <w:lvl w:ilvl="0">
      <w:lvlJc w:val="left"/>
      <w:lvlText w:val="(%1)"/>
      <w:numFmt w:val="lowerLetter"/>
      <w:start w:val="1"/>
    </w:lvl>
  </w:abstractNum>
  <w:abstractNum w:abstractNumId="38">
    <w:nsid w:val="23F9C13C"/>
    <w:multiLevelType w:val="hybridMultilevel"/>
    <w:lvl w:ilvl="0">
      <w:lvlJc w:val="left"/>
      <w:lvlText w:val="(%1)"/>
      <w:numFmt w:val="lowerLetter"/>
      <w:start w:val="1"/>
    </w:lvl>
  </w:abstractNum>
  <w:abstractNum w:abstractNumId="39">
    <w:nsid w:val="649BB77C"/>
    <w:multiLevelType w:val="hybridMultilevel"/>
    <w:lvl w:ilvl="0">
      <w:lvlJc w:val="left"/>
      <w:lvlText w:val="(%1)"/>
      <w:numFmt w:val="lowerLetter"/>
      <w:start w:val="1"/>
    </w:lvl>
  </w:abstractNum>
  <w:abstractNum w:abstractNumId="40">
    <w:nsid w:val="275AC794"/>
    <w:multiLevelType w:val="hybridMultilevel"/>
    <w:lvl w:ilvl="0">
      <w:lvlJc w:val="left"/>
      <w:lvlText w:val="%1"/>
      <w:numFmt w:val="decimal"/>
      <w:start w:val="1"/>
    </w:lvl>
    <w:lvl w:ilvl="1">
      <w:lvlJc w:val="left"/>
      <w:lvlText w:val="(%2)"/>
      <w:numFmt w:val="lowerLetter"/>
      <w:start w:val="3"/>
    </w:lvl>
  </w:abstractNum>
  <w:abstractNum w:abstractNumId="41">
    <w:nsid w:val="39386575"/>
    <w:multiLevelType w:val="hybridMultilevel"/>
    <w:lvl w:ilvl="0">
      <w:lvlJc w:val="left"/>
      <w:lvlText w:val="%1."/>
      <w:numFmt w:val="decimal"/>
      <w:start w:val="2"/>
    </w:lvl>
    <w:lvl w:ilvl="1">
      <w:lvlJc w:val="left"/>
      <w:lvlText w:val="%2"/>
      <w:numFmt w:val="lowerLetter"/>
      <w:start w:val="1"/>
    </w:lvl>
  </w:abstractNum>
  <w:abstractNum w:abstractNumId="42">
    <w:nsid w:val="1CF10FD8"/>
    <w:multiLevelType w:val="hybridMultilevel"/>
    <w:lvl w:ilvl="0">
      <w:lvlJc w:val="left"/>
      <w:lvlText w:val="%1."/>
      <w:numFmt w:val="decimal"/>
      <w:start w:val="3"/>
    </w:lvl>
  </w:abstractNum>
  <w:abstractNum w:abstractNumId="43">
    <w:nsid w:val="180115BE"/>
    <w:multiLevelType w:val="hybridMultilevel"/>
    <w:lvl w:ilvl="0">
      <w:lvlJc w:val="left"/>
      <w:lvlText w:val="(%1)"/>
      <w:numFmt w:val="lowerLetter"/>
      <w:start w:val="2"/>
    </w:lvl>
  </w:abstractNum>
  <w:abstractNum w:abstractNumId="44">
    <w:nsid w:val="235BA861"/>
    <w:multiLevelType w:val="hybridMultilevel"/>
    <w:lvl w:ilvl="0">
      <w:lvlJc w:val="left"/>
      <w:lvlText w:val="(%1)"/>
      <w:numFmt w:val="lowerLetter"/>
      <w:start w:val="24"/>
    </w:lvl>
  </w:abstractNum>
  <w:abstractNum w:abstractNumId="45">
    <w:nsid w:val="47398C89"/>
    <w:multiLevelType w:val="hybridMultilevel"/>
    <w:lvl w:ilvl="0">
      <w:lvlJc w:val="left"/>
      <w:lvlText w:val="%1."/>
      <w:numFmt w:val="decimal"/>
      <w:start w:val="4"/>
    </w:lvl>
  </w:abstractNum>
  <w:abstractNum w:abstractNumId="46">
    <w:nsid w:val="354FE9F9"/>
    <w:multiLevelType w:val="hybridMultilevel"/>
    <w:lvl w:ilvl="0">
      <w:lvlJc w:val="left"/>
      <w:lvlText w:val="%1."/>
      <w:numFmt w:val="decimal"/>
      <w:start w:val="5"/>
    </w:lvl>
  </w:abstractNum>
  <w:abstractNum w:abstractNumId="47">
    <w:nsid w:val="15B5AF5C"/>
    <w:multiLevelType w:val="hybridMultilevel"/>
    <w:lvl w:ilvl="0">
      <w:lvlJc w:val="left"/>
      <w:lvlText w:val="(%1)"/>
      <w:numFmt w:val="lowerLetter"/>
      <w:start w:val="1"/>
    </w:lvl>
    <w:lvl w:ilvl="1">
      <w:lvlJc w:val="left"/>
      <w:lvlText w:val="(%2)"/>
      <w:numFmt w:val="lowerRoman"/>
      <w:start w:val="1"/>
    </w:lvl>
  </w:abstractNum>
  <w:abstractNum w:abstractNumId="48">
    <w:nsid w:val="741226BB"/>
    <w:multiLevelType w:val="hybridMultilevel"/>
    <w:lvl w:ilvl="0">
      <w:lvlJc w:val="left"/>
      <w:lvlText w:val="%1"/>
      <w:numFmt w:val="decimal"/>
      <w:start w:val="1"/>
    </w:lvl>
    <w:lvl w:ilvl="1">
      <w:lvlJc w:val="left"/>
      <w:lvlText w:val="(%2)"/>
      <w:numFmt w:val="lowerRoman"/>
      <w:start w:val="4"/>
    </w:lvl>
  </w:abstractNum>
  <w:abstractNum w:abstractNumId="49">
    <w:nsid w:val="D34B6A8"/>
    <w:multiLevelType w:val="hybridMultilevel"/>
    <w:lvl w:ilvl="0">
      <w:lvlJc w:val="left"/>
      <w:lvlText w:val="%1."/>
      <w:numFmt w:val="decimal"/>
      <w:start w:val="6"/>
    </w:lvl>
    <w:lvl w:ilvl="1">
      <w:lvlJc w:val="left"/>
      <w:lvlText w:val="%2"/>
      <w:numFmt w:val="lowerRoman"/>
      <w:start w:val="1"/>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1)"/>
      <w:numFmt w:val="lowerLetter"/>
      <w:start w:val="7"/>
    </w:lvl>
  </w:abstractNum>
  <w:abstractNum w:abstractNumId="52">
    <w:nsid w:val="61574095"/>
    <w:multiLevelType w:val="hybridMultilevel"/>
    <w:lvl w:ilvl="0">
      <w:lvlJc w:val="left"/>
      <w:lvlText w:val="(%1)"/>
      <w:numFmt w:val="lowerLetter"/>
      <w:start w:val="1"/>
    </w:lvl>
  </w:abstractNum>
  <w:abstractNum w:abstractNumId="53">
    <w:nsid w:val="7E0C57B1"/>
    <w:multiLevelType w:val="hybridMultilevel"/>
    <w:lvl w:ilvl="0">
      <w:lvlJc w:val="left"/>
      <w:lvlText w:val="(%1)"/>
      <w:numFmt w:val="lowerLetter"/>
      <w:start w:val="2"/>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2"/>
    </w:lvl>
  </w:abstractNum>
  <w:abstractNum w:abstractNumId="56">
    <w:nsid w:val="310C50B3"/>
    <w:multiLevelType w:val="hybridMultilevel"/>
    <w:lvl w:ilvl="0">
      <w:lvlJc w:val="left"/>
      <w:lvlText w:val="%1."/>
      <w:numFmt w:val="decimal"/>
      <w:start w:val="3"/>
    </w:lvl>
  </w:abstractNum>
  <w:abstractNum w:abstractNumId="57">
    <w:nsid w:val="5FF87E05"/>
    <w:multiLevelType w:val="hybridMultilevel"/>
    <w:lvl w:ilvl="0">
      <w:lvlJc w:val="left"/>
      <w:lvlText w:val="%1."/>
      <w:numFmt w:val="decimal"/>
      <w:start w:val="4"/>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4"/>
    </w:lvl>
  </w:abstractNum>
  <w:abstractNum w:abstractNumId="60">
    <w:nsid w:val="1DBABF00"/>
    <w:multiLevelType w:val="hybridMultilevel"/>
    <w:lvl w:ilvl="0">
      <w:lvlJc w:val="left"/>
      <w:lvlText w:val="%1."/>
      <w:numFmt w:val="decimal"/>
      <w:start w:val="6"/>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Letter"/>
      <w:start w:val="2"/>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2"/>
    </w:lvl>
  </w:abstractNum>
  <w:abstractNum w:abstractNumId="65">
    <w:nsid w:val="100F8FCA"/>
    <w:multiLevelType w:val="hybridMultilevel"/>
    <w:lvl w:ilvl="0">
      <w:lvlJc w:val="left"/>
      <w:lvlText w:val="%1."/>
      <w:numFmt w:val="decimal"/>
      <w:start w:val="3"/>
    </w:lvl>
  </w:abstractNum>
  <w:abstractNum w:abstractNumId="66">
    <w:nsid w:val="6590700B"/>
    <w:multiLevelType w:val="hybridMultilevel"/>
    <w:lvl w:ilvl="0">
      <w:lvlJc w:val="left"/>
      <w:lvlText w:val="%1."/>
      <w:numFmt w:val="decimal"/>
      <w:start w:val="4"/>
    </w:lvl>
  </w:abstractNum>
  <w:abstractNum w:abstractNumId="67">
    <w:nsid w:val="15014ACB"/>
    <w:multiLevelType w:val="hybridMultilevel"/>
    <w:lvl w:ilvl="0">
      <w:lvlJc w:val="left"/>
      <w:lvlText w:val="(%1)"/>
      <w:numFmt w:val="lowerLetter"/>
      <w:start w:val="1"/>
    </w:lvl>
  </w:abstractNum>
  <w:abstractNum w:abstractNumId="68">
    <w:nsid w:val="5F5E7FD0"/>
    <w:multiLevelType w:val="hybridMultilevel"/>
    <w:lvl w:ilvl="0">
      <w:lvlJc w:val="left"/>
      <w:lvlText w:val="(%1)"/>
      <w:numFmt w:val="lowerLetter"/>
      <w:start w:val="3"/>
    </w:lvl>
  </w:abstractNum>
  <w:abstractNum w:abstractNumId="69">
    <w:nsid w:val="98A3148"/>
    <w:multiLevelType w:val="hybridMultilevel"/>
    <w:lvl w:ilvl="0">
      <w:lvlJc w:val="left"/>
      <w:lvlText w:val="%1."/>
      <w:numFmt w:val="decimal"/>
      <w:start w:val="6"/>
    </w:lvl>
  </w:abstractNum>
  <w:abstractNum w:abstractNumId="70">
    <w:nsid w:val="799D02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2019-12-28T21:57:04Z</dcterms:created>
  <dcterms:modified xsi:type="dcterms:W3CDTF">2019-12-28T21:57:04Z</dcterms:modified>
</cp:coreProperties>
</file>