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25" w:lineRule="exact"/>
        <w:rPr>
          <w:sz w:val="24"/>
          <w:szCs w:val="24"/>
          <w:color w:val="auto"/>
        </w:rPr>
      </w:pPr>
    </w:p>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QUARTERLY REPORT PURSUANT TO SECTION 13 OR 15(d) OF THE SECURITIES EXCHANGE ACT OF 1934</w:t>
      </w:r>
    </w:p>
    <w:p>
      <w:pPr>
        <w:spacing w:after="0" w:line="56"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44"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or</w:t>
      </w:r>
    </w:p>
    <w:p>
      <w:pPr>
        <w:spacing w:after="0" w:line="125" w:lineRule="exact"/>
        <w:rPr>
          <w:sz w:val="24"/>
          <w:szCs w:val="24"/>
          <w:color w:val="auto"/>
        </w:rPr>
      </w:pPr>
    </w:p>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TRANSITION REPORT PURSUANT TO SECTION 13 OR 15(d) OF THE SECURITIES EXCHANGE ACT OF 1934</w:t>
      </w:r>
    </w:p>
    <w:p>
      <w:pPr>
        <w:spacing w:after="0" w:line="56"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transition period from _________ to _____________</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5500" w:type="dxa"/>
            <w:vAlign w:val="bottom"/>
          </w:tcPr>
          <w:p>
            <w:pPr>
              <w:jc w:val="center"/>
              <w:ind w:right="1032"/>
              <w:spacing w:after="0"/>
              <w:rPr>
                <w:sz w:val="20"/>
                <w:szCs w:val="20"/>
                <w:color w:val="auto"/>
              </w:rPr>
            </w:pPr>
            <w:r>
              <w:rPr>
                <w:rFonts w:ascii="Arial" w:cs="Arial" w:eastAsia="Arial" w:hAnsi="Arial"/>
                <w:sz w:val="18"/>
                <w:szCs w:val="18"/>
                <w:b w:val="1"/>
                <w:bCs w:val="1"/>
                <w:color w:val="auto"/>
                <w:w w:val="88"/>
              </w:rPr>
              <w:t>Delaware</w:t>
            </w:r>
          </w:p>
        </w:tc>
        <w:tc>
          <w:tcPr>
            <w:tcW w:w="3640" w:type="dxa"/>
            <w:vAlign w:val="bottom"/>
          </w:tcPr>
          <w:p>
            <w:pPr>
              <w:jc w:val="right"/>
              <w:ind w:right="732"/>
              <w:spacing w:after="0"/>
              <w:rPr>
                <w:sz w:val="20"/>
                <w:szCs w:val="20"/>
                <w:color w:val="auto"/>
              </w:rPr>
            </w:pPr>
            <w:r>
              <w:rPr>
                <w:rFonts w:ascii="Arial" w:cs="Arial" w:eastAsia="Arial" w:hAnsi="Arial"/>
                <w:sz w:val="18"/>
                <w:szCs w:val="18"/>
                <w:b w:val="1"/>
                <w:bCs w:val="1"/>
                <w:color w:val="auto"/>
              </w:rPr>
              <w:t>94-3290283</w:t>
            </w:r>
          </w:p>
        </w:tc>
      </w:tr>
      <w:tr>
        <w:trPr>
          <w:trHeight w:val="222"/>
        </w:trPr>
        <w:tc>
          <w:tcPr>
            <w:tcW w:w="5500" w:type="dxa"/>
            <w:vAlign w:val="bottom"/>
          </w:tcPr>
          <w:p>
            <w:pPr>
              <w:jc w:val="center"/>
              <w:ind w:right="1032"/>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3640" w:type="dxa"/>
            <w:vAlign w:val="bottom"/>
          </w:tcPr>
          <w:p>
            <w:pPr>
              <w:jc w:val="center"/>
              <w:ind w:left="105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420"/>
        </w:trPr>
        <w:tc>
          <w:tcPr>
            <w:tcW w:w="5500" w:type="dxa"/>
            <w:vAlign w:val="bottom"/>
          </w:tcPr>
          <w:p>
            <w:pPr>
              <w:jc w:val="center"/>
              <w:ind w:right="1052"/>
              <w:spacing w:after="0"/>
              <w:rPr>
                <w:sz w:val="20"/>
                <w:szCs w:val="20"/>
                <w:color w:val="auto"/>
              </w:rPr>
            </w:pPr>
            <w:r>
              <w:rPr>
                <w:rFonts w:ascii="Arial" w:cs="Arial" w:eastAsia="Arial" w:hAnsi="Arial"/>
                <w:sz w:val="18"/>
                <w:szCs w:val="18"/>
                <w:b w:val="1"/>
                <w:bCs w:val="1"/>
                <w:color w:val="auto"/>
                <w:w w:val="87"/>
              </w:rPr>
              <w:t>42307 Osgood Road, Suite I</w:t>
            </w:r>
          </w:p>
        </w:tc>
        <w:tc>
          <w:tcPr>
            <w:tcW w:w="3640" w:type="dxa"/>
            <w:vAlign w:val="bottom"/>
          </w:tcPr>
          <w:p>
            <w:pPr>
              <w:spacing w:after="0"/>
              <w:rPr>
                <w:sz w:val="24"/>
                <w:szCs w:val="24"/>
                <w:color w:val="auto"/>
              </w:rPr>
            </w:pPr>
          </w:p>
        </w:tc>
      </w:tr>
      <w:tr>
        <w:trPr>
          <w:trHeight w:val="222"/>
        </w:trPr>
        <w:tc>
          <w:tcPr>
            <w:tcW w:w="5500" w:type="dxa"/>
            <w:vAlign w:val="bottom"/>
          </w:tcPr>
          <w:p>
            <w:pPr>
              <w:jc w:val="center"/>
              <w:ind w:right="1032"/>
              <w:spacing w:after="0"/>
              <w:rPr>
                <w:sz w:val="20"/>
                <w:szCs w:val="20"/>
                <w:color w:val="auto"/>
              </w:rPr>
            </w:pPr>
            <w:r>
              <w:rPr>
                <w:rFonts w:ascii="Arial" w:cs="Arial" w:eastAsia="Arial" w:hAnsi="Arial"/>
                <w:sz w:val="18"/>
                <w:szCs w:val="18"/>
                <w:b w:val="1"/>
                <w:bCs w:val="1"/>
                <w:color w:val="auto"/>
                <w:w w:val="90"/>
              </w:rPr>
              <w:t>Fremont, California</w:t>
            </w:r>
          </w:p>
        </w:tc>
        <w:tc>
          <w:tcPr>
            <w:tcW w:w="3640" w:type="dxa"/>
            <w:vAlign w:val="bottom"/>
          </w:tcPr>
          <w:p>
            <w:pPr>
              <w:jc w:val="right"/>
              <w:ind w:right="952"/>
              <w:spacing w:after="0"/>
              <w:rPr>
                <w:sz w:val="20"/>
                <w:szCs w:val="20"/>
                <w:color w:val="auto"/>
              </w:rPr>
            </w:pPr>
            <w:r>
              <w:rPr>
                <w:rFonts w:ascii="Arial" w:cs="Arial" w:eastAsia="Arial" w:hAnsi="Arial"/>
                <w:sz w:val="18"/>
                <w:szCs w:val="18"/>
                <w:b w:val="1"/>
                <w:bCs w:val="1"/>
                <w:color w:val="auto"/>
              </w:rPr>
              <w:t>94539</w:t>
            </w:r>
          </w:p>
        </w:tc>
      </w:tr>
      <w:tr>
        <w:trPr>
          <w:trHeight w:val="222"/>
        </w:trPr>
        <w:tc>
          <w:tcPr>
            <w:tcW w:w="5500" w:type="dxa"/>
            <w:vAlign w:val="bottom"/>
          </w:tcPr>
          <w:p>
            <w:pPr>
              <w:jc w:val="center"/>
              <w:ind w:right="105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3640" w:type="dxa"/>
            <w:vAlign w:val="bottom"/>
          </w:tcPr>
          <w:p>
            <w:pPr>
              <w:jc w:val="center"/>
              <w:ind w:left="1052"/>
              <w:spacing w:after="0"/>
              <w:rPr>
                <w:sz w:val="20"/>
                <w:szCs w:val="20"/>
                <w:color w:val="auto"/>
              </w:rPr>
            </w:pPr>
            <w:r>
              <w:rPr>
                <w:rFonts w:ascii="Arial" w:cs="Arial" w:eastAsia="Arial" w:hAnsi="Arial"/>
                <w:sz w:val="18"/>
                <w:szCs w:val="18"/>
                <w:i w:val="1"/>
                <w:iCs w:val="1"/>
                <w:color w:val="auto"/>
                <w:w w:val="91"/>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(510) 445-3700</w:t>
      </w:r>
    </w:p>
    <w:p>
      <w:pPr>
        <w:spacing w:after="0" w:line="16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3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0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0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00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3540" w:type="dxa"/>
            <w:vAlign w:val="bottom"/>
          </w:tcPr>
          <w:p>
            <w:pPr>
              <w:ind w:left="102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2"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114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Number of Shares Outstanding</w:t>
            </w:r>
          </w:p>
        </w:tc>
      </w:tr>
      <w:tr>
        <w:trPr>
          <w:trHeight w:val="216"/>
        </w:trPr>
        <w:tc>
          <w:tcPr>
            <w:tcW w:w="4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Common Stock, $0.0001 par value</w:t>
            </w:r>
          </w:p>
        </w:tc>
        <w:tc>
          <w:tcPr>
            <w:tcW w:w="1140" w:type="dxa"/>
            <w:vAlign w:val="bottom"/>
            <w:shd w:val="clear" w:color="auto" w:fill="CCEEFF"/>
          </w:tcPr>
          <w:p>
            <w:pPr>
              <w:spacing w:after="0"/>
              <w:rPr>
                <w:sz w:val="18"/>
                <w:szCs w:val="18"/>
                <w:color w:val="auto"/>
              </w:rPr>
            </w:pPr>
          </w:p>
        </w:tc>
        <w:tc>
          <w:tcPr>
            <w:tcW w:w="5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14,085,315 shares outstanding as of November 9, 2018</w:t>
            </w:r>
          </w:p>
        </w:tc>
      </w:tr>
      <w:tr>
        <w:trPr>
          <w:trHeight w:val="222"/>
        </w:trPr>
        <w:tc>
          <w:tcPr>
            <w:tcW w:w="4800" w:type="dxa"/>
            <w:vAlign w:val="bottom"/>
          </w:tcPr>
          <w:p>
            <w:pPr>
              <w:jc w:val="center"/>
              <w:spacing w:after="0"/>
              <w:rPr>
                <w:sz w:val="20"/>
                <w:szCs w:val="20"/>
                <w:color w:val="auto"/>
              </w:rPr>
            </w:pPr>
            <w:r>
              <w:rPr>
                <w:rFonts w:ascii="Arial" w:cs="Arial" w:eastAsia="Arial" w:hAnsi="Arial"/>
                <w:sz w:val="18"/>
                <w:szCs w:val="18"/>
                <w:color w:val="auto"/>
                <w:w w:val="88"/>
              </w:rPr>
              <w:t>Class B Common Stock, $0.0001 par value</w:t>
            </w:r>
          </w:p>
        </w:tc>
        <w:tc>
          <w:tcPr>
            <w:tcW w:w="114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7"/>
              </w:rPr>
              <w:t>1,918,423 shares outstanding as of November 9, 2018</w:t>
            </w:r>
          </w:p>
        </w:tc>
      </w:tr>
      <w:tr>
        <w:trPr>
          <w:trHeight w:val="210"/>
        </w:trPr>
        <w:tc>
          <w:tcPr>
            <w:tcW w:w="4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r>
      <w:tr>
        <w:trPr>
          <w:trHeight w:val="136"/>
        </w:trPr>
        <w:tc>
          <w:tcPr>
            <w:tcW w:w="48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480" w:type="dxa"/>
            <w:vAlign w:val="bottom"/>
            <w:tcBorders>
              <w:bottom w:val="single" w:sz="8" w:color="auto"/>
            </w:tcBorders>
          </w:tcPr>
          <w:p>
            <w:pPr>
              <w:spacing w:after="0"/>
              <w:rPr>
                <w:sz w:val="11"/>
                <w:szCs w:val="11"/>
                <w:color w:val="auto"/>
              </w:rPr>
            </w:pPr>
          </w:p>
        </w:tc>
      </w:tr>
      <w:tr>
        <w:trPr>
          <w:trHeight w:val="297"/>
        </w:trPr>
        <w:tc>
          <w:tcPr>
            <w:tcW w:w="4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700" w:type="dxa"/>
            <w:vAlign w:val="bottom"/>
            <w:gridSpan w:val="9"/>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PART I.</w:t>
              </w:r>
            </w:hyperlink>
          </w:p>
        </w:tc>
        <w:tc>
          <w:tcPr>
            <w:tcW w:w="1040" w:type="dxa"/>
            <w:vAlign w:val="bottom"/>
            <w:tcBorders>
              <w:bottom w:val="single" w:sz="8" w:color="CCEEFF"/>
            </w:tcBorders>
            <w:gridSpan w:val="3"/>
            <w:shd w:val="clear" w:color="auto" w:fill="CCEEFF"/>
          </w:tcPr>
          <w:p>
            <w:pPr>
              <w:spacing w:after="0"/>
              <w:rPr>
                <w:sz w:val="17"/>
                <w:szCs w:val="17"/>
                <w:color w:val="auto"/>
              </w:rPr>
            </w:pPr>
          </w:p>
        </w:tc>
        <w:tc>
          <w:tcPr>
            <w:tcW w:w="22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FINANCIAL INFORMATION</w:t>
              </w:r>
            </w:hyperlink>
          </w:p>
        </w:tc>
        <w:tc>
          <w:tcPr>
            <w:tcW w:w="5820" w:type="dxa"/>
            <w:vAlign w:val="bottom"/>
            <w:tcBorders>
              <w:bottom w:val="single" w:sz="8" w:color="CCEEFF"/>
            </w:tcBorders>
            <w:gridSpan w:val="11"/>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2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4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as of September 30, 2018 and December 31, 2017</w:t>
              </w:r>
            </w:hyperlink>
          </w:p>
        </w:tc>
        <w:tc>
          <w:tcPr>
            <w:tcW w:w="16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20" w:type="dxa"/>
            <w:vAlign w:val="bottom"/>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and Comprehensive Income (Loss)</w:t>
              </w:r>
            </w:hyperlink>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2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 the Three and Nine Months Ended September 30, 2018 and 2017</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20" w:type="dxa"/>
            <w:vAlign w:val="bottom"/>
            <w:gridSpan w:val="1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w:t>
              </w:r>
            </w:hyperlink>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2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2018 and 2017</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20" w:type="dxa"/>
            <w:vAlign w:val="bottom"/>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8020" w:type="dxa"/>
            <w:vAlign w:val="bottom"/>
            <w:gridSpan w:val="1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8020" w:type="dxa"/>
            <w:vAlign w:val="bottom"/>
            <w:gridSpan w:val="17"/>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Risks</w:t>
              </w:r>
            </w:hyperlink>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020" w:type="dxa"/>
            <w:vAlign w:val="bottom"/>
            <w:gridSpan w:val="1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PART II.</w:t>
              </w:r>
            </w:hyperlink>
          </w:p>
        </w:tc>
        <w:tc>
          <w:tcPr>
            <w:tcW w:w="8020" w:type="dxa"/>
            <w:vAlign w:val="bottom"/>
            <w:gridSpan w:val="17"/>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1A.</w:t>
              </w:r>
            </w:hyperlink>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Risk Factors</w:t>
              </w:r>
            </w:hyperlink>
          </w:p>
        </w:tc>
        <w:tc>
          <w:tcPr>
            <w:tcW w:w="7140" w:type="dxa"/>
            <w:vAlign w:val="bottom"/>
            <w:tcBorders>
              <w:bottom w:val="single" w:sz="8" w:color="CCEEFF"/>
            </w:tcBorders>
            <w:gridSpan w:val="14"/>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8020" w:type="dxa"/>
            <w:vAlign w:val="bottom"/>
            <w:gridSpan w:val="17"/>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8020" w:type="dxa"/>
            <w:vAlign w:val="bottom"/>
            <w:gridSpan w:val="17"/>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SIGNATURE</w:t>
              </w:r>
            </w:hyperlink>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 including ACM Shanghai), collectively.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SAPS, TEBO and ULTRA C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6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27" w:lineRule="exact"/>
        <w:rPr>
          <w:sz w:val="20"/>
          <w:szCs w:val="20"/>
          <w:color w:val="auto"/>
        </w:rPr>
      </w:pPr>
    </w:p>
    <w:p>
      <w:pPr>
        <w:ind w:right="780" w:firstLine="324"/>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5"/>
              </w:rPr>
              <w:t>September 30,</w:t>
            </w:r>
          </w:p>
        </w:tc>
        <w:tc>
          <w:tcPr>
            <w:tcW w:w="122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left="594"/>
              <w:spacing w:after="0"/>
              <w:rPr>
                <w:sz w:val="20"/>
                <w:szCs w:val="20"/>
                <w:color w:val="auto"/>
              </w:rPr>
            </w:pPr>
            <w:r>
              <w:rPr>
                <w:rFonts w:ascii="Arial" w:cs="Arial" w:eastAsia="Arial" w:hAnsi="Arial"/>
                <w:sz w:val="15"/>
                <w:szCs w:val="15"/>
                <w:i w:val="1"/>
                <w:iCs w:val="1"/>
                <w:color w:val="auto"/>
                <w:w w:val="92"/>
              </w:rPr>
              <w:t>(unaudited)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center"/>
              <w:ind w:right="220"/>
              <w:spacing w:after="0" w:line="162" w:lineRule="exact"/>
              <w:rPr>
                <w:sz w:val="20"/>
                <w:szCs w:val="20"/>
                <w:color w:val="auto"/>
              </w:rPr>
            </w:pPr>
            <w:r>
              <w:rPr>
                <w:rFonts w:ascii="Arial" w:cs="Arial" w:eastAsia="Arial" w:hAnsi="Arial"/>
                <w:sz w:val="15"/>
                <w:szCs w:val="15"/>
                <w:i w:val="1"/>
                <w:iCs w:val="1"/>
                <w:color w:val="auto"/>
                <w:w w:val="88"/>
              </w:rPr>
              <w:t>(in thousands, except share and per</w:t>
            </w: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left="614"/>
              <w:spacing w:after="0" w:line="172" w:lineRule="exact"/>
              <w:rPr>
                <w:sz w:val="20"/>
                <w:szCs w:val="20"/>
                <w:color w:val="auto"/>
              </w:rPr>
            </w:pPr>
            <w:r>
              <w:rPr>
                <w:rFonts w:ascii="Arial" w:cs="Arial" w:eastAsia="Arial" w:hAnsi="Arial"/>
                <w:sz w:val="15"/>
                <w:szCs w:val="15"/>
                <w:i w:val="1"/>
                <w:iCs w:val="1"/>
                <w:color w:val="auto"/>
                <w:w w:val="89"/>
              </w:rPr>
              <w:t>share data)</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w w:val="89"/>
              </w:rPr>
              <w:t>Accounts receivable, less allowance for doubtful accounts of $0 as of September 30, 2018 and December 31, 2017 (note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gridSpan w:val="2"/>
          </w:tcPr>
          <w:p>
            <w:pPr>
              <w:ind w:lef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30,965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Inventories (note 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29,809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 (note 15)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 equity method (note 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89,413</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29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borrowings (note 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10,163</w:t>
            </w:r>
          </w:p>
        </w:tc>
        <w:tc>
          <w:tcPr>
            <w:tcW w:w="28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liability (note 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 from customers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payables and accrued expenses (note 7)</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34,851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21,817</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 (note 9)</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 Class A, par value $0.0001: 100,000,000 shares authorized as of September 30, 2018 and</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7"/>
              </w:rPr>
              <w:t>December 31, 2017. 14,070,065 shares issued and outstanding as of September 30, 2018 and 12,935,546 shares issued</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outstanding as of December 31, 2017 (note 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Common stock – Class B, par value $0.0001: 7,303,533 shares authorized as of September 30, 2018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95"/>
              </w:rPr>
              <w:t>December 31, 2017. 1,918,423 shares issued and outstanding as of September 30, 2018 and 2,409,738 shares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issued and outstanding as of December 31, 2017 (note 13)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(5,673)</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(9,961)</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49,332</w:t>
            </w: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89,413</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Pr>
          <w:p>
            <w:pPr>
              <w:spacing w:after="0"/>
              <w:rPr>
                <w:sz w:val="14"/>
                <w:szCs w:val="14"/>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2018</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5"/>
                <w:szCs w:val="15"/>
                <w:i w:val="1"/>
                <w:iCs w:val="1"/>
                <w:color w:val="auto"/>
              </w:rPr>
              <w:t>(unaudited)</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gridSpan w:val="7"/>
          </w:tcPr>
          <w:p>
            <w:pPr>
              <w:jc w:val="right"/>
              <w:ind w:right="100"/>
              <w:spacing w:after="0"/>
              <w:rPr>
                <w:sz w:val="20"/>
                <w:szCs w:val="20"/>
                <w:color w:val="auto"/>
              </w:rPr>
            </w:pPr>
            <w:r>
              <w:rPr>
                <w:rFonts w:ascii="Arial" w:cs="Arial" w:eastAsia="Arial" w:hAnsi="Arial"/>
                <w:sz w:val="15"/>
                <w:szCs w:val="15"/>
                <w:i w:val="1"/>
                <w:iCs w:val="1"/>
                <w:color w:val="auto"/>
                <w:w w:val="88"/>
              </w:rPr>
              <w:t>(in thousands, except share and per share data)</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5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12,892</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6,224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 net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Income (loss) from operations</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(1,560)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(note 15)</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3,853</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4,288</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(1,054)</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attributable to non-controlling interests</w:t>
            </w:r>
          </w:p>
        </w:tc>
        <w:tc>
          <w:tcPr>
            <w:tcW w:w="2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top w:val="single" w:sz="8" w:color="CCEEFF"/>
            </w:tcBorders>
          </w:tcPr>
          <w:p>
            <w:pPr>
              <w:ind w:left="320"/>
              <w:spacing w:after="0" w:line="201" w:lineRule="exact"/>
              <w:rPr>
                <w:sz w:val="20"/>
                <w:szCs w:val="20"/>
                <w:color w:val="auto"/>
              </w:rPr>
            </w:pPr>
            <w:r>
              <w:rPr>
                <w:rFonts w:ascii="Arial" w:cs="Arial" w:eastAsia="Arial" w:hAnsi="Arial"/>
                <w:sz w:val="18"/>
                <w:szCs w:val="18"/>
                <w:b w:val="1"/>
                <w:bCs w:val="1"/>
                <w:color w:val="auto"/>
                <w:w w:val="95"/>
              </w:rPr>
              <w:t>Total comprehensive income (loss) attributable to ACM Research, Inc.</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(note 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3,107</w:t>
            </w: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3,211</w:t>
            </w:r>
          </w:p>
        </w:tc>
        <w:tc>
          <w:tcPr>
            <w:tcW w:w="28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3"/>
              </w:rPr>
              <w:t>Net income (loss) attributable to ACM Research, Inc. per common share (note 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88"/>
              </w:rPr>
              <w:t>Weighted average common shares outstanding used in computing per share amounts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(note 2):</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15,915,864</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5,581,637</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15,714,310</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5,148,255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18,169,807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5,581,637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17,816,101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5,148,255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Nine Months Ended</w:t>
      </w:r>
    </w:p>
    <w:p>
      <w:pPr>
        <w:spacing w:after="0" w:line="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right"/>
              <w:ind w:right="63"/>
              <w:spacing w:after="0"/>
              <w:rPr>
                <w:sz w:val="20"/>
                <w:szCs w:val="20"/>
                <w:color w:val="auto"/>
              </w:rPr>
            </w:pPr>
            <w:r>
              <w:rPr>
                <w:rFonts w:ascii="Arial" w:cs="Arial" w:eastAsia="Arial" w:hAnsi="Arial"/>
                <w:sz w:val="15"/>
                <w:szCs w:val="15"/>
                <w:i w:val="1"/>
                <w:iCs w:val="1"/>
                <w:color w:val="auto"/>
              </w:rPr>
              <w:t>(unaudited)</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i w:val="1"/>
                <w:iCs w:val="1"/>
                <w:color w:val="auto"/>
              </w:rPr>
              <w:t>(in thousands)</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4,288</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operations to net cash provided by operating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changes in operating assets and liabilities: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(5,526)</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(15,157)</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Advances from customers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payables and accrued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(2,733)</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Loan to related party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(1,948)</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(7,962)</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 to common stock</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issuance of Series F preferred stock</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18,238</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2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9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2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 2017, the Registration Statement on Form S-1 (File No. 333- 220451) for ACM’s initial public offering of Class A common stock (the “IPO”) was declared effective by the U.S. Securities and Exchange Commission (“SEC”). Shares of Class A common stock began trading on the Nasdaq Global Market on November 3, 2017, and the closing for the IPO was held on November 7, 2017.</w:t>
      </w:r>
    </w:p>
    <w:p>
      <w:pPr>
        <w:spacing w:after="0" w:line="127"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accounts include ACM and its subsidiaries, ACM Shanghai, ACM Wuxi, CleanChip and ACM Korea. Subsidiaries are those entities in which ACM, directly and indirectly, controls more than one half of the voting power. All significant intercompany transactions and balances have been eliminated upon consolidation.</w:t>
      </w:r>
    </w:p>
    <w:p>
      <w:pPr>
        <w:spacing w:after="0" w:line="12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 for reporting on Form 10-Q. Accordingly, they do not include all the information and footnotes required by GAAP for complete financial statements herein. The unaudited condensed consolidated financial statements herein should be read in conjunction with the historical consolidated financial statements of the Company for the year ended December 31, 2017 included in the Company’s Annual Report on Form 10-K for the year ended December 31, 2017.</w:t>
      </w:r>
    </w:p>
    <w:p>
      <w:pPr>
        <w:spacing w:after="0" w:line="1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accompanying condensed consolidated balance sheet as of September 30, 2018, the condensed consolidated statements of operations and comprehensive income (loss) for the three and nine months ended September 30, 2018 and 2017, and the condensed consolidated statements of cash flows for the nine months ended September 30, 2018 and 2017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September 30, 2018 and the results of operations for the three months and nine months ended September 30, 2018 are not necessarily indicative of the results to be expected for any future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of the Company believes that the estimates, judgments and assumptions are reasonable, based on information available at the time they are made. Actual results could differ materially from those estimates.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Net Income (Loss) Attributable to ACM per Common Share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income (loss) attributable to ACM per common share is calculated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Nine Months Ended</w:t>
            </w:r>
          </w:p>
        </w:tc>
      </w:tr>
      <w:tr>
        <w:trPr>
          <w:trHeight w:val="182"/>
        </w:trPr>
        <w:tc>
          <w:tcPr>
            <w:tcW w:w="6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0"/>
        </w:trPr>
        <w:tc>
          <w:tcPr>
            <w:tcW w:w="6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21"/>
                <w:szCs w:val="21"/>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60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3,853</w:t>
            </w:r>
          </w:p>
        </w:tc>
        <w:tc>
          <w:tcPr>
            <w:tcW w:w="6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4,288</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(4,237)</w:t>
            </w:r>
          </w:p>
        </w:tc>
      </w:tr>
      <w:tr>
        <w:trPr>
          <w:trHeight w:val="242"/>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w:t>
            </w:r>
          </w:p>
        </w:tc>
      </w:tr>
      <w:tr>
        <w:trPr>
          <w:trHeight w:val="28"/>
        </w:trPr>
        <w:tc>
          <w:tcPr>
            <w:tcW w:w="6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42"/>
        </w:trPr>
        <w:tc>
          <w:tcPr>
            <w:tcW w:w="6080" w:type="dxa"/>
            <w:vAlign w:val="bottom"/>
          </w:tcPr>
          <w:p>
            <w:pPr>
              <w:ind w:left="920"/>
              <w:spacing w:after="0"/>
              <w:rPr>
                <w:sz w:val="20"/>
                <w:szCs w:val="20"/>
                <w:color w:val="auto"/>
              </w:rPr>
            </w:pPr>
            <w:r>
              <w:rPr>
                <w:rFonts w:ascii="Arial" w:cs="Arial" w:eastAsia="Arial" w:hAnsi="Arial"/>
                <w:sz w:val="18"/>
                <w:szCs w:val="18"/>
                <w:color w:val="auto"/>
              </w:rPr>
              <w:t>Net income (loss) attributable to ACM, basic and diluted</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3,853</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4,288</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(3,702)</w:t>
            </w:r>
          </w:p>
        </w:tc>
      </w:tr>
      <w:tr>
        <w:trPr>
          <w:trHeight w:val="22"/>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15,915,864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5,581,637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15,714,310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5,148,255</w:t>
            </w:r>
          </w:p>
        </w:tc>
        <w:tc>
          <w:tcPr>
            <w:tcW w:w="1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2,253,943</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2,101,791</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Weighted average shares outstanding, diluted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18,169,807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5,581,637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17,816,101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5,148,255</w:t>
            </w:r>
          </w:p>
        </w:tc>
        <w:tc>
          <w:tcPr>
            <w:tcW w:w="1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ACM per common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6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0.27</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(0.72)</w:t>
            </w:r>
          </w:p>
        </w:tc>
      </w:tr>
      <w:tr>
        <w:trPr>
          <w:trHeight w:val="21"/>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and nine months ended September 30, 2018 and 2017, the net income (loss) per common share attributable to each class is the same under the “two-class” method. As such, the two classes of common stock have been presented on a combined basis in the condensed consolidated statements of operations and comprehensive income (loss) and in the above computation of net income (loss) per common share.</w:t>
      </w:r>
    </w:p>
    <w:p>
      <w:pPr>
        <w:spacing w:after="0" w:line="1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Diluted net income (loss) per common share reflects the potential dilution from securities that could share in ACM’s earnings. ACM’s potential dilutive securities consist of convertible preferred stocks, warrants and stock options for the three and nine months ended September 30, 2018 and 2017. Certain potential dilutive securities were excluded from the net income (loss) per share calculation because the impact would be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No. 2017-09,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Scope of Modification Accounting </w:t>
      </w:r>
      <w:r>
        <w:rPr>
          <w:rFonts w:ascii="Arial" w:cs="Arial" w:eastAsia="Arial" w:hAnsi="Arial"/>
          <w:sz w:val="18"/>
          <w:szCs w:val="18"/>
          <w:color w:val="auto"/>
        </w:rPr>
        <w:t>(“ASU 2017-09”), which provides guidance on determining which changes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adoption of ASU 2017-09 did not have a material impact on the Company’s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w:t>
      </w:r>
      <w:r>
        <w:rPr>
          <w:rFonts w:ascii="Arial" w:cs="Arial" w:eastAsia="Arial" w:hAnsi="Arial"/>
          <w:sz w:val="16"/>
          <w:szCs w:val="16"/>
          <w:color w:val="auto"/>
        </w:rPr>
        <w:t>(“ASU 2017-05”), which clarifies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nonfinancial 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adoption of ASU 2017-05 did not have a material impact on the Company’s consolidated financial statements.</w:t>
      </w:r>
    </w:p>
    <w:p>
      <w:pPr>
        <w:spacing w:after="0" w:line="10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adoption of ASU 2016-18 did not have a material impact on the Company’s consolidated financial statements.</w:t>
      </w:r>
    </w:p>
    <w:p>
      <w:pPr>
        <w:spacing w:after="0" w:line="10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adoption of ASU 2016-15 did not have material impact on the Company’s consolidated financial statements.</w:t>
      </w:r>
    </w:p>
    <w:p>
      <w:pPr>
        <w:spacing w:after="0" w:line="10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The amendments in this update require all equity investments to be measured at fair value with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recognized through net income (other than those accounted for under the equity method of accounting or those that result in consolidation of the investee). The amendments in this update also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In addition, the amendments in this update eliminate the requirement to disclose the method(s) and significant assumptions used to estimate the fair value that is required to be disclosed for financial instruments measured at amortized cost on the balance sheet for public entities. For public business entities, the amendments in ASU 2016-01 are effective for fiscal years beginning after December 15, 2017, including interim periods within those fiscal years. Except for the early application guidance discussed in ASU 2016-01, early adoption of the amendments in this update is not permitted. The adoption of the ASU 2016-01 did not have a material impact on the Company’s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amended the existing accounting standards for revenue recognition. ASU 2014-09 establishes principles for recognizing revenue upon the transfer of promised goods or services to customers, in an amount that reflects the expected consideration received in exchange for those goods or services. ASU 2014-09 and its related clarifying ASUs are effective for annual reporting periods beginning after December 15, 2017 and interim periods within those annual periods.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to all contracts which were not completed as of January 1, 2018 using the modified retrospective method. The Company does not have open contracts that may result in any changes to revenues applying the New Revenue Standard.</w:t>
      </w:r>
    </w:p>
    <w:p>
      <w:pPr>
        <w:spacing w:after="0" w:line="127"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Company derives revenue principally from the sale of single-wafer wet cleaning equipment. Revenue from contracts with customers is recognized using the following five steps pursuant to the New Revenue Standard:</w:t>
      </w:r>
    </w:p>
    <w:p>
      <w:pPr>
        <w:spacing w:after="0" w:line="118"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58" w:lineRule="exact"/>
        <w:rPr>
          <w:sz w:val="20"/>
          <w:szCs w:val="20"/>
          <w:color w:val="auto"/>
        </w:rPr>
      </w:pPr>
    </w:p>
    <w:p>
      <w:pPr>
        <w:jc w:val="both"/>
        <w:ind w:right="20" w:firstLine="324"/>
        <w:spacing w:after="0" w:line="370"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606-10-25-16 through 18 in order to verify which promises should be assessed for classification as distinct performance obligations. The Company’s contracts with customers include more than one performance obligation. For example, the delivery of a piece of equipment generally includes the promise to install the equipment in the customer’s facility. The Company’s performance obligations in connection with a sale of equipment generally include production, delivery and installation, together with the provision of a warranty.</w:t>
      </w:r>
    </w:p>
    <w:p>
      <w:pPr>
        <w:spacing w:after="0" w:line="10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the Company’s products were sold in stand-alone arrangements, the Company does not have observable SSPs for most performance obligations as they are not regularly sold on a standalone basis. Production, delivery and installation of a product, together with provision of a warranty, are a single unit of accounting.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107" w:lineRule="exact"/>
        <w:rPr>
          <w:sz w:val="20"/>
          <w:szCs w:val="20"/>
          <w:color w:val="auto"/>
        </w:rPr>
      </w:pPr>
    </w:p>
    <w:p>
      <w:pPr>
        <w:ind w:left="980" w:hanging="324"/>
        <w:spacing w:after="0" w:line="26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the Company can objectively demonstrate that the tool meets all of the required acceptance criteria;</w:t>
      </w:r>
    </w:p>
    <w:p>
      <w:pPr>
        <w:spacing w:after="0" w:line="118"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the Company can objectively demonstrate that the tool meets all of the required acceptance criteria;</w:t>
      </w:r>
    </w:p>
    <w:p>
      <w:pPr>
        <w:spacing w:after="0" w:line="118"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When the Company’s sales arrangements do not include a general right of return.</w:t>
      </w:r>
    </w:p>
    <w:p>
      <w:pPr>
        <w:spacing w:after="0" w:line="15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Company offers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The Company does not expect revenue from extended maintenance service contracts to represent a material portion of its revenue in the future. As such, the Company has concluded that its revenue recognition under the adoption of the New Revenue Standard will remain the same as previously reported and will not have material impacts to its condensed consolidated financial statements.</w:t>
      </w:r>
    </w:p>
    <w:p>
      <w:pPr>
        <w:spacing w:after="0" w:line="102" w:lineRule="exact"/>
        <w:rPr>
          <w:sz w:val="20"/>
          <w:szCs w:val="20"/>
          <w:color w:val="auto"/>
        </w:rPr>
      </w:pPr>
    </w:p>
    <w:p>
      <w:pPr>
        <w:jc w:val="both"/>
        <w:ind w:firstLine="376"/>
        <w:spacing w:after="0" w:line="254" w:lineRule="auto"/>
        <w:rPr>
          <w:sz w:val="20"/>
          <w:szCs w:val="20"/>
          <w:color w:val="auto"/>
        </w:rPr>
      </w:pPr>
      <w:r>
        <w:rPr>
          <w:rFonts w:ascii="Arial" w:cs="Arial" w:eastAsia="Arial" w:hAnsi="Arial"/>
          <w:sz w:val="18"/>
          <w:szCs w:val="18"/>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in accordance with the practical expedient in the New Revenue Standard when the underlying contract asset is less than one year. These costs are recorded within sales and marketing expenses.</w:t>
      </w:r>
    </w:p>
    <w:p>
      <w:pPr>
        <w:spacing w:after="0" w:line="131" w:lineRule="exact"/>
        <w:rPr>
          <w:sz w:val="20"/>
          <w:szCs w:val="20"/>
          <w:color w:val="auto"/>
        </w:rPr>
      </w:pPr>
    </w:p>
    <w:p>
      <w:pPr>
        <w:jc w:val="both"/>
        <w:ind w:right="20" w:firstLine="373"/>
        <w:spacing w:after="0" w:line="332" w:lineRule="auto"/>
        <w:rPr>
          <w:sz w:val="20"/>
          <w:szCs w:val="20"/>
          <w:color w:val="auto"/>
        </w:rPr>
      </w:pPr>
      <w:r>
        <w:rPr>
          <w:rFonts w:ascii="Arial" w:cs="Arial" w:eastAsia="Arial" w:hAnsi="Arial"/>
          <w:sz w:val="16"/>
          <w:szCs w:val="16"/>
          <w:color w:val="auto"/>
        </w:rPr>
        <w:t>Generally, all contracts have expected durations of one year or less. Accordingly, the Company applies the practical expedient allowed in the New Revenue Standard and does not disclose information about remaining performance obligations that have original expected durations of one year or less.</w:t>
      </w:r>
    </w:p>
    <w:p>
      <w:pPr>
        <w:spacing w:after="0" w:line="7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does not incur any costs to fulfill the contracts with customers that are not already reported in compliance with another applicable standard (for example, inventory or plant, property and equipment).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which simplifies several aspects of the accounting for nonemployee share-based payment transactions resulting from expanding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scope of Topic 718, Compensation-Stock Compensation, to include share-based payment transactions for acquiring goods and services from nonemployees. Some of the areas for simplification apply only to nonpublic entities. ASU 2018 07 specifies that Topic 718 applies to all share-based payment transactions in which a grantor acquires goods or services to be used or consumed in a grantor’s own operations by issuing share-based payment awards. ASU 2018-07 also clarify that Topic 718 does not apply to share-based payments used to effectively provide (1) financing to the issuer or (2) awards granted in conjunction with selling goods or services to customers as part of a contract accounted for under the New Revenue Standard. ASU 2018-07 is effective for public business entities for fiscal years beginning after December 15, 2018, including interim periods within that fiscal year. Early adoption is permitted. The Company does not expect the adoption of ASU 2018-07 to have a material impact on its consolidated financial statements and related disclosures.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from Accumulated Other Comprehensive Income </w:t>
      </w:r>
      <w:r>
        <w:rPr>
          <w:rFonts w:ascii="Arial" w:cs="Arial" w:eastAsia="Arial" w:hAnsi="Arial"/>
          <w:sz w:val="16"/>
          <w:szCs w:val="16"/>
          <w:color w:val="auto"/>
        </w:rPr>
        <w:t>(“ASU 2018-02”), which provides financial statement preparers with an option to reclassify stranded tax</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within accumulated other comprehensive income to retained earnings in each period in which the effect of the change in the U.S. federal corporate income tax rate in the Tax Cuts and Jobs Act (or portion thereof) is recorded. The amendments in ASU 2018-02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ASU 2018-02 should be applied either in the period of adoption or retrospectively to each period (or periods) in which the effect of the change in the U.S. federal corporate income tax rate in the Tax Cuts and Jobs Act is recognized. The Company is evaluating the impact of the adoption of ASU 2018-02 on its consolidated financial statements.</w:t>
      </w:r>
    </w:p>
    <w:p>
      <w:pPr>
        <w:spacing w:after="0" w:line="10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which addresses the complexity of accounting for certain financial instruments with down round features. Down round features are</w:t>
      </w:r>
      <w:r>
        <w:rPr>
          <w:rFonts w:ascii="Arial" w:cs="Arial" w:eastAsia="Arial" w:hAnsi="Arial"/>
          <w:sz w:val="16"/>
          <w:szCs w:val="16"/>
          <w:i w:val="1"/>
          <w:iCs w:val="1"/>
          <w:color w:val="auto"/>
        </w:rPr>
        <w:t xml:space="preserve"> </w:t>
      </w:r>
      <w:r>
        <w:rPr>
          <w:rFonts w:ascii="Arial" w:cs="Arial" w:eastAsia="Arial" w:hAnsi="Arial"/>
          <w:sz w:val="16"/>
          <w:szCs w:val="16"/>
          <w:color w:val="auto"/>
        </w:rPr>
        <w:t>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ASU 2017-11 are effective for fiscal years, and interim periods within those fiscal years, beginning after December 15, 2018. For all other entities, the amendments in Part I of ASU 2017-11 are effective for fiscal years beginning after December 15, 2019, and interim periods within fiscal years beginning after December 15, 2020. The Company is evaluating the impact of the adoption of ASU 2017-11 on its consolidated financial statements.</w:t>
      </w:r>
    </w:p>
    <w:p>
      <w:pPr>
        <w:spacing w:after="0" w:line="1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(“ASU 2017-04”),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ASU 2017-04 does not amend the optional qualitative assessment of goodwill impairment. A business entity that is an SEC filer must adopt the amendments in ASU 2017-04 for its annual or any interim goodwill impairment test in fiscal years beginning after December 15, 2019. Early adoption is permitted for interim or annual goodwill impairment tests performed on testing dates after January 1, 2017. The Company is evaluating the impact of the adoption of ASU 2017-04 on its consolidated financial statements.</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(“ASU 2016-02”). The amendments in ASU 2016-02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2016-02 are effective for fiscal years beginning after December 15, 2018, including interim periods within those fiscal years for public business entities. Early application of the amendments in ASU 2016-02 is permitted. The Company is evaluating the impact of the adoption of ASU 2016-02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and December 31, 2017, accounts receivable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8"/>
              <w:spacing w:after="0"/>
              <w:rPr>
                <w:sz w:val="20"/>
                <w:szCs w:val="20"/>
                <w:color w:val="auto"/>
              </w:rPr>
            </w:pPr>
            <w:r>
              <w:rPr>
                <w:rFonts w:ascii="Arial" w:cs="Arial" w:eastAsia="Arial" w:hAnsi="Arial"/>
                <w:sz w:val="15"/>
                <w:szCs w:val="15"/>
                <w:b w:val="1"/>
                <w:bCs w:val="1"/>
                <w:color w:val="auto"/>
                <w:w w:val="85"/>
              </w:rPr>
              <w:t>September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Company reviews accounts receivable on a periodic basis and makes general and specific allowances when there is doubt as to the collectability of individual balances. No allowance for doubtful accounts was considered necessary at September 30, 2018 or December 31, 2017. At September 30, 2018 and December 31, 2017, accounts receivable of $2,181 and $1,805, respectively, were pledged as collateral for borrowings from financial institutions.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and December 31, 2017, inventory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Arial" w:cs="Arial" w:eastAsia="Arial" w:hAnsi="Arial"/>
                <w:sz w:val="15"/>
                <w:szCs w:val="15"/>
                <w:b w:val="1"/>
                <w:bCs w:val="1"/>
                <w:color w:val="auto"/>
                <w:w w:val="85"/>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inventory, gross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inventory,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29,809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2018 and December 31, 2017, the Company did not have an inventory reserve and no inventory was pledged as collateral for borrowings from financial institutions. System shipments of first-tools to an existing or prospective customer, for which ownership does not transfer until customer acceptance, are classified as finished goods inventory and carried at cost until ownership is transferred.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and December 31, 2017, property, plant and equipment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5"/>
              </w:rPr>
              <w:t>September 30,</w:t>
            </w:r>
          </w:p>
        </w:tc>
        <w:tc>
          <w:tcPr>
            <w:tcW w:w="1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Leasehold improvement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(8,035)</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(8,263)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Depreciation expense was $84 and $55 for the three months ended September 30, 2018 and 2017, respectively, and $257 and $162 for the nine months ended September 30, 2018 and 2017,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and December 31, 2017, short-term borrowings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4"/>
              <w:spacing w:after="0"/>
              <w:rPr>
                <w:sz w:val="20"/>
                <w:szCs w:val="20"/>
                <w:color w:val="auto"/>
              </w:rPr>
            </w:pPr>
            <w:r>
              <w:rPr>
                <w:rFonts w:ascii="Arial" w:cs="Arial" w:eastAsia="Arial" w:hAnsi="Arial"/>
                <w:sz w:val="15"/>
                <w:szCs w:val="15"/>
                <w:b w:val="1"/>
                <w:bCs w:val="1"/>
                <w:color w:val="auto"/>
                <w:w w:val="85"/>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2"/>
              </w:rPr>
              <w:t>Line of credit up to $30 million RMB from Bank of China Pudong Branch, due on March 5, 2018 with annual interest rate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 5.69%, secured by certain of the Company’s intellectual property and fully repaid on March 5,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4"/>
              </w:rPr>
              <w:t>Line of credit up to $30 million RMB from Bank of China Pudong Branch, due on March 13, 2019 with annual interest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rate of 5.22%, secured by certain of the Company’s intellectual property and the Company’s CEO.</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4"/>
              </w:rPr>
              <w:t>Line of credit up to $30 million RMB from Bank of China Pudong Branch, due on March 27, 2019 with annual interest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rate of 5.22%, secured by certain of the Company’s intellectual property and the Company’s CEO.</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Line of credit up to $25 million RMB from Bank of Shanghai Pudong Branch, due on various dates of October 2018 with</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an annual interest rate of 5.66%, guaranteed by the Company’s CEO and fully repaid on May 8, 2018.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2,111</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7"/>
              </w:rPr>
              <w:t>Line of credit up to $50 million RMB from Bank of Shanghai Pudong Branch, due on April 17, 2019 with an annual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4.99%, guaranteed by the Company’s CEO.</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3"/>
              </w:rPr>
              <w:t>Line of credit up to $50 million RMB from Bank of Shanghai Pudong Branch, due on February 14, 2019 with an annual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interest rate of 5.15%, guaranteed by the Company’s CEO.</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$5 million RMB from Shanghai Rural Commercial Bank, due on November 21, 2018 with an annual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5.44%, guaranteed by the Company’s CEO and pledged by accounts receivable.</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4"/>
              </w:rPr>
              <w:t>Line of credit up to $10 million RMB from Shanghai Rural Commercial Bank, due on January 23, 2019 with an annual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interest rate of 5.44%, guaranteed by the Company’s CEO and pledged by accounts receivable.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$10 million RMB from Bank of Communications, due on December 28, 2018 with an annual interest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 of 5.66%.</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10,163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Interest expense related to short-term borrowings amounted to $112 and $33 for the three months ended September 30, 2018 and 2017, respectively, and $364 and $196, for the nine months ended September 30, 2018 and 2017,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PAYABLE AND ACCRUED EXPENSES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and December 31, 2017, other payable and accrued expenses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Arial" w:cs="Arial" w:eastAsia="Arial" w:hAnsi="Arial"/>
                <w:sz w:val="15"/>
                <w:szCs w:val="15"/>
                <w:b w:val="1"/>
                <w:bCs w:val="1"/>
                <w:color w:val="auto"/>
                <w:w w:val="85"/>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 expenses and payable for leasehold improvement due to a related party (note 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commissions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payroll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machine testing fees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8,090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WARRANT LIABILITY</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9, 2016, Shengxin (Shanghai) Management Consulting Limited Partnership (“SMC”), a related party (note 11), delivered RMB 20,124 (approximately $2,981 as of the close of business on such date) in cash (the “SMC Investment”) to ACM Shanghai for potential investment pursuant to terms to be subsequently negotiated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warrant issued to SMC, while outstanding as of December 31, 2017, was classified as a liability as it was conditionally puttable in accordance with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fair value of the warrant was adjusted for changes in fair value at each reporting period but could not be lower than the proceeds of the SMC Investment. The corresponding non-cash gain or loss of the changes in fair value was recorded in earnings. The methodology used to value the warrant was the Black-Scholes valuation model.</w:t>
      </w:r>
    </w:p>
    <w:p>
      <w:pPr>
        <w:spacing w:after="0" w:line="130"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On March 30, 2018, ACM entered into a warrant exercise agreement with ACM Shanghai and SMC pursuant to which SMC exercised its warrant in full by issuing to ACM a senior secured promissory note in the principal amount of approximately $3,000. ACM then transferred the SMC note to ACM Shanghai in exchange for an intercompany promissory note of ACM Shanghai in the principal amount of approximately $3,000.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 Upon the issuance of 397,502 shares of Class A common stock to SMC, the senior secured promissory note issued to AMC by SMC was offset against the SMC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LONG-TERM LIABILITIES</w:t>
      </w:r>
    </w:p>
    <w:p>
      <w:pPr>
        <w:spacing w:after="0" w:line="16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As of September 30, 2018, and December 31, 2017, other long-term liabilities consisted of the following unearned government subsidies: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5"/>
                <w:szCs w:val="15"/>
                <w:b w:val="1"/>
                <w:bCs w:val="1"/>
                <w:color w:val="auto"/>
                <w:w w:val="85"/>
              </w:rPr>
              <w:t>September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1"/>
              </w:rPr>
              <w:t>Subsidies to Stress Free Polishing project, commenced in 2008 and 2017</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Subsidies to Polytetrafluoroethylene, commenced in 2018</w:t>
            </w:r>
          </w:p>
        </w:tc>
        <w:tc>
          <w:tcPr>
            <w:tcW w:w="3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5,230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40" w:type="dxa"/>
            <w:vAlign w:val="bottom"/>
            <w:vMerge w:val="restart"/>
          </w:tcPr>
          <w:p>
            <w:pPr>
              <w:jc w:val="right"/>
              <w:ind w:right="293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METHOD INVESTMENT</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BALANCES AND TRANSACTIONS</w:t>
      </w:r>
    </w:p>
    <w:p>
      <w:pPr>
        <w:spacing w:after="0" w:line="16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 ACM. Ninebell repaid the loan in March 2018. ACM purchased materials from Ninebell amounting to $2,529 and $807 during the three months ended September 30, 2018 and 2017, and $5,364 and $2,624 during the nine months ended September 30, 2018 and 2017, respectively. As of September 30, 2018 and December 31, 2017, accounts payable due to Ninebell were $1,539 and $2,123, respectively, and prepaid to Ninebell for material purchases were $1,049 and $229, respectively.</w:t>
      </w:r>
    </w:p>
    <w:p>
      <w:pPr>
        <w:spacing w:after="0" w:line="1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From January 1 to April 25, 2018, ACM Shanghai leased the property on a month-to-month basis. On April 26, 2018, ACM Shanghai entered into a renewed lease with Zhangjiang Group for the period from January 1, 2018 through December 31, 2022. Under the lease, ACM Shanghai would pay a monthly rental fee of approximately RMB 366 (equivalent to $55). The required security deposit is RMB 1,077 (equivalent to $163). The Company incurred leasing expenses under the lease agreement of $152 and $130 during the three months ended September 30, 2018 and 2017, respectively, and $471 and $451 during the nine months ended September 30, 2018 and 2017, respectively. As of September 30, 2018 and December 31, 2017, payables to Zhangjiang Group for lease expenses and leasehold improvements recorded as other payables and accrued expenses amounted to $0 and $2,024, respectively (note 7).</w:t>
      </w:r>
    </w:p>
    <w:p>
      <w:pPr>
        <w:spacing w:after="0" w:line="1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9, 2016, ACM Shanghai received the SMC Investment from SMC for potential investment pursuant to terms to be subsequently negotiated (note 8). SMC is a limited partnership incorporated in the PRC, whose partners consist of employees of ACM Shanghai.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 for a total exercise price of $2,981. On March 30, 2018, SMC exercised the warrant and purchased 397,502 shares of Class A common stock (note 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 leases its administrative, research and development and manufacturing facilities under various operating leases. Future minimum lease payments under non-cancelable lease agreements as of September 30, 2018 and December 31, 2017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6"/>
              <w:spacing w:after="0"/>
              <w:rPr>
                <w:sz w:val="20"/>
                <w:szCs w:val="20"/>
                <w:color w:val="auto"/>
              </w:rPr>
            </w:pPr>
            <w:r>
              <w:rPr>
                <w:rFonts w:ascii="Arial" w:cs="Arial" w:eastAsia="Arial" w:hAnsi="Arial"/>
                <w:sz w:val="15"/>
                <w:szCs w:val="15"/>
                <w:b w:val="1"/>
                <w:bCs w:val="1"/>
                <w:color w:val="auto"/>
                <w:w w:val="85"/>
              </w:rPr>
              <w:t>September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2019</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2021</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5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5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5,799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820" w:type="dxa"/>
            <w:vAlign w:val="bottom"/>
            <w:vMerge w:val="restart"/>
          </w:tcPr>
          <w:p>
            <w:pPr>
              <w:jc w:val="right"/>
              <w:ind w:right="293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5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Total lease expense was $443 and $140 for the three months ended September 30, 2018 and 2017, respectively, and $1,501 and $476 for the nine months ended September 30, 2018 and 2017,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is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 holders.</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2017 ACM entered into a securities purchase agreement with PDHTI and its subsidiary Pudong Science and Technology (Cayman) Co., Ltd. (“PST”), in which ACM agreed to bid, in an auction process mandated by PRC regulations, to purchase PDHTI’s 10.78% equity interest in ACM Shanghai and to sell shares of Class A common stock to PST. On September 8, 2017, ACM issued 1,119,576 shares of Class A common stock to PST for a purchase price of $7.50 per share, representing an aggregate purchase price of $8,397.</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2017 ACM entered into a securities purchase agreement with ZSTVC and its subsidiary Zhangjiang AJ Company Limited (“ZJAJ”), in which ACM agreed to bid, in an auction process mandated by PRC regulations, to purchase ZSTVC’s 7.58% equity interest in ACM Shanghai and to sell shares of Class A common stock to ZJAJ. On September 8, 2017, ACM issued 787,098 shares of Class A common stock to ZJAJ for a purchase price of $7.50 per share, or an aggregate purchase price of $5,903.</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November 2017 ACM issued 2,233,000 shares of Class A common stock and received net proceeds of $11,664 from the IPO and concurrently ACM issued an additional 1,333,334 shares of Class A common stock in a private placement for net proceeds of $7,053.</w:t>
      </w:r>
    </w:p>
    <w:p>
      <w:pPr>
        <w:spacing w:after="0" w:line="11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Upon the completion of the IPO on November 2, 2017, the Company issued a five-year warrant (the “Underwriter's Warrant”) to Roth Capital Partners, LLC, the lead underwriter of the IPO, for the purchase of up to 80,000 shares of Class A common stock at an exercise price of $6.16 per share. The Underwriter’s Warrant was immediately exercisable and expires on November 1, 2022. The Underwriter's Warrant is equity classified and its fair value was $137 at the IPO closing date, using the Black Scholes model with the following assumptions: volatility of 28.26%, a dividend rate of 0%, and a risk-free discount rate of 2%.</w:t>
      </w:r>
    </w:p>
    <w:p>
      <w:pPr>
        <w:spacing w:after="0" w:line="9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various dates during 2017, ACM issued 472,889 shares of Class A common stock upon options exercises by certain employees and non-employees. During the three months and nine months ended September 30, 2018, the Company issued 110,976 and 245,702 shares of Class A common stock, respectively, upon options exercises by certain employees and non-employees.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30, 2018, SMC exercised its warrant (note 8) and purchased 397,502 shares of Class A common stock.</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September 30, 2018 and December 31, 2017, the number of shares of Class A common stock issued and outstanding was 14,070,065 and 12,935,546, respectively. At September 30, 2018 and December 31, 2017, the number of shares of Class B common stock issued and outstanding was 1,918,423 and 2,409,738, respectively. During the three months and nine months ended September 30, 2018, 1,750 and 491,315 shares of Class B common stock, respectively, were converted into Class A common stock.</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1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ACM’s stock-based compensation awards consisting of employee and non-employee awards were issued under the 1998 Stock Option Plan and 2016 Omnibus Incentive Plan and as standalone options.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employee share option activities during the nine months ended September 30,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4"/>
              <w:spacing w:after="0" w:line="162" w:lineRule="exact"/>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56"/>
              <w:spacing w:after="0" w:line="162" w:lineRule="exact"/>
              <w:rPr>
                <w:sz w:val="20"/>
                <w:szCs w:val="20"/>
                <w:color w:val="auto"/>
              </w:rPr>
            </w:pPr>
            <w:r>
              <w:rPr>
                <w:rFonts w:ascii="Arial" w:cs="Arial" w:eastAsia="Arial" w:hAnsi="Arial"/>
                <w:sz w:val="15"/>
                <w:szCs w:val="15"/>
                <w:b w:val="1"/>
                <w:bCs w:val="1"/>
                <w:color w:val="auto"/>
                <w:w w:val="97"/>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608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2,045,616</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7.57 years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745,700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(146,398)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(4,312)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(114,475)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2,526,131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w w:val="99"/>
              </w:rPr>
              <w:t>7.56 years</w:t>
            </w: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During the three months ended September 30, 2018 and 2017, the Company recognized employee stock-based compensation expense of $195 and $72, respectively. During the nine months ended September 30, 2018 and 2017, the Company recognized employee stock-based compensation expense of $458 and $200, respectively. As of September 30, 2018 and December 31, 2017, $2,693 and $1,690, respectively, of total unrecognized employee stock-based compensation expense, net of estimated forfeitures, related to stock-based awards were expected to be recognized over a weighted-average period of 1.85 years and 1.77 years, respectively. Total recognized compensation cost may be adjusted for future changes in estimated forfeitures.</w:t>
      </w:r>
    </w:p>
    <w:p>
      <w:pPr>
        <w:spacing w:after="0" w:line="1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values of each option granted to employees during the nine months ended September 30, 2018 were estimated on the grant dates using the Black-Scholes valuation model with the following assumptions. A total of 245,700 shares and 745,700 shares were granted to employees during the three month and nine month ended September 30, 2018,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Nine Months</w:t>
            </w:r>
          </w:p>
        </w:tc>
      </w:tr>
      <w:tr>
        <w:trPr>
          <w:trHeight w:val="162"/>
        </w:trPr>
        <w:tc>
          <w:tcPr>
            <w:tcW w:w="1020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Ended</w:t>
            </w:r>
          </w:p>
        </w:tc>
      </w:tr>
      <w:tr>
        <w:trPr>
          <w:trHeight w:val="162"/>
        </w:trPr>
        <w:tc>
          <w:tcPr>
            <w:tcW w:w="1020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9"/>
              </w:rPr>
              <w:t>September 30,</w:t>
            </w:r>
          </w:p>
        </w:tc>
      </w:tr>
      <w:tr>
        <w:trPr>
          <w:trHeight w:val="182"/>
        </w:trPr>
        <w:tc>
          <w:tcPr>
            <w:tcW w:w="10200" w:type="dxa"/>
            <w:vAlign w:val="bottom"/>
          </w:tcPr>
          <w:p>
            <w:pPr>
              <w:spacing w:after="0"/>
              <w:rPr>
                <w:sz w:val="15"/>
                <w:szCs w:val="15"/>
                <w:color w:val="auto"/>
              </w:rPr>
            </w:pPr>
          </w:p>
        </w:tc>
        <w:tc>
          <w:tcPr>
            <w:tcW w:w="10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43"/>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$5.31- 13.85</w:t>
            </w:r>
          </w:p>
        </w:tc>
        <w:tc>
          <w:tcPr>
            <w:tcW w:w="140" w:type="dxa"/>
            <w:vAlign w:val="bottom"/>
            <w:shd w:val="clear" w:color="auto" w:fill="CCEEFF"/>
          </w:tcPr>
          <w:p>
            <w:pPr>
              <w:spacing w:after="0"/>
              <w:rPr>
                <w:sz w:val="21"/>
                <w:szCs w:val="21"/>
                <w:color w:val="auto"/>
              </w:rPr>
            </w:pPr>
          </w:p>
        </w:tc>
      </w:tr>
      <w:tr>
        <w:trPr>
          <w:trHeight w:val="242"/>
        </w:trPr>
        <w:tc>
          <w:tcPr>
            <w:tcW w:w="1020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080" w:type="dxa"/>
            <w:vAlign w:val="bottom"/>
          </w:tcPr>
          <w:p>
            <w:pPr>
              <w:jc w:val="right"/>
              <w:ind w:right="238"/>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1"/>
                <w:szCs w:val="21"/>
                <w:color w:val="auto"/>
              </w:rPr>
            </w:pPr>
          </w:p>
        </w:tc>
      </w:tr>
      <w:tr>
        <w:trPr>
          <w:trHeight w:val="236"/>
        </w:trPr>
        <w:tc>
          <w:tcPr>
            <w:tcW w:w="102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left="118"/>
              <w:spacing w:after="0"/>
              <w:rPr>
                <w:sz w:val="20"/>
                <w:szCs w:val="20"/>
                <w:color w:val="auto"/>
              </w:rPr>
            </w:pPr>
            <w:r>
              <w:rPr>
                <w:rFonts w:ascii="Arial" w:cs="Arial" w:eastAsia="Arial" w:hAnsi="Arial"/>
                <w:sz w:val="18"/>
                <w:szCs w:val="18"/>
                <w:color w:val="auto"/>
                <w:w w:val="89"/>
              </w:rPr>
              <w:t>39.14%-</w:t>
            </w:r>
          </w:p>
        </w:tc>
        <w:tc>
          <w:tcPr>
            <w:tcW w:w="140" w:type="dxa"/>
            <w:vAlign w:val="bottom"/>
            <w:shd w:val="clear" w:color="auto" w:fill="CCEEFF"/>
          </w:tcPr>
          <w:p>
            <w:pPr>
              <w:spacing w:after="0"/>
              <w:rPr>
                <w:sz w:val="20"/>
                <w:szCs w:val="20"/>
                <w:color w:val="auto"/>
              </w:rPr>
            </w:pPr>
          </w:p>
        </w:tc>
      </w:tr>
      <w:tr>
        <w:trPr>
          <w:trHeight w:val="224"/>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0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43.00%</w:t>
            </w:r>
          </w:p>
        </w:tc>
        <w:tc>
          <w:tcPr>
            <w:tcW w:w="140" w:type="dxa"/>
            <w:vAlign w:val="bottom"/>
            <w:shd w:val="clear" w:color="auto" w:fill="CCEEFF"/>
          </w:tcPr>
          <w:p>
            <w:pPr>
              <w:spacing w:after="0"/>
              <w:rPr>
                <w:sz w:val="19"/>
                <w:szCs w:val="19"/>
                <w:color w:val="auto"/>
              </w:rPr>
            </w:pPr>
          </w:p>
        </w:tc>
      </w:tr>
      <w:tr>
        <w:trPr>
          <w:trHeight w:val="242"/>
        </w:trPr>
        <w:tc>
          <w:tcPr>
            <w:tcW w:w="1020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8"/>
              </w:rPr>
              <w:t>2.55%- 2.96%</w:t>
            </w:r>
          </w:p>
        </w:tc>
      </w:tr>
      <w:tr>
        <w:trPr>
          <w:trHeight w:val="244"/>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080" w:type="dxa"/>
            <w:vAlign w:val="bottom"/>
            <w:shd w:val="clear" w:color="auto" w:fill="CCEEFF"/>
          </w:tcPr>
          <w:p>
            <w:pPr>
              <w:jc w:val="center"/>
              <w:ind w:left="98"/>
              <w:spacing w:after="0"/>
              <w:rPr>
                <w:sz w:val="20"/>
                <w:szCs w:val="20"/>
                <w:color w:val="auto"/>
              </w:rPr>
            </w:pPr>
            <w:r>
              <w:rPr>
                <w:rFonts w:ascii="Arial" w:cs="Arial" w:eastAsia="Arial" w:hAnsi="Arial"/>
                <w:sz w:val="18"/>
                <w:szCs w:val="18"/>
                <w:color w:val="auto"/>
                <w:w w:val="90"/>
              </w:rPr>
              <w:t>0.00%</w:t>
            </w:r>
          </w:p>
        </w:tc>
        <w:tc>
          <w:tcPr>
            <w:tcW w:w="140" w:type="dxa"/>
            <w:vAlign w:val="bottom"/>
            <w:shd w:val="clear" w:color="auto" w:fill="CCEEFF"/>
          </w:tcPr>
          <w:p>
            <w:pPr>
              <w:spacing w:after="0"/>
              <w:rPr>
                <w:sz w:val="21"/>
                <w:szCs w:val="21"/>
                <w:color w:val="auto"/>
              </w:rPr>
            </w:pPr>
          </w:p>
        </w:tc>
      </w:tr>
    </w:tbl>
    <w:p>
      <w:pPr>
        <w:spacing w:after="0" w:line="14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Exercise price is market close price of Class A common stock at grant dates.</w:t>
      </w:r>
    </w:p>
    <w:p>
      <w:pPr>
        <w:spacing w:after="0" w:line="15"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in accordance with Staff Accounting Bulletin 110.</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comparable companies in the period equal to the expected term of each grant.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dividends on its common stock.</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non-employee share option activities during the nine months ended September 30,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4"/>
              <w:spacing w:after="0" w:line="162" w:lineRule="exact"/>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608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1,326,676</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 years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(99,304)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1,227,372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6.86 years</w:t>
            </w: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September 30, 2018 and 2017, the Company recognized non-employee stock-based compensation expense of $216 and $272, respectively. During the nine months ended September 30, 2018 and 2017, the Company recognized non-employee stock-based compensation expense of $2,313 and $1,492.</w:t>
      </w:r>
    </w:p>
    <w:p>
      <w:pPr>
        <w:spacing w:after="0" w:line="127"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fair value of each option granted to a non-employee during the nine months ended September 30, 2018 was calculated by application of the Black-Scholes valuation model with the following assumptions. No options were granted to any non-employee during the nine months ended September 30, 2018.</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Nine Months</w:t>
            </w: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7"/>
              </w:rPr>
              <w:t>Ended</w:t>
            </w: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September 30,</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89"/>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3.08-5.36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41.53-45.48%</w:t>
            </w: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Risk free interest rate(4)</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2.39%-2.94%</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19"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Exercise price was market close price of Class A common stock at September 30, 2018.</w:t>
      </w:r>
    </w:p>
    <w:p>
      <w:pPr>
        <w:spacing w:after="0" w:line="15"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in accordance with Staff Accounting Bulletin 110.</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comparable companies in the period equal to the expected term of each grant.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5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in particular the Company’s three-year historical cumulative losses, recent operating results and U.S. pre-tax loss for the nine months ended September 30, 2018, the Company recorded a valuation allowance against its U.S. net deferred tax assets. In order to fully realize the U.S. deferred tax assets, the Company will need to generate sufficient taxable income in future periods before the expiration of the deferred tax assets governed by the tax code.</w:t>
      </w:r>
    </w:p>
    <w:p>
      <w:pPr>
        <w:spacing w:after="0" w:line="105"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each period since inception, the Company has recorded a valuation allowance for the full amount of net deferred tax assets in the United States, as the realization of deferred tax assets is uncertain. ACM Shanghai has shown a three-year historical cumulative profit and has projections of future income. As a result, the Company maintained a partial consolidated valuation allowance for the three and nine months ended September 30, 2018 and December 31, 2017.</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2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expense of $461 and income tax benefit of $278 during the three months ended September 30, 2018 and 2017, respectively. For the nine months ended September 30, 2018 and 2017, the Company recorded income tax expense of $647 and $471, respectively.</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2018, the Company's total unrecognized tax benefits were approximately $44, which would not affect the effective tax rate if recognized. The Company will recognize interest and penalties, when they occur, related to uncertain tax provisions as a component of tax expense. No interest or penalties were recognized for the three and nine months ended September 30, 2018.</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2017. To the extent the Company has tax attribute carry-forwards, the tax years in which the attribute was generated may still be adjusted upon examination by the U.S. Internal Revenue Service, state or foreign tax authorities to the extent utilized in a future period. The Tax Cuts and Jobs Act (the "Tax Act"), enacted on December 22, 2017, introduced significant changes to U.S. income tax law. Effective January 1, 2018, the Tax Act reduced the U.S. statutory tax rate from 35% to 21% and created new taxes on certain foreign-sourced earnings and certain intercompany payments. Due to the timing of the enactment and the complexity involved in applying the provisions of the Tax Act, the Company made reasonable estimates of the effects and recorded provisional amounts in its financial statements as of December 31, 2017. As the Company collects and prepares necessary data, and interprets the Tax Act and any additional guidance issued by the U.S. Treasury Department, the U.S. Internal Revenue Service and other standard-setting bodies, the Company may make adjustments to the provisional amounts. Those adjustments may materially affect the Company’s provision for income taxes and effective tax rate in the period in which the adjustments are made. There were no adjustments made in the three and nine months ended September 30, 2018. The accounting for the tax effects of the Tax Act will be completed later in 2018.</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64"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Company leases offices under non-cancelable operating lease agreements. See note 12 for future minimum lease payments under non-cancelable operating lease agreements with initial terms of one year or more.</w:t>
      </w:r>
    </w:p>
    <w:p>
      <w:pPr>
        <w:spacing w:after="0" w:line="11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As of September 30, 2018, the Company was part to several contracts for construction of equipment and facilities. Total outstanding commitments under these contracts were $264 and $0 at September 30, 2018 and December 31, 2017, respectively. The Company expects to pay off all the balances within a year.</w:t>
      </w:r>
    </w:p>
    <w:p>
      <w:pPr>
        <w:spacing w:after="0" w:line="7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 As of September 30, 2018, the Company did not have any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2017, or our Annual Report. The following discussion contains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Factors that could cause or contribute to these differences include those discussed below and elsewhere in this report, particularly in the section titled “Item 1A. Risk Factors” in Part II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seek to market our wet processing equipment by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2017. In August 2018, we introduced our Ultra-C Tahoe wafer cleaning tool, which can deliver high cleaning performance with significantly less sulfuric acid than typically consumed by conventional high-temperature single-wafer cleaning tools.</w:t>
      </w:r>
    </w:p>
    <w:p>
      <w:pPr>
        <w:spacing w:after="0" w:line="1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primary customers for single-wafer wet-cleaning equipment include: Semiconductor Manufacturing International Corporation, a leading foundry in the People’s Republic of China or PRC, Shanghai Huali Microelectronics Corporation, a leading PRC foundry, SK Hynix Inc., a leading Korean memory chip company, and Yangtze Memory Technologies Co., Ltd., a leading PRC memory chip company. As of September 30, 2018, we had delivered more than 50 single-wafer wet cleaning tools to customers since our inception, of which the majority of those tools had been accepted by customers, resulting in revenue to us, and the other remaining tools were awaiting customer acceptance for revenue recognition in future quarters should contractual conditions be met. We recognized revenue from sales of single-wafer wet cleaning equipment totaling $51.6 million, or 96.0% of total revenue, for the first nine months of 2018 and $14.8 million, or 76.6% of total revenue, for the first nine months of 2017.</w:t>
      </w:r>
    </w:p>
    <w:p>
      <w:pPr>
        <w:spacing w:after="0" w:line="10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9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established our operational center in Shanghai in 2006 to help us establish and build relationships with chip manufacturers in China and throughout Asia. In addition to our SAPS, TEBO and Tahoe tools, we offer a range of custom-made wafer assembly and packaging equipment, such as coaters and developers, to wafer assembly and packaging factories, principally in the PRC.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Corporate Background</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incorporated in California in 1998 and redomesticated to Delaware in November 2016. Initially we focused on developing tools for semiconductor manufacturing process steps involving the integration of ultra-low-K materials and copper. In the early 2000s we sold tools based on stress-free copper-polishing technology.</w:t>
      </w:r>
    </w:p>
    <w:p>
      <w:pPr>
        <w:spacing w:after="0" w:line="12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2006 we moved our operational center to Shanghai, where we began to conduct our business through our subsidiary ACM Shanghai. This move was made to help us establish and build relationships with chip manufacturers in the PRC. In 2007 we began to focus our development efforts on single-wafer wet-cleaning solutions for the front-end chip fabrication process. In 2009 we introduced SAPS megasonic technology, which can be applied in wet wafer cleaning at numerous steps during the chip fabrication process. In 2016 we introduced TEBO technology, which can be applied at numerous steps during the fabrication of small node conventional two-dimensional and three-dimensional patterned wafers. In August 2018, we introduced the Ultra-C Tahoe wafer cleaning tool, which delivers high cleaning performance with significantly less sulfuric acid than typically consumed by conventional high temperature single-wafer cleaning tools.</w:t>
      </w:r>
    </w:p>
    <w:p>
      <w:pPr>
        <w:spacing w:after="0" w:line="10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In 2011 ACM Shanghai formed a wholly owned subsidiary in the PRC, ACM Research (Wuxi), Inc., to manage sales and service operations. 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 In December 2017 we formed a wholly owned subsidiary in the Republic of Korea, ACM Research Korea CO., LTD., to serve our customers based in the Republic of Korea and perform sales, marketing, research and development activities.</w:t>
      </w:r>
    </w:p>
    <w:p>
      <w:pPr>
        <w:spacing w:after="0" w:line="102" w:lineRule="exact"/>
        <w:rPr>
          <w:sz w:val="20"/>
          <w:szCs w:val="20"/>
          <w:color w:val="auto"/>
        </w:rPr>
      </w:pPr>
    </w:p>
    <w:p>
      <w:pPr>
        <w:jc w:val="both"/>
        <w:ind w:right="20" w:firstLine="324"/>
        <w:spacing w:after="0" w:line="370" w:lineRule="auto"/>
        <w:rPr>
          <w:sz w:val="20"/>
          <w:szCs w:val="20"/>
          <w:color w:val="auto"/>
        </w:rPr>
      </w:pPr>
      <w:r>
        <w:rPr>
          <w:rFonts w:ascii="Arial" w:cs="Arial" w:eastAsia="Arial" w:hAnsi="Arial"/>
          <w:sz w:val="15"/>
          <w:szCs w:val="15"/>
          <w:color w:val="auto"/>
        </w:rPr>
        <w:t>In September 2018, we announced the grand opening of a second factory in the Pudong region of Shanghai. The new facility has a total of 50,000 square feet of available floor space. This is in addition to our first factory in the Pudong Region of Shanghai which has a total of 36,000 square feet of available floor space.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Government Research and Development Funding</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Shanghai has received four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PRC governmental authorities provide the majority of the funding, although ACM Shanghai is also required to invest certain amounts in the projects.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27" w:lineRule="exact"/>
        <w:rPr>
          <w:sz w:val="20"/>
          <w:szCs w:val="20"/>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reflected as reductions of those expenses in the periods in which they are reported. Those reductions totaled $820,000 in the first nine months of 2018, compared to $2.8 million in the first nine months of 2017.</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subsidies for interest on short-term borrowings are reported as reductions of interest expense in the periods the interest is accrued. We had no such reductions of interest expense in the first nine months of 2018 or the first nine months of 2017.</w:t>
      </w:r>
    </w:p>
    <w:p>
      <w:pPr>
        <w:spacing w:after="0" w:line="118" w:lineRule="exact"/>
        <w:rPr>
          <w:rFonts w:ascii="Arial" w:cs="Arial" w:eastAsia="Arial" w:hAnsi="Arial"/>
          <w:sz w:val="18"/>
          <w:szCs w:val="18"/>
          <w:color w:val="auto"/>
        </w:rPr>
      </w:pPr>
    </w:p>
    <w:p>
      <w:pPr>
        <w:jc w:val="both"/>
        <w:ind w:left="660" w:hanging="328"/>
        <w:spacing w:after="0" w:line="30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$109,000 in the first nine months of 2018 and $99,000 in the first nine months of 2017.</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158"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delivery to a customer of a type of tool that the customer has previously accepted, for which we recognize revenue upon delivery, and (b) a “first-time” delivery of a tool to a customer on an approval basis, for which we may recognize revenue in the future if contractual conditions are met and customer acceptance is received.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71"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1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5"/>
          <w:szCs w:val="15"/>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9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Shipments during a quarter consist of two components:</w:t>
      </w:r>
    </w:p>
    <w:p>
      <w:pPr>
        <w:spacing w:after="0" w:line="158"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“repeat” shipment to a customer involves our delivery during the quarter of a type of tool that the customer has previously-accepted. Because a repeat delivery is not subject to customer acceptance, we recognize revenue from the sale of the tool when the tool is delivered and ownership of the tool is transferred to the customer.</w:t>
      </w:r>
    </w:p>
    <w:p>
      <w:pPr>
        <w:spacing w:after="0" w:line="12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“first-tool” shipment to a customer involves our delivery during the quarter of a type of tool that the customer has not received and evaluated previously. A first-tool shipment can be made either to an existing customer that has not previously received and accepted that specific type of tool in the past ─ for example, a delivery of a SAPS V tool to a customer that previously had received only SAPS II tools ─ or to a new customer that has never purchased any type of tool from us. Because a first-tool shipment is subject to customer acceptance, no revenue is recorded in connection with the delivery of the tool. We may recognize revenue at a later date, subject to the customer’s acceptance of the tool upon the tool’s satisfaction of applicable contractual requirements.</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dollar amount attributable to a first-tool shipment equals the consideration we expect to recognize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jc w:val="both"/>
        <w:ind w:firstLine="324"/>
        <w:spacing w:after="0" w:line="255" w:lineRule="auto"/>
        <w:rPr>
          <w:sz w:val="20"/>
          <w:szCs w:val="20"/>
          <w:color w:val="auto"/>
        </w:rPr>
      </w:pPr>
      <w:r>
        <w:rPr>
          <w:rFonts w:ascii="Arial" w:cs="Arial" w:eastAsia="Arial" w:hAnsi="Arial"/>
          <w:sz w:val="18"/>
          <w:szCs w:val="18"/>
          <w:color w:val="auto"/>
        </w:rPr>
        <w:t>Shipments in the three months ended September 30, 2018 totaled $32 million, versus $11 million in the three months ended September 30, 2017 and $21 million in the three months ended June 30, 2018. The higher level of shipments versus revenue for the three months ended September 30, 2018 resulted from first-time tool deliveries of SAPS single-wafer wet-cleaning tools and other advanced wafer processing tools, net of a first tool delivered in a prior quarter and accepted by the customer in the three months ended September 30, 2018. Shipments in the nine months ending September 30, 2018 totaled $63 million, versus $27 million in the nine months ended September 30, 2017.</w:t>
      </w:r>
    </w:p>
    <w:p>
      <w:pPr>
        <w:spacing w:after="0" w:line="1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September 30, 2018, we had delivered more than 50 single-wafer wet cleaning tools, principally SAPS tools, to customers since our inception. The majority of these tools had been accepted by customers, and we recognized revenue upon acceptance. Any first-tool shipment that has not yet been accepted by a customer is reflected, at cost, as finished goods inventory on our balance sheet. If and when the customer accepts the tool and ownership of the tool is transferred to the customer, we recognize revenue from the sale of the tool. Finished goods inventory was $10.1 million as of September 30, 2018, versus $5.5 million as of June 30, 2018 and $4.9 million as of December 31, 2017. The $4.6 million quarter-on-quarter increase in finished goods inventory reflected the increased costs associated with first tools delivered to customers during the three months ended September 30, 2018, less the cost associated with the previously delivered first tool for which revenue was recognized upon customer acceptance during the three months ended September 30, 2018.</w:t>
      </w:r>
    </w:p>
    <w:p>
      <w:pPr>
        <w:spacing w:after="0" w:line="1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beginning to report shipments because we believe quarterly shipment information may be useful to investors in understanding and evaluating our operating results and future prospects and in identifying underlying trends in our core operating performance. A first-tool shipment represents a critical step in our sales process, as we move a specific opportunity from high-level discussions, analysis and, in many cases, wafer testing in our clean room, to a more comprehensive customer evaluation phase. The customer receiving the first-tool shipment commits resources to confirm and validate the benefits of our technology in the customer’s own production environment. This commitment not only gives us confidence that we are closer to moving forward to a sale of the first-tool equipment, but also indicates that we should look to establish or expand our relationship with the customer in order to identify a a larger long-term business opportunity.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There are a number of limitations related to the use of adjusted EBITDA rather than net income (loss), which is the nearest GAAP equivalent. Some of these limitations are:</w:t>
      </w:r>
    </w:p>
    <w:p>
      <w:pPr>
        <w:spacing w:after="0" w:line="118" w:lineRule="exact"/>
        <w:rPr>
          <w:sz w:val="20"/>
          <w:szCs w:val="20"/>
          <w:color w:val="auto"/>
        </w:rPr>
      </w:pPr>
    </w:p>
    <w:p>
      <w:pPr>
        <w:ind w:left="660" w:right="2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1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29"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180"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The following table reconciles net income (loss), the most directly comparable GAAP financial measure,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6"/>
          </w:tcPr>
          <w:p>
            <w:pPr>
              <w:jc w:val="right"/>
              <w:ind w:right="260"/>
              <w:spacing w:after="0"/>
              <w:rPr>
                <w:sz w:val="20"/>
                <w:szCs w:val="20"/>
                <w:color w:val="auto"/>
              </w:rPr>
            </w:pPr>
            <w:r>
              <w:rPr>
                <w:rFonts w:ascii="Arial" w:cs="Arial" w:eastAsia="Arial" w:hAnsi="Arial"/>
                <w:sz w:val="15"/>
                <w:szCs w:val="15"/>
                <w:b w:val="1"/>
                <w:bCs w:val="1"/>
                <w:color w:val="auto"/>
                <w:w w:val="94"/>
              </w:rPr>
              <w:t>Nine Months Ended September 30,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5"/>
                <w:szCs w:val="15"/>
                <w:i w:val="1"/>
                <w:iCs w:val="1"/>
                <w:color w:val="auto"/>
              </w:rPr>
              <w:t>in thousands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Data:</w:t>
            </w: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income (loss) attributable to ACM Research, Inc.</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4,288</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(3,702)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2,771</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8,430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(1,166)</w:t>
            </w: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5"/>
          <w:szCs w:val="15"/>
          <w:color w:val="auto"/>
        </w:rPr>
        <w:t>Adjusted EBITDA in the nine months of 2018, as compared with the comparable period in 2017, reflected an increase of $7,990 in net operations, $154 in interest expense, $176 increase in income tax expense, $197 increase in depreciation and amortization, and $1,079 increase in stock-based compensation expense.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net cash provided by operating activities, the most directly comparable GAAP financial measure, to free cash flow: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jc w:val="right"/>
              <w:ind w:right="260"/>
              <w:spacing w:after="0"/>
              <w:rPr>
                <w:sz w:val="20"/>
                <w:szCs w:val="20"/>
                <w:color w:val="auto"/>
              </w:rPr>
            </w:pPr>
            <w:r>
              <w:rPr>
                <w:rFonts w:ascii="Arial" w:cs="Arial" w:eastAsia="Arial" w:hAnsi="Arial"/>
                <w:sz w:val="15"/>
                <w:szCs w:val="15"/>
                <w:b w:val="1"/>
                <w:bCs w:val="1"/>
                <w:color w:val="auto"/>
                <w:w w:val="8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3"/>
              <w:spacing w:after="0"/>
              <w:rPr>
                <w:sz w:val="20"/>
                <w:szCs w:val="20"/>
                <w:color w:val="auto"/>
              </w:rPr>
            </w:pPr>
            <w:r>
              <w:rPr>
                <w:rFonts w:ascii="Arial" w:cs="Arial" w:eastAsia="Arial" w:hAnsi="Arial"/>
                <w:sz w:val="15"/>
                <w:szCs w:val="15"/>
                <w:i w:val="1"/>
                <w:iCs w:val="1"/>
                <w:color w:val="auto"/>
              </w:rPr>
              <w:t>in thousands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Data:</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(2,733)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Free cash flow in the nine months of 2018, as compared with the comparable period in 2017, reflected the factors driving net cash used in operating activities, principally increase in net income, accounts payables, stock-based compensation expense, and customer advance payment offset by increases in accounts receivable, inventory and prepaid expenses. Consistent with our methodology for calculating adjusted EBITDA, we do not adjust free cash flow for the effects of PRC government subsidies, because we take those subsidies into account in incurring expenses and capital expenditures.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b w:val="1"/>
          <w:bCs w:val="1"/>
          <w:i w:val="1"/>
          <w:iCs w:val="1"/>
          <w:color w:val="auto"/>
        </w:rPr>
        <w:t>Adjusted Operating Income (Loss)</w:t>
      </w:r>
    </w:p>
    <w:p>
      <w:pPr>
        <w:spacing w:after="0" w:line="158"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5"/>
          <w:szCs w:val="15"/>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5"/>
                <w:szCs w:val="15"/>
                <w:b w:val="1"/>
                <w:bCs w:val="1"/>
                <w:color w:val="auto"/>
                <w:w w:val="90"/>
              </w:rPr>
              <w:t>Three Months Ended September 30,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5"/>
              <w:spacing w:after="0" w:line="149" w:lineRule="exact"/>
              <w:rPr>
                <w:sz w:val="20"/>
                <w:szCs w:val="20"/>
                <w:color w:val="auto"/>
              </w:rPr>
            </w:pPr>
            <w:r>
              <w:rPr>
                <w:rFonts w:ascii="Arial" w:cs="Arial" w:eastAsia="Arial" w:hAnsi="Arial"/>
                <w:sz w:val="15"/>
                <w:szCs w:val="15"/>
                <w:b w:val="1"/>
                <w:bCs w:val="1"/>
                <w:color w:val="auto"/>
                <w:w w:val="93"/>
              </w:rPr>
              <w:t>Adjusted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Arial" w:cs="Arial" w:eastAsia="Arial" w:hAnsi="Arial"/>
                <w:sz w:val="15"/>
                <w:szCs w:val="15"/>
                <w:b w:val="1"/>
                <w:bCs w:val="1"/>
                <w:color w:val="auto"/>
                <w:w w:val="93"/>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5"/>
                <w:szCs w:val="15"/>
                <w:b w:val="1"/>
                <w:bCs w:val="1"/>
                <w:color w:val="auto"/>
              </w:rPr>
              <w:t>Actual(GAAP)</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5"/>
              </w:rPr>
              <w:t>(Non-GAAP)</w:t>
            </w: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Actual(GAAP)</w:t>
            </w:r>
          </w:p>
        </w:tc>
        <w:tc>
          <w:tcPr>
            <w:tcW w:w="20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SBC</w:t>
            </w:r>
          </w:p>
        </w:tc>
        <w:tc>
          <w:tcPr>
            <w:tcW w:w="10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w w:val="95"/>
              </w:rPr>
              <w:t>(Non-GAAP)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left="315"/>
              <w:spacing w:after="0"/>
              <w:rPr>
                <w:sz w:val="20"/>
                <w:szCs w:val="20"/>
                <w:color w:val="auto"/>
              </w:rPr>
            </w:pPr>
            <w:r>
              <w:rPr>
                <w:rFonts w:ascii="Arial" w:cs="Arial" w:eastAsia="Arial" w:hAnsi="Arial"/>
                <w:sz w:val="15"/>
                <w:szCs w:val="15"/>
                <w:i w:val="1"/>
                <w:iCs w:val="1"/>
                <w:color w:val="auto"/>
                <w:w w:val="90"/>
              </w:rPr>
              <w:t>(in thousands)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23,179</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23,179</w:t>
            </w:r>
          </w:p>
        </w:tc>
        <w:tc>
          <w:tcPr>
            <w:tcW w:w="2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4,891</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(12,867)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(3,187)</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(1,110)</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(1,264)</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Adjusted operating income for the three months ended on September 30, 2018, as compared with the comparable period in 2017, reflected a $68,000 increase in stock-based compensation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5"/>
                <w:szCs w:val="15"/>
                <w:b w:val="1"/>
                <w:bCs w:val="1"/>
                <w:color w:val="auto"/>
                <w:w w:val="89"/>
              </w:rPr>
              <w:t>Nine Months Ended September 30,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5"/>
              <w:spacing w:after="0" w:line="149" w:lineRule="exact"/>
              <w:rPr>
                <w:sz w:val="20"/>
                <w:szCs w:val="20"/>
                <w:color w:val="auto"/>
              </w:rPr>
            </w:pPr>
            <w:r>
              <w:rPr>
                <w:rFonts w:ascii="Arial" w:cs="Arial" w:eastAsia="Arial" w:hAnsi="Arial"/>
                <w:sz w:val="15"/>
                <w:szCs w:val="15"/>
                <w:b w:val="1"/>
                <w:bCs w:val="1"/>
                <w:color w:val="auto"/>
                <w:w w:val="93"/>
              </w:rPr>
              <w:t>Adjusted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Arial" w:cs="Arial" w:eastAsia="Arial" w:hAnsi="Arial"/>
                <w:sz w:val="15"/>
                <w:szCs w:val="15"/>
                <w:b w:val="1"/>
                <w:bCs w:val="1"/>
                <w:color w:val="auto"/>
                <w:w w:val="93"/>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5"/>
                <w:szCs w:val="15"/>
                <w:b w:val="1"/>
                <w:bCs w:val="1"/>
                <w:color w:val="auto"/>
              </w:rPr>
              <w:t>Actual(GAAP)</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SBC</w:t>
            </w:r>
          </w:p>
        </w:tc>
        <w:tc>
          <w:tcPr>
            <w:tcW w:w="14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5"/>
              </w:rPr>
              <w:t>(Non-GAAP)</w:t>
            </w: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Actual(GAAP)</w:t>
            </w:r>
          </w:p>
        </w:tc>
        <w:tc>
          <w:tcPr>
            <w:tcW w:w="20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SBC</w:t>
            </w:r>
          </w:p>
        </w:tc>
        <w:tc>
          <w:tcPr>
            <w:tcW w:w="10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w w:val="95"/>
              </w:rPr>
              <w:t>(Non-GAAP)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left="355"/>
              <w:spacing w:after="0"/>
              <w:rPr>
                <w:sz w:val="20"/>
                <w:szCs w:val="20"/>
                <w:color w:val="auto"/>
              </w:rPr>
            </w:pPr>
            <w:r>
              <w:rPr>
                <w:rFonts w:ascii="Arial" w:cs="Arial" w:eastAsia="Arial" w:hAnsi="Arial"/>
                <w:sz w:val="15"/>
                <w:szCs w:val="15"/>
                <w:i w:val="1"/>
                <w:iCs w:val="1"/>
                <w:color w:val="auto"/>
                <w:w w:val="90"/>
              </w:rPr>
              <w:t>(in thousands)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53,795</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53,795</w:t>
            </w:r>
          </w:p>
        </w:tc>
        <w:tc>
          <w:tcPr>
            <w:tcW w:w="2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19,314</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(29,618)</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(11,262)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24,177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(7,651)</w:t>
            </w:r>
          </w:p>
        </w:tc>
        <w:tc>
          <w:tcPr>
            <w:tcW w:w="3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(3,619)</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(3,831)</w:t>
            </w:r>
          </w:p>
        </w:tc>
        <w:tc>
          <w:tcPr>
            <w:tcW w:w="3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(4,422)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Adjusted operating income in the nine months of 2018, as compared with the comparable period in 2017, reflected an increase of $1.1 million in stock-based compensation expense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4" w:lineRule="exact"/>
        <w:rPr>
          <w:sz w:val="20"/>
          <w:szCs w:val="20"/>
          <w:color w:val="auto"/>
        </w:rPr>
      </w:pPr>
    </w:p>
    <w:p>
      <w:pPr>
        <w:jc w:val="both"/>
        <w:ind w:right="60" w:firstLine="324"/>
        <w:spacing w:after="0" w:line="283"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There were no significant changes in our critical accounting estimates during the first nine months of 2018 to augment the critical accounting estimates disclosed in “Item 7. Management’s Discussion and Analysis of Financial Condition and Results of Operations</w:t>
      </w:r>
    </w:p>
    <w:p>
      <w:pPr>
        <w:spacing w:after="0" w:line="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Significant Judgments and Estimates” included in our Annual Report, except we note that:</w:t>
      </w:r>
    </w:p>
    <w:p>
      <w:pPr>
        <w:spacing w:after="0" w:line="151" w:lineRule="exact"/>
        <w:rPr>
          <w:rFonts w:ascii="Arial" w:cs="Arial" w:eastAsia="Arial" w:hAnsi="Arial"/>
          <w:sz w:val="18"/>
          <w:szCs w:val="18"/>
          <w:color w:val="auto"/>
        </w:rPr>
      </w:pPr>
    </w:p>
    <w:p>
      <w:pPr>
        <w:jc w:val="both"/>
        <w:ind w:left="660" w:right="60" w:hanging="328"/>
        <w:spacing w:after="0" w:line="291"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Effective January 1, 2018, we adopted Accounting Standards Codification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Accounting Standards Board regarding the recognition, presentation and disclosure of revenue in our financial statements. Adoption of this new revenue standard did not impact our financial statements presented previously. We recognize revenue when control of the promised goods or services is transferred to a customer, in an amount that reflects the consideration we expect to be entitled to in exchange for those goods or services. For additional information with respect to Topic 606, please see “Recent Accounting Pronouncements─Recently Adopted Accounting Pronouncements’ in note 2 to our condensed consolidated financial statements included elsewhere in this report.</w:t>
      </w:r>
    </w:p>
    <w:p>
      <w:pPr>
        <w:spacing w:after="0" w:line="106" w:lineRule="exact"/>
        <w:rPr>
          <w:rFonts w:ascii="Arial" w:cs="Arial" w:eastAsia="Arial" w:hAnsi="Arial"/>
          <w:sz w:val="16"/>
          <w:szCs w:val="16"/>
          <w:color w:val="auto"/>
        </w:rPr>
      </w:pPr>
    </w:p>
    <w:p>
      <w:pPr>
        <w:jc w:val="both"/>
        <w:ind w:left="660" w:right="60" w:hanging="328"/>
        <w:spacing w:after="0" w:line="259"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Please see note 14 to our condensed consolidated financial statements included elsewhere in this report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a presentation of weighted-average assumptions used in the Black-Scholes option pricing model to determine the fair value of stock option grants made during the first nine months of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80" w:type="dxa"/>
            <w:vAlign w:val="bottom"/>
            <w:gridSpan w:val="4"/>
          </w:tcPr>
          <w:p>
            <w:pPr>
              <w:jc w:val="center"/>
              <w:ind w:left="326"/>
              <w:spacing w:after="0"/>
              <w:rPr>
                <w:sz w:val="20"/>
                <w:szCs w:val="20"/>
                <w:color w:val="auto"/>
              </w:rPr>
            </w:pPr>
            <w:r>
              <w:rPr>
                <w:rFonts w:ascii="Arial" w:cs="Arial" w:eastAsia="Arial" w:hAnsi="Arial"/>
                <w:sz w:val="15"/>
                <w:szCs w:val="15"/>
                <w:b w:val="1"/>
                <w:bCs w:val="1"/>
                <w:color w:val="auto"/>
                <w:w w:val="91"/>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6"/>
          </w:tcPr>
          <w:p>
            <w:pPr>
              <w:jc w:val="center"/>
              <w:ind w:right="180"/>
              <w:spacing w:after="0"/>
              <w:rPr>
                <w:sz w:val="20"/>
                <w:szCs w:val="20"/>
                <w:color w:val="auto"/>
              </w:rPr>
            </w:pPr>
            <w:r>
              <w:rPr>
                <w:rFonts w:ascii="Arial" w:cs="Arial" w:eastAsia="Arial" w:hAnsi="Arial"/>
                <w:sz w:val="15"/>
                <w:szCs w:val="15"/>
                <w:b w:val="1"/>
                <w:bCs w:val="1"/>
                <w:color w:val="auto"/>
                <w:w w:val="91"/>
              </w:rPr>
              <w:t>Nine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246"/>
              <w:spacing w:after="0"/>
              <w:rPr>
                <w:sz w:val="20"/>
                <w:szCs w:val="20"/>
                <w:color w:val="auto"/>
              </w:rPr>
            </w:pPr>
            <w:r>
              <w:rPr>
                <w:rFonts w:ascii="Arial" w:cs="Arial" w:eastAsia="Arial" w:hAnsi="Arial"/>
                <w:sz w:val="15"/>
                <w:szCs w:val="15"/>
                <w:b w:val="1"/>
                <w:bCs w:val="1"/>
                <w:color w:val="auto"/>
                <w:w w:val="89"/>
              </w:rPr>
              <w:t>September 30,</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5"/>
                <w:szCs w:val="15"/>
                <w:b w:val="1"/>
                <w:bCs w:val="1"/>
                <w:color w:val="auto"/>
                <w:w w:val="87"/>
              </w:rPr>
              <w:t>September 30,</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100.0%</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Equity income in net income of affiliates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(26.2)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 (loss) attributable to ACM Research, Inc.</w:t>
            </w:r>
          </w:p>
        </w:tc>
        <w:tc>
          <w:tcPr>
            <w:tcW w:w="7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7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ind w:left="5600"/>
              <w:spacing w:after="0"/>
              <w:rPr>
                <w:sz w:val="20"/>
                <w:szCs w:val="20"/>
                <w:color w:val="auto"/>
              </w:rPr>
            </w:pPr>
            <w:r>
              <w:rPr>
                <w:rFonts w:ascii="Arial" w:cs="Arial" w:eastAsia="Arial" w:hAnsi="Arial"/>
                <w:sz w:val="18"/>
                <w:szCs w:val="18"/>
                <w:color w:val="auto"/>
              </w:rPr>
              <w:t>29</w:t>
            </w:r>
          </w:p>
        </w:tc>
        <w:tc>
          <w:tcPr>
            <w:tcW w:w="72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557" w:right="17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b w:val="1"/>
          <w:bCs w:val="1"/>
          <w:i w:val="1"/>
          <w:iCs w:val="1"/>
          <w:color w:val="auto"/>
        </w:rPr>
        <w:t>Comparison of Three Months Ended September 30, 2018 and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439"/>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3"/>
              <w:spacing w:after="0" w:line="162" w:lineRule="exact"/>
              <w:rPr>
                <w:sz w:val="20"/>
                <w:szCs w:val="20"/>
                <w:color w:val="auto"/>
              </w:rPr>
            </w:pPr>
            <w:r>
              <w:rPr>
                <w:rFonts w:ascii="Arial" w:cs="Arial" w:eastAsia="Arial" w:hAnsi="Arial"/>
                <w:sz w:val="15"/>
                <w:szCs w:val="15"/>
                <w:color w:val="auto"/>
              </w:rPr>
              <w:t>2018</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9"/>
              <w:spacing w:after="0" w:line="162" w:lineRule="exact"/>
              <w:rPr>
                <w:sz w:val="20"/>
                <w:szCs w:val="20"/>
                <w:color w:val="auto"/>
              </w:rPr>
            </w:pPr>
            <w:r>
              <w:rPr>
                <w:rFonts w:ascii="Arial" w:cs="Arial" w:eastAsia="Arial" w:hAnsi="Arial"/>
                <w:sz w:val="15"/>
                <w:szCs w:val="15"/>
                <w:i w:val="1"/>
                <w:iCs w:val="1"/>
                <w:color w:val="auto"/>
                <w:w w:val="95"/>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2017 v 2018</w:t>
            </w:r>
          </w:p>
        </w:tc>
        <w:tc>
          <w:tcPr>
            <w:tcW w:w="140" w:type="dxa"/>
            <w:vAlign w:val="bottom"/>
          </w:tcPr>
          <w:p>
            <w:pPr>
              <w:spacing w:after="0"/>
              <w:rPr>
                <w:sz w:val="14"/>
                <w:szCs w:val="14"/>
                <w:color w:val="auto"/>
              </w:rPr>
            </w:pPr>
          </w:p>
        </w:tc>
      </w:tr>
      <w:tr>
        <w:trPr>
          <w:trHeight w:val="16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i w:val="1"/>
                <w:iCs w:val="1"/>
                <w:color w:val="auto"/>
              </w:rPr>
              <w:t>(in</w:t>
            </w:r>
          </w:p>
        </w:tc>
        <w:tc>
          <w:tcPr>
            <w:tcW w:w="620" w:type="dxa"/>
            <w:vAlign w:val="bottom"/>
            <w:gridSpan w:val="2"/>
          </w:tcPr>
          <w:p>
            <w:pPr>
              <w:jc w:val="right"/>
              <w:ind w:right="60"/>
              <w:spacing w:after="0" w:line="162" w:lineRule="exact"/>
              <w:rPr>
                <w:sz w:val="20"/>
                <w:szCs w:val="20"/>
                <w:color w:val="auto"/>
              </w:rPr>
            </w:pPr>
            <w:r>
              <w:rPr>
                <w:rFonts w:ascii="Arial" w:cs="Arial" w:eastAsia="Arial" w:hAnsi="Arial"/>
                <w:sz w:val="15"/>
                <w:szCs w:val="15"/>
                <w:i w:val="1"/>
                <w:iCs w:val="1"/>
                <w:color w:val="auto"/>
                <w:w w:val="72"/>
              </w:rPr>
              <w:t>thousands)</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373.9%</w:t>
            </w:r>
          </w:p>
        </w:tc>
      </w:tr>
    </w:tbl>
    <w:p>
      <w:pPr>
        <w:spacing w:after="0" w:line="140"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The increase in revenue of $18.2 million in the three months ended September 30, 2018 as compared to the same period in 2017 reflected increases in revenue from existing customers of $18.6 million from single-wafer cleaning equipment, offset in part by a $302,000 decrease in revenue from service and parts. The revenue increase reflected an increased number of tools shipped, coupled with higher selling prices associated with the equipment sold and a customer acceptance from prior period shipment received and recognized as revenue during the three month ended September 30, 2018. All of the revenue in the three months ended September 30, 2018 was from existing customers, as compared to $1.2 million from a new customer in the comparable period in 2017.</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and Gross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ind w:left="320"/>
              <w:spacing w:after="0"/>
              <w:rPr>
                <w:sz w:val="20"/>
                <w:szCs w:val="20"/>
                <w:color w:val="auto"/>
              </w:rPr>
            </w:pPr>
            <w:r>
              <w:rPr>
                <w:rFonts w:ascii="Arial" w:cs="Arial" w:eastAsia="Arial" w:hAnsi="Arial"/>
                <w:sz w:val="15"/>
                <w:szCs w:val="15"/>
                <w:b w:val="1"/>
                <w:bCs w:val="1"/>
                <w:color w:val="auto"/>
              </w:rPr>
              <w:t>Three Months Ended</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560"/>
              <w:spacing w:after="0"/>
              <w:rPr>
                <w:sz w:val="20"/>
                <w:szCs w:val="20"/>
                <w:color w:val="auto"/>
              </w:rPr>
            </w:pPr>
            <w:r>
              <w:rPr>
                <w:rFonts w:ascii="Arial" w:cs="Arial" w:eastAsia="Arial" w:hAnsi="Arial"/>
                <w:sz w:val="15"/>
                <w:szCs w:val="15"/>
                <w:b w:val="1"/>
                <w:bCs w:val="1"/>
                <w:color w:val="auto"/>
                <w:w w:val="89"/>
              </w:rPr>
              <w:t>September 30,</w:t>
            </w:r>
          </w:p>
        </w:tc>
        <w:tc>
          <w:tcPr>
            <w:tcW w:w="7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0"/>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line="162" w:lineRule="exact"/>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98"/>
              <w:spacing w:after="0" w:line="162" w:lineRule="exact"/>
              <w:rPr>
                <w:sz w:val="20"/>
                <w:szCs w:val="20"/>
                <w:color w:val="auto"/>
              </w:rPr>
            </w:pPr>
            <w:r>
              <w:rPr>
                <w:rFonts w:ascii="Arial" w:cs="Arial" w:eastAsia="Arial" w:hAnsi="Arial"/>
                <w:sz w:val="15"/>
                <w:szCs w:val="15"/>
                <w:b w:val="1"/>
                <w:bCs w:val="1"/>
                <w:color w:val="auto"/>
              </w:rPr>
              <w:t>2017 v 2018</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ind w:left="320"/>
              <w:spacing w:after="0"/>
              <w:rPr>
                <w:sz w:val="20"/>
                <w:szCs w:val="20"/>
                <w:color w:val="auto"/>
              </w:rPr>
            </w:pPr>
            <w:r>
              <w:rPr>
                <w:rFonts w:ascii="Arial" w:cs="Arial" w:eastAsia="Arial" w:hAnsi="Arial"/>
                <w:sz w:val="15"/>
                <w:szCs w:val="15"/>
                <w:i w:val="1"/>
                <w:iCs w:val="1"/>
                <w:color w:val="auto"/>
              </w:rPr>
              <w:t>(dollars in thousands)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2,692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w w:val="84"/>
              </w:rPr>
              <w:t>2,199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44.96%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increased $10.2 million and gross profit increased $8.1 million in the three months ended September 30, 2018, as compared to the corresponding period in 2017, primarily due to increased sales volume. Gross margin remained roughly constant during the three months ended September 30, 2018, from the comparable period in 2017.</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080" w:type="dxa"/>
            <w:vAlign w:val="bottom"/>
            <w:gridSpan w:val="4"/>
          </w:tcPr>
          <w:p>
            <w:pPr>
              <w:jc w:val="center"/>
              <w:ind w:left="319"/>
              <w:spacing w:after="0"/>
              <w:rPr>
                <w:sz w:val="20"/>
                <w:szCs w:val="20"/>
                <w:color w:val="auto"/>
              </w:rPr>
            </w:pPr>
            <w:r>
              <w:rPr>
                <w:rFonts w:ascii="Arial" w:cs="Arial" w:eastAsia="Arial" w:hAnsi="Arial"/>
                <w:sz w:val="15"/>
                <w:szCs w:val="15"/>
                <w:b w:val="1"/>
                <w:bCs w:val="1"/>
                <w:color w:val="auto"/>
                <w:w w:val="91"/>
              </w:rPr>
              <w:t>Three Months Ended</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06"/>
              <w:spacing w:after="0"/>
              <w:rPr>
                <w:sz w:val="20"/>
                <w:szCs w:val="20"/>
                <w:color w:val="auto"/>
              </w:rPr>
            </w:pPr>
            <w:r>
              <w:rPr>
                <w:rFonts w:ascii="Arial" w:cs="Arial" w:eastAsia="Arial" w:hAnsi="Arial"/>
                <w:sz w:val="15"/>
                <w:szCs w:val="15"/>
                <w:b w:val="1"/>
                <w:bCs w:val="1"/>
                <w:color w:val="auto"/>
                <w:w w:val="87"/>
              </w:rPr>
              <w:t>September 30,</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tcPr>
          <w:p>
            <w:pPr>
              <w:ind w:left="1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101"/>
              <w:spacing w:after="0" w:line="162" w:lineRule="exact"/>
              <w:rPr>
                <w:sz w:val="20"/>
                <w:szCs w:val="20"/>
                <w:color w:val="auto"/>
              </w:rPr>
            </w:pPr>
            <w:r>
              <w:rPr>
                <w:rFonts w:ascii="Arial" w:cs="Arial" w:eastAsia="Arial" w:hAnsi="Arial"/>
                <w:sz w:val="15"/>
                <w:szCs w:val="15"/>
                <w:b w:val="1"/>
                <w:bCs w:val="1"/>
                <w:color w:val="auto"/>
              </w:rPr>
              <w:t>2017 v 2018</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gridSpan w:val="3"/>
          </w:tcPr>
          <w:p>
            <w:pPr>
              <w:jc w:val="center"/>
              <w:ind w:right="206"/>
              <w:spacing w:after="0"/>
              <w:rPr>
                <w:sz w:val="20"/>
                <w:szCs w:val="20"/>
                <w:color w:val="auto"/>
              </w:rPr>
            </w:pPr>
            <w:r>
              <w:rPr>
                <w:rFonts w:ascii="Arial" w:cs="Arial" w:eastAsia="Arial" w:hAnsi="Arial"/>
                <w:sz w:val="15"/>
                <w:szCs w:val="15"/>
                <w:i w:val="1"/>
                <w:iCs w:val="1"/>
                <w:color w:val="auto"/>
                <w:w w:val="90"/>
              </w:rPr>
              <w:t>(in thousands)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3,229</w:t>
            </w:r>
          </w:p>
        </w:tc>
        <w:tc>
          <w:tcPr>
            <w:tcW w:w="960" w:type="dxa"/>
            <w:vAlign w:val="bottom"/>
            <w:gridSpan w:val="2"/>
            <w:shd w:val="clear" w:color="auto" w:fill="CCEEFF"/>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2,264</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1,390</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1,264</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6,883</w:t>
            </w:r>
          </w:p>
        </w:tc>
        <w:tc>
          <w:tcPr>
            <w:tcW w:w="9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$2.2 million in the three months ended September 30, 2018, as compared to the corresponding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increases in personnel costs and sales commissions. Sales and marketing expense consists primarily of:</w:t>
      </w:r>
    </w:p>
    <w:p>
      <w:pPr>
        <w:spacing w:after="0" w:line="11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increased $1.1 million in the three months ended September 30, 2018 as compared to the corresponding period in 2017,</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as a result of increases in testing fees and personnel costs. Research and development expense represented 9.8% and 24.7% of our revenue in the three months ended September 30, 2018 and 2017, respectively. Without reduction by grant amounts received from PRC governmental authorities (see “—Key Components of Results of Operations—PRC Government Research and Development Funding”), gross research and development expense totaled $2.6 million, or 11.5% of revenue, in the three months ended September 30, 2018 and $1.2 million, or 25.2% of revenue, in the three months ended September 30, 2017. Research and development expense relates to the development of new products and processes and encompasses our research, development and customer support activities. Research and development expense consists primarily of:</w:t>
      </w:r>
    </w:p>
    <w:p>
      <w:pPr>
        <w:spacing w:after="0" w:line="72" w:lineRule="exact"/>
        <w:rPr>
          <w:sz w:val="20"/>
          <w:szCs w:val="20"/>
          <w:color w:val="auto"/>
        </w:rPr>
      </w:pPr>
    </w:p>
    <w:p>
      <w:pPr>
        <w:ind w:left="660" w:hanging="328"/>
        <w:spacing w:after="0" w:line="207"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compensation of personnel associated with our research and development activities, including stock based compensation;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costs of components and other research and development supplies;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travel expense associated with customer support;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amortization of costs of software used for research and development purposes; and </w:t>
      </w:r>
      <w:r>
        <w:rPr>
          <w:rFonts w:ascii="MS PGothic" w:cs="MS PGothic" w:eastAsia="MS PGothic" w:hAnsi="MS PGothic"/>
          <w:sz w:val="18"/>
          <w:szCs w:val="18"/>
          <w:color w:val="auto"/>
        </w:rPr>
        <w:t> </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slightly in the three months ended September 30, 2018 as compared to the corresponding period in 2017.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Expenses in the third quarter of 2017 were elevated in part due to IPO-related expenses. General and administrative expense consists primarily of:</w:t>
      </w:r>
    </w:p>
    <w:p>
      <w:pPr>
        <w:spacing w:after="0" w:line="174" w:lineRule="exact"/>
        <w:rPr>
          <w:sz w:val="20"/>
          <w:szCs w:val="20"/>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expect that, for the foreseeable future, general and administrative expenses will increase in absolute dollars, as we incur additional costs associated with growing our business and operating as a public company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and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5"/>
                <w:szCs w:val="15"/>
                <w:color w:val="auto"/>
              </w:rPr>
            </w:pPr>
          </w:p>
        </w:tc>
        <w:tc>
          <w:tcPr>
            <w:tcW w:w="2120" w:type="dxa"/>
            <w:vAlign w:val="bottom"/>
            <w:gridSpan w:val="4"/>
          </w:tcPr>
          <w:p>
            <w:pPr>
              <w:jc w:val="center"/>
              <w:ind w:left="281"/>
              <w:spacing w:after="0"/>
              <w:rPr>
                <w:sz w:val="20"/>
                <w:szCs w:val="20"/>
                <w:color w:val="auto"/>
              </w:rPr>
            </w:pPr>
            <w:r>
              <w:rPr>
                <w:rFonts w:ascii="Arial" w:cs="Arial" w:eastAsia="Arial" w:hAnsi="Arial"/>
                <w:sz w:val="15"/>
                <w:szCs w:val="15"/>
                <w:b w:val="1"/>
                <w:bCs w:val="1"/>
                <w:color w:val="auto"/>
                <w:w w:val="91"/>
              </w:rPr>
              <w:t>Three Months Ended</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5"/>
                <w:szCs w:val="15"/>
                <w:b w:val="1"/>
                <w:bCs w:val="1"/>
                <w:color w:val="auto"/>
                <w:w w:val="87"/>
              </w:rPr>
              <w:t>September 30,</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 Change</w:t>
            </w:r>
          </w:p>
        </w:tc>
      </w:tr>
      <w:tr>
        <w:trPr>
          <w:trHeight w:val="169"/>
        </w:trPr>
        <w:tc>
          <w:tcPr>
            <w:tcW w:w="74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119"/>
              <w:spacing w:after="0" w:line="162" w:lineRule="exact"/>
              <w:rPr>
                <w:sz w:val="20"/>
                <w:szCs w:val="20"/>
                <w:color w:val="auto"/>
              </w:rPr>
            </w:pPr>
            <w:r>
              <w:rPr>
                <w:rFonts w:ascii="Arial" w:cs="Arial" w:eastAsia="Arial" w:hAnsi="Arial"/>
                <w:sz w:val="15"/>
                <w:szCs w:val="15"/>
                <w:b w:val="1"/>
                <w:bCs w:val="1"/>
                <w:color w:val="auto"/>
              </w:rPr>
              <w:t>2017 v 2018</w:t>
            </w:r>
          </w:p>
        </w:tc>
        <w:tc>
          <w:tcPr>
            <w:tcW w:w="140" w:type="dxa"/>
            <w:vAlign w:val="bottom"/>
          </w:tcPr>
          <w:p>
            <w:pPr>
              <w:spacing w:after="0"/>
              <w:rPr>
                <w:sz w:val="14"/>
                <w:szCs w:val="14"/>
                <w:color w:val="auto"/>
              </w:rPr>
            </w:pPr>
          </w:p>
        </w:tc>
      </w:tr>
      <w:tr>
        <w:trPr>
          <w:trHeight w:val="162"/>
        </w:trPr>
        <w:tc>
          <w:tcPr>
            <w:tcW w:w="7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jc w:val="right"/>
              <w:ind w:right="59"/>
              <w:spacing w:after="0" w:line="162" w:lineRule="exact"/>
              <w:rPr>
                <w:sz w:val="20"/>
                <w:szCs w:val="20"/>
                <w:color w:val="auto"/>
              </w:rPr>
            </w:pPr>
            <w:r>
              <w:rPr>
                <w:rFonts w:ascii="Arial" w:cs="Arial" w:eastAsia="Arial" w:hAnsi="Arial"/>
                <w:sz w:val="15"/>
                <w:szCs w:val="15"/>
                <w:i w:val="1"/>
                <w:iCs w:val="1"/>
                <w:color w:val="auto"/>
              </w:rPr>
              <w:t>(in</w:t>
            </w:r>
          </w:p>
        </w:tc>
        <w:tc>
          <w:tcPr>
            <w:tcW w:w="1000" w:type="dxa"/>
            <w:vAlign w:val="bottom"/>
            <w:gridSpan w:val="2"/>
          </w:tcPr>
          <w:p>
            <w:pPr>
              <w:jc w:val="right"/>
              <w:ind w:right="359"/>
              <w:spacing w:after="0" w:line="162" w:lineRule="exact"/>
              <w:rPr>
                <w:sz w:val="20"/>
                <w:szCs w:val="20"/>
                <w:color w:val="auto"/>
              </w:rPr>
            </w:pPr>
            <w:r>
              <w:rPr>
                <w:rFonts w:ascii="Arial" w:cs="Arial" w:eastAsia="Arial" w:hAnsi="Arial"/>
                <w:sz w:val="15"/>
                <w:szCs w:val="15"/>
                <w:i w:val="1"/>
                <w:iCs w:val="1"/>
                <w:color w:val="auto"/>
                <w:w w:val="72"/>
              </w:rPr>
              <w:t>thousands)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w w:val="99"/>
              </w:rPr>
              <w:t>(109)</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902</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(477.4)</w:t>
            </w:r>
          </w:p>
        </w:tc>
      </w:tr>
    </w:tbl>
    <w:p>
      <w:pPr>
        <w:spacing w:after="0" w:line="13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Interest expense consists of interest incurred from outstanding short-term borrowings. Interest expense increased by $78,000 in the three months ended September 30, 2018 from $31,000 in the three months ended September 30, 2017, principally as a result of increased borrowings under short-term bank loans. We earn interest income from depositary accounts. Interest income was nominal in the three months ended September 30, 2018 and 2017.</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jc w:val="both"/>
        <w:ind w:firstLine="324"/>
        <w:spacing w:after="0" w:line="255" w:lineRule="auto"/>
        <w:rPr>
          <w:sz w:val="20"/>
          <w:szCs w:val="20"/>
          <w:color w:val="auto"/>
        </w:rPr>
      </w:pPr>
      <w:r>
        <w:rPr>
          <w:rFonts w:ascii="Arial" w:cs="Arial" w:eastAsia="Arial" w:hAnsi="Arial"/>
          <w:sz w:val="18"/>
          <w:szCs w:val="18"/>
          <w:color w:val="auto"/>
        </w:rPr>
        <w:t>Non-operating income (expense), net primarily reflects (a) gains or losses recognized from the effect of exchange rates on our foreign currency-denominated asset and liability balances and (b) depreciation of assets acquired with government subsidies, as described under “—Key Components of Results of Operations— PRC Government Research and Development Funding” above. Our non-operating income was $902,000 in the three months ended September 30, 2018 due to a weaker RMB to US dollar exchange rate, compared to a $239,000 loss in the three months ended September 30, 2017 due to a stronger RMB to US dollar exchange rate.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6"/>
          </w:tcPr>
          <w:p>
            <w:pPr>
              <w:ind w:left="80"/>
              <w:spacing w:after="0"/>
              <w:rPr>
                <w:sz w:val="20"/>
                <w:szCs w:val="20"/>
                <w:color w:val="auto"/>
              </w:rPr>
            </w:pPr>
            <w:r>
              <w:rPr>
                <w:rFonts w:ascii="Arial" w:cs="Arial" w:eastAsia="Arial" w:hAnsi="Arial"/>
                <w:sz w:val="15"/>
                <w:szCs w:val="15"/>
                <w:b w:val="1"/>
                <w:bCs w:val="1"/>
                <w:color w:val="auto"/>
                <w:w w:val="97"/>
              </w:rPr>
              <w:t>Three Months Ended September 30,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5"/>
                <w:szCs w:val="15"/>
                <w:i w:val="1"/>
                <w:iCs w:val="1"/>
                <w:color w:val="auto"/>
                <w:w w:val="94"/>
              </w:rPr>
              <w:t>(in 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(461)</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income tax expense</w:t>
            </w: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(461)</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state</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Total deferred income benefit</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income tax (expense) benefit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(461)</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December 22, 2017, the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w:t>
      </w:r>
    </w:p>
    <w:p>
      <w:pPr>
        <w:spacing w:after="0" w:line="99" w:lineRule="exact"/>
        <w:rPr>
          <w:sz w:val="20"/>
          <w:szCs w:val="20"/>
          <w:color w:val="auto"/>
        </w:rPr>
      </w:pPr>
    </w:p>
    <w:p>
      <w:pPr>
        <w:jc w:val="both"/>
        <w:ind w:firstLine="324"/>
        <w:spacing w:after="0" w:line="335" w:lineRule="auto"/>
        <w:rPr>
          <w:sz w:val="20"/>
          <w:szCs w:val="20"/>
          <w:color w:val="auto"/>
        </w:rPr>
      </w:pPr>
      <w:r>
        <w:rPr>
          <w:rFonts w:ascii="Arial" w:cs="Arial" w:eastAsia="Arial" w:hAnsi="Arial"/>
          <w:sz w:val="15"/>
          <w:szCs w:val="15"/>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the first nine months of 2018.</w:t>
      </w:r>
    </w:p>
    <w:p>
      <w:pPr>
        <w:spacing w:after="0" w:line="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10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i w:val="1"/>
          <w:iCs w:val="1"/>
          <w:color w:val="auto"/>
        </w:rPr>
        <w:t>Comparison of Nine Months Ended September 30, 2018 and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5"/>
                <w:szCs w:val="15"/>
                <w:b w:val="1"/>
                <w:bCs w:val="1"/>
                <w:color w:val="auto"/>
                <w:w w:val="89"/>
              </w:rPr>
              <w:t>Nine Months Ended September 30,</w:t>
            </w:r>
          </w:p>
        </w:tc>
        <w:tc>
          <w:tcPr>
            <w:tcW w:w="2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7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2"/>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9"/>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2017 v 2018</w:t>
            </w:r>
          </w:p>
        </w:tc>
        <w:tc>
          <w:tcPr>
            <w:tcW w:w="140" w:type="dxa"/>
            <w:vAlign w:val="bottom"/>
          </w:tcPr>
          <w:p>
            <w:pPr>
              <w:spacing w:after="0"/>
              <w:rPr>
                <w:sz w:val="14"/>
                <w:szCs w:val="14"/>
                <w:color w:val="auto"/>
              </w:rPr>
            </w:pPr>
          </w:p>
        </w:tc>
      </w:tr>
      <w:tr>
        <w:trPr>
          <w:trHeight w:val="162"/>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2"/>
              <w:spacing w:after="0" w:line="162" w:lineRule="exact"/>
              <w:rPr>
                <w:sz w:val="20"/>
                <w:szCs w:val="20"/>
                <w:color w:val="auto"/>
              </w:rPr>
            </w:pPr>
            <w:r>
              <w:rPr>
                <w:rFonts w:ascii="Arial" w:cs="Arial" w:eastAsia="Arial" w:hAnsi="Arial"/>
                <w:sz w:val="15"/>
                <w:szCs w:val="15"/>
                <w:i w:val="1"/>
                <w:iCs w:val="1"/>
                <w:color w:val="auto"/>
              </w:rPr>
              <w:t>(in</w:t>
            </w:r>
          </w:p>
        </w:tc>
        <w:tc>
          <w:tcPr>
            <w:tcW w:w="600" w:type="dxa"/>
            <w:vAlign w:val="bottom"/>
            <w:gridSpan w:val="2"/>
          </w:tcPr>
          <w:p>
            <w:pPr>
              <w:jc w:val="right"/>
              <w:ind w:right="40"/>
              <w:spacing w:after="0" w:line="162" w:lineRule="exact"/>
              <w:rPr>
                <w:sz w:val="20"/>
                <w:szCs w:val="20"/>
                <w:color w:val="auto"/>
              </w:rPr>
            </w:pPr>
            <w:r>
              <w:rPr>
                <w:rFonts w:ascii="Arial" w:cs="Arial" w:eastAsia="Arial" w:hAnsi="Arial"/>
                <w:sz w:val="15"/>
                <w:szCs w:val="15"/>
                <w:i w:val="1"/>
                <w:iCs w:val="1"/>
                <w:color w:val="auto"/>
                <w:w w:val="72"/>
              </w:rPr>
              <w:t>thousands)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178.5%</w:t>
            </w:r>
          </w:p>
        </w:tc>
      </w:tr>
    </w:tbl>
    <w:p>
      <w:pPr>
        <w:spacing w:after="0" w:line="1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increase in revenue of $34.4 million in the nine months ended September 30, 2018 reflected increased revenue from single-wafer cleaning equipment of $36.8 million, offset in part by a $2.3 million decrease in revenue from service and parts. We recognized revenue from sales of single-wafer wet cleaning equipment totaling $51.6 million, or 96.0% of total revenue, for the first nine months of 2018 and $14.8 million, or 76.6% of total revenue, for the nine months of 2017. The increases are from our existing customers.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 of our Annual Report.</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of our sales in 2017 and the first nine months of 2018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and Gross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5"/>
                <w:szCs w:val="15"/>
                <w:b w:val="1"/>
                <w:bCs w:val="1"/>
                <w:color w:val="auto"/>
                <w:w w:val="89"/>
              </w:rPr>
              <w:t>Nine Months Ended September 30,</w:t>
            </w:r>
          </w:p>
        </w:tc>
        <w:tc>
          <w:tcPr>
            <w:tcW w:w="12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 Change</w:t>
            </w:r>
          </w:p>
        </w:tc>
      </w:tr>
      <w:tr>
        <w:trPr>
          <w:trHeight w:val="169"/>
        </w:trPr>
        <w:tc>
          <w:tcPr>
            <w:tcW w:w="7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19"/>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16"/>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98"/>
              <w:spacing w:after="0" w:line="162" w:lineRule="exact"/>
              <w:rPr>
                <w:sz w:val="20"/>
                <w:szCs w:val="20"/>
                <w:color w:val="auto"/>
              </w:rPr>
            </w:pPr>
            <w:r>
              <w:rPr>
                <w:rFonts w:ascii="Arial" w:cs="Arial" w:eastAsia="Arial" w:hAnsi="Arial"/>
                <w:sz w:val="15"/>
                <w:szCs w:val="15"/>
                <w:b w:val="1"/>
                <w:bCs w:val="1"/>
                <w:color w:val="auto"/>
              </w:rPr>
              <w:t>2017 v 2018</w:t>
            </w:r>
          </w:p>
        </w:tc>
        <w:tc>
          <w:tcPr>
            <w:tcW w:w="140" w:type="dxa"/>
            <w:vAlign w:val="bottom"/>
          </w:tcPr>
          <w:p>
            <w:pPr>
              <w:spacing w:after="0"/>
              <w:rPr>
                <w:sz w:val="14"/>
                <w:szCs w:val="14"/>
                <w:color w:val="auto"/>
              </w:rPr>
            </w:pPr>
          </w:p>
        </w:tc>
      </w:tr>
      <w:tr>
        <w:trPr>
          <w:trHeight w:val="162"/>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9"/>
              <w:spacing w:after="0" w:line="162" w:lineRule="exact"/>
              <w:rPr>
                <w:sz w:val="20"/>
                <w:szCs w:val="20"/>
                <w:color w:val="auto"/>
              </w:rPr>
            </w:pPr>
            <w:r>
              <w:rPr>
                <w:rFonts w:ascii="Arial" w:cs="Arial" w:eastAsia="Arial" w:hAnsi="Arial"/>
                <w:sz w:val="15"/>
                <w:szCs w:val="15"/>
                <w:i w:val="1"/>
                <w:iCs w:val="1"/>
                <w:color w:val="auto"/>
              </w:rPr>
              <w:t>(in</w:t>
            </w: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i w:val="1"/>
                <w:iCs w:val="1"/>
                <w:color w:val="auto"/>
                <w:w w:val="72"/>
              </w:rPr>
              <w:t>thousands)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199.7</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44.86%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increased $18.4 million, and gross profit increased $16.1 million, for the nine months ended September 30, 2018, as compared to the corresponding period in 2017. The increase in gross margin resulted primarily due to the sale of higher-margin SAPS tools and manufacturing efficiency in the three months ended September 30, 2018 as compared to the corresponding period in 2017.</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5"/>
                <w:szCs w:val="15"/>
                <w:b w:val="1"/>
                <w:bCs w:val="1"/>
                <w:color w:val="auto"/>
                <w:w w:val="89"/>
              </w:rPr>
              <w:t>Nine Months Ended September 30,</w:t>
            </w:r>
          </w:p>
        </w:tc>
        <w:tc>
          <w:tcPr>
            <w:tcW w:w="28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 Change</w:t>
            </w: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8"/>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101"/>
              <w:spacing w:after="0" w:line="162" w:lineRule="exact"/>
              <w:rPr>
                <w:sz w:val="20"/>
                <w:szCs w:val="20"/>
                <w:color w:val="auto"/>
              </w:rPr>
            </w:pPr>
            <w:r>
              <w:rPr>
                <w:rFonts w:ascii="Arial" w:cs="Arial" w:eastAsia="Arial" w:hAnsi="Arial"/>
                <w:sz w:val="15"/>
                <w:szCs w:val="15"/>
                <w:b w:val="1"/>
                <w:bCs w:val="1"/>
                <w:color w:val="auto"/>
              </w:rPr>
              <w:t>2017 v 2018</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8"/>
              <w:spacing w:after="0" w:line="162" w:lineRule="exact"/>
              <w:rPr>
                <w:sz w:val="20"/>
                <w:szCs w:val="20"/>
                <w:color w:val="auto"/>
              </w:rPr>
            </w:pPr>
            <w:r>
              <w:rPr>
                <w:rFonts w:ascii="Arial" w:cs="Arial" w:eastAsia="Arial" w:hAnsi="Arial"/>
                <w:sz w:val="15"/>
                <w:szCs w:val="15"/>
                <w:i w:val="1"/>
                <w:iCs w:val="1"/>
                <w:color w:val="auto"/>
              </w:rPr>
              <w:t>(in</w:t>
            </w: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i w:val="1"/>
                <w:iCs w:val="1"/>
                <w:color w:val="auto"/>
                <w:w w:val="72"/>
              </w:rPr>
              <w:t>thousands)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6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20,302</w:t>
            </w:r>
          </w:p>
        </w:tc>
        <w:tc>
          <w:tcPr>
            <w:tcW w:w="6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$4.1 million the nine months ended September 30, 2018 as compared to the corresponding period in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increases in service expenses, personnel costs and sales commissions.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jc w:val="both"/>
        <w:ind w:firstLine="324"/>
        <w:spacing w:after="0" w:line="294"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increased $3.1 million in the nine months ended September 30, 2018 as compared to the corresponding period in 2017,</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as a result of increases in testing fees and personnel costs. Research and development expense represented 11.6% and 15.9% of our revenue in the nine months of each of 2018 and 2017, respectively. Without reduction by grant amounts received from PRC governmental authorities (see “—Key Components of Results of Operations—PRC Government Research and Development Funding”), gross research and development expense totaled $7.0 million, or 13.4% of revenue, in the nine months ended September 30, 2018 and $5.5 million, or 28.5% of revenue, in the nine months ended September 30, 2017.</w:t>
      </w:r>
    </w:p>
    <w:p>
      <w:pPr>
        <w:spacing w:after="0" w:line="1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$1.9 million in the nine months ended September 30, 2018 as compared to the corresponding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resulting from a $877,000 increase in stock-based compensation expenses and from expenses associated with being a publicly traded company. General and administrative expense consists primarily of:</w:t>
      </w:r>
    </w:p>
    <w:p>
      <w:pPr>
        <w:spacing w:after="0" w:line="127" w:lineRule="exact"/>
        <w:rPr>
          <w:sz w:val="20"/>
          <w:szCs w:val="20"/>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and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5"/>
                <w:szCs w:val="15"/>
                <w:b w:val="1"/>
                <w:bCs w:val="1"/>
                <w:color w:val="auto"/>
                <w:w w:val="89"/>
              </w:rPr>
              <w:t>Nine Months Ended September 30,</w:t>
            </w: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7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20"/>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17"/>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2017 v 2018</w:t>
            </w:r>
          </w:p>
        </w:tc>
        <w:tc>
          <w:tcPr>
            <w:tcW w:w="140" w:type="dxa"/>
            <w:vAlign w:val="bottom"/>
          </w:tcPr>
          <w:p>
            <w:pPr>
              <w:spacing w:after="0"/>
              <w:rPr>
                <w:sz w:val="14"/>
                <w:szCs w:val="14"/>
                <w:color w:val="auto"/>
              </w:rPr>
            </w:pPr>
          </w:p>
        </w:tc>
      </w:tr>
      <w:tr>
        <w:trPr>
          <w:trHeight w:val="162"/>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0"/>
              <w:spacing w:after="0" w:line="162" w:lineRule="exact"/>
              <w:rPr>
                <w:sz w:val="20"/>
                <w:szCs w:val="20"/>
                <w:color w:val="auto"/>
              </w:rPr>
            </w:pPr>
            <w:r>
              <w:rPr>
                <w:rFonts w:ascii="Arial" w:cs="Arial" w:eastAsia="Arial" w:hAnsi="Arial"/>
                <w:sz w:val="15"/>
                <w:szCs w:val="15"/>
                <w:i w:val="1"/>
                <w:iCs w:val="1"/>
                <w:color w:val="auto"/>
              </w:rPr>
              <w:t>(in</w:t>
            </w: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i w:val="1"/>
                <w:iCs w:val="1"/>
                <w:color w:val="auto"/>
                <w:w w:val="72"/>
              </w:rPr>
              <w:t>thousands)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(344)</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1,213</w:t>
            </w:r>
          </w:p>
        </w:tc>
        <w:tc>
          <w:tcPr>
            <w:tcW w:w="26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(531)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(328.4)</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consists of interest incurred from outstanding short-term borrowings. Interest expense increased by $154,000 in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from $190,000 in the nine months ended September 30, 2017, principally as a result of increased borrowings under short-term bank loans.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earn interest income from depositary accounts. Interest income was nominal in the nine months ended September 30, 2018 and 2017.</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600" w:type="dxa"/>
            <w:vAlign w:val="bottom"/>
            <w:gridSpan w:val="6"/>
          </w:tcPr>
          <w:p>
            <w:pPr>
              <w:ind w:left="120"/>
              <w:spacing w:after="0"/>
              <w:rPr>
                <w:sz w:val="20"/>
                <w:szCs w:val="20"/>
                <w:color w:val="auto"/>
              </w:rPr>
            </w:pPr>
            <w:r>
              <w:rPr>
                <w:rFonts w:ascii="Arial" w:cs="Arial" w:eastAsia="Arial" w:hAnsi="Arial"/>
                <w:sz w:val="15"/>
                <w:szCs w:val="15"/>
                <w:b w:val="1"/>
                <w:bCs w:val="1"/>
                <w:color w:val="auto"/>
                <w:w w:val="99"/>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3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jc w:val="right"/>
              <w:ind w:right="34"/>
              <w:spacing w:after="0"/>
              <w:rPr>
                <w:sz w:val="20"/>
                <w:szCs w:val="20"/>
                <w:color w:val="auto"/>
              </w:rPr>
            </w:pPr>
            <w:r>
              <w:rPr>
                <w:rFonts w:ascii="Arial" w:cs="Arial" w:eastAsia="Arial" w:hAnsi="Arial"/>
                <w:sz w:val="15"/>
                <w:szCs w:val="15"/>
                <w:i w:val="1"/>
                <w:iCs w:val="1"/>
                <w:color w:val="auto"/>
              </w:rPr>
              <w:t>(in</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i w:val="1"/>
                <w:iCs w:val="1"/>
                <w:color w:val="auto"/>
                <w:w w:val="72"/>
              </w:rPr>
              <w:t>thousands)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5340" w:type="dxa"/>
            <w:vAlign w:val="bottom"/>
            <w:gridSpan w:val="2"/>
            <w:shd w:val="clear" w:color="auto" w:fill="CCEEFF"/>
          </w:tcPr>
          <w:p>
            <w:pPr>
              <w:jc w:val="right"/>
              <w:ind w:right="58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U.S. state</w:t>
            </w:r>
          </w:p>
        </w:tc>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45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Total current income tax expense</w:t>
            </w:r>
          </w:p>
        </w:tc>
        <w:tc>
          <w:tcPr>
            <w:tcW w:w="45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4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Foreign</w:t>
            </w:r>
          </w:p>
        </w:tc>
        <w:tc>
          <w:tcPr>
            <w:tcW w:w="45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income expense</w:t>
            </w:r>
          </w:p>
        </w:tc>
        <w:tc>
          <w:tcPr>
            <w:tcW w:w="45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520"/>
              <w:spacing w:after="0"/>
              <w:rPr>
                <w:sz w:val="20"/>
                <w:szCs w:val="20"/>
                <w:color w:val="auto"/>
              </w:rPr>
            </w:pPr>
            <w:r>
              <w:rPr>
                <w:rFonts w:ascii="Arial" w:cs="Arial" w:eastAsia="Arial" w:hAnsi="Arial"/>
                <w:sz w:val="18"/>
                <w:szCs w:val="18"/>
                <w:color w:val="auto"/>
              </w:rPr>
              <w:t>Total current income tax expense</w:t>
            </w:r>
          </w:p>
        </w:tc>
        <w:tc>
          <w:tcPr>
            <w:tcW w:w="5340" w:type="dxa"/>
            <w:vAlign w:val="bottom"/>
            <w:gridSpan w:val="2"/>
          </w:tcPr>
          <w:p>
            <w:pPr>
              <w:jc w:val="right"/>
              <w:ind w:right="58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647</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580" w:type="dxa"/>
            <w:vAlign w:val="bottom"/>
            <w:vMerge w:val="restart"/>
          </w:tcPr>
          <w:p>
            <w:pPr>
              <w:jc w:val="right"/>
              <w:ind w:right="2932"/>
              <w:spacing w:after="0"/>
              <w:rPr>
                <w:sz w:val="20"/>
                <w:szCs w:val="20"/>
                <w:color w:val="auto"/>
              </w:rPr>
            </w:pPr>
            <w:r>
              <w:rPr>
                <w:rFonts w:ascii="Arial" w:cs="Arial" w:eastAsia="Arial" w:hAnsi="Arial"/>
                <w:sz w:val="18"/>
                <w:szCs w:val="18"/>
                <w:color w:val="auto"/>
              </w:rPr>
              <w:t>34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first nine months of 2018, we funded our technology development and operations principally through application of proceeds from the IPO and concurrent private placements in November 2017 and, to a lesser extent, from short-term borrowings by ACM Shanghai from local financial institutions. During the nine-month period, our operations used cash flow of $2.7 million and we did not receive any research and development grants from local and central PRC governmental authorities.</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Sources of Funds</w:t>
      </w:r>
    </w:p>
    <w:p>
      <w:pPr>
        <w:spacing w:after="0" w:line="1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b w:val="1"/>
          <w:bCs w:val="1"/>
          <w:u w:val="single" w:color="auto"/>
          <w:color w:val="auto"/>
        </w:rPr>
        <w:t>Equity and Equity-Related Securities</w:t>
      </w:r>
      <w:r>
        <w:rPr>
          <w:rFonts w:ascii="Arial" w:cs="Arial" w:eastAsia="Arial" w:hAnsi="Arial"/>
          <w:sz w:val="18"/>
          <w:szCs w:val="18"/>
          <w:color w:val="auto"/>
        </w:rPr>
        <w:t>. During the first nine months of 2018, we received proceeds of $511,000 from sales of common stock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option exercises.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Indebtedness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ACM Shanghai is a party to lines of credit with four banks,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Amount</w:t>
            </w:r>
          </w:p>
        </w:tc>
      </w:t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36"/>
              <w:spacing w:after="0" w:line="162" w:lineRule="exact"/>
              <w:rPr>
                <w:sz w:val="20"/>
                <w:szCs w:val="20"/>
                <w:color w:val="auto"/>
              </w:rPr>
            </w:pPr>
            <w:r>
              <w:rPr>
                <w:rFonts w:ascii="Arial" w:cs="Arial" w:eastAsia="Arial" w:hAnsi="Arial"/>
                <w:sz w:val="15"/>
                <w:szCs w:val="15"/>
                <w:b w:val="1"/>
                <w:bCs w:val="1"/>
                <w:color w:val="auto"/>
              </w:rPr>
              <w:t>Maximum</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0"/>
              </w:rPr>
              <w:t>Outstanding</w:t>
            </w:r>
          </w:p>
        </w:tc>
      </w:t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380"/>
              <w:spacing w:after="0" w:line="162" w:lineRule="exact"/>
              <w:rPr>
                <w:sz w:val="20"/>
                <w:szCs w:val="20"/>
                <w:color w:val="auto"/>
              </w:rPr>
            </w:pPr>
            <w:r>
              <w:rPr>
                <w:rFonts w:ascii="Arial" w:cs="Arial" w:eastAsia="Arial" w:hAnsi="Arial"/>
                <w:sz w:val="15"/>
                <w:szCs w:val="15"/>
                <w:b w:val="1"/>
                <w:bCs w:val="1"/>
                <w:color w:val="auto"/>
                <w:w w:val="91"/>
              </w:rPr>
              <w:t>Annual Interest</w:t>
            </w:r>
          </w:p>
        </w:tc>
        <w:tc>
          <w:tcPr>
            <w:tcW w:w="1000" w:type="dxa"/>
            <w:vAlign w:val="bottom"/>
          </w:tcPr>
          <w:p>
            <w:pPr>
              <w:jc w:val="right"/>
              <w:ind w:right="136"/>
              <w:spacing w:after="0" w:line="162" w:lineRule="exact"/>
              <w:rPr>
                <w:sz w:val="20"/>
                <w:szCs w:val="20"/>
                <w:color w:val="auto"/>
              </w:rPr>
            </w:pPr>
            <w:r>
              <w:rPr>
                <w:rFonts w:ascii="Arial" w:cs="Arial" w:eastAsia="Arial" w:hAnsi="Arial"/>
                <w:sz w:val="15"/>
                <w:szCs w:val="15"/>
                <w:b w:val="1"/>
                <w:bCs w:val="1"/>
                <w:color w:val="auto"/>
              </w:rPr>
              <w:t>Borrowing</w:t>
            </w:r>
          </w:p>
        </w:tc>
        <w:tc>
          <w:tcPr>
            <w:tcW w:w="260" w:type="dxa"/>
            <w:vAlign w:val="bottom"/>
          </w:tcPr>
          <w:p>
            <w:pPr>
              <w:spacing w:after="0"/>
              <w:rPr>
                <w:sz w:val="14"/>
                <w:szCs w:val="14"/>
                <w:color w:val="auto"/>
              </w:rPr>
            </w:pPr>
          </w:p>
        </w:tc>
        <w:tc>
          <w:tcPr>
            <w:tcW w:w="126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at September 30,</w:t>
            </w:r>
          </w:p>
        </w:tc>
      </w:tr>
      <w:tr>
        <w:trPr>
          <w:trHeight w:val="182"/>
        </w:trPr>
        <w:tc>
          <w:tcPr>
            <w:tcW w:w="2440" w:type="dxa"/>
            <w:vAlign w:val="bottom"/>
            <w:tcBorders>
              <w:bottom w:val="single" w:sz="8" w:color="auto"/>
            </w:tcBorders>
          </w:tcPr>
          <w:p>
            <w:pPr>
              <w:ind w:left="1000"/>
              <w:spacing w:after="0"/>
              <w:rPr>
                <w:sz w:val="20"/>
                <w:szCs w:val="20"/>
                <w:color w:val="auto"/>
              </w:rPr>
            </w:pPr>
            <w:r>
              <w:rPr>
                <w:rFonts w:ascii="Arial" w:cs="Arial" w:eastAsia="Arial" w:hAnsi="Arial"/>
                <w:sz w:val="15"/>
                <w:szCs w:val="15"/>
                <w:b w:val="1"/>
                <w:bCs w:val="1"/>
                <w:color w:val="auto"/>
              </w:rPr>
              <w:t>Lender</w:t>
            </w: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Agreement Date</w:t>
            </w: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Maturity Date</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Rate</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Amount(1)</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89"/>
              </w:rPr>
              <w:t>2018</w:t>
            </w:r>
          </w:p>
        </w:tc>
        <w:tc>
          <w:tcPr>
            <w:tcW w:w="140" w:type="dxa"/>
            <w:vAlign w:val="bottom"/>
          </w:tcPr>
          <w:p>
            <w:pPr>
              <w:spacing w:after="0"/>
              <w:rPr>
                <w:sz w:val="15"/>
                <w:szCs w:val="15"/>
                <w:color w:val="auto"/>
              </w:rPr>
            </w:pPr>
          </w:p>
        </w:tc>
      </w:tr>
      <w:tr>
        <w:trPr>
          <w:trHeight w:val="16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6"/>
              <w:spacing w:after="0" w:line="162" w:lineRule="exact"/>
              <w:rPr>
                <w:sz w:val="20"/>
                <w:szCs w:val="20"/>
                <w:color w:val="auto"/>
              </w:rPr>
            </w:pPr>
            <w:r>
              <w:rPr>
                <w:rFonts w:ascii="Arial" w:cs="Arial" w:eastAsia="Arial" w:hAnsi="Arial"/>
                <w:sz w:val="15"/>
                <w:szCs w:val="15"/>
                <w:i w:val="1"/>
                <w:iCs w:val="1"/>
                <w:color w:val="auto"/>
              </w:rPr>
              <w:t>(in</w:t>
            </w:r>
          </w:p>
        </w:tc>
        <w:tc>
          <w:tcPr>
            <w:tcW w:w="1380" w:type="dxa"/>
            <w:vAlign w:val="bottom"/>
            <w:gridSpan w:val="3"/>
          </w:tcPr>
          <w:p>
            <w:pPr>
              <w:jc w:val="right"/>
              <w:ind w:right="735"/>
              <w:spacing w:after="0" w:line="162" w:lineRule="exact"/>
              <w:rPr>
                <w:sz w:val="20"/>
                <w:szCs w:val="20"/>
                <w:color w:val="auto"/>
              </w:rPr>
            </w:pPr>
            <w:r>
              <w:rPr>
                <w:rFonts w:ascii="Arial" w:cs="Arial" w:eastAsia="Arial" w:hAnsi="Arial"/>
                <w:sz w:val="15"/>
                <w:szCs w:val="15"/>
                <w:i w:val="1"/>
                <w:iCs w:val="1"/>
                <w:color w:val="auto"/>
                <w:w w:val="72"/>
              </w:rPr>
              <w:t>thousands)</w:t>
            </w:r>
          </w:p>
        </w:tc>
        <w:tc>
          <w:tcPr>
            <w:tcW w:w="140" w:type="dxa"/>
            <w:vAlign w:val="bottom"/>
          </w:tcPr>
          <w:p>
            <w:pPr>
              <w:spacing w:after="0"/>
              <w:rPr>
                <w:sz w:val="14"/>
                <w:szCs w:val="14"/>
                <w:color w:val="auto"/>
              </w:rPr>
            </w:pPr>
          </w:p>
        </w:tc>
      </w:tr>
      <w:tr>
        <w:trPr>
          <w:trHeight w:val="241"/>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9"/>
              </w:rPr>
              <w:t>Bank of China Pudong Branch</w:t>
            </w:r>
          </w:p>
        </w:tc>
        <w:tc>
          <w:tcPr>
            <w:tcW w:w="100" w:type="dxa"/>
            <w:vAlign w:val="bottom"/>
            <w:shd w:val="clear" w:color="auto" w:fill="CCEEFF"/>
          </w:tcPr>
          <w:p>
            <w:pPr>
              <w:spacing w:after="0"/>
              <w:rPr>
                <w:sz w:val="20"/>
                <w:szCs w:val="20"/>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2018</w:t>
            </w:r>
          </w:p>
        </w:tc>
        <w:tc>
          <w:tcPr>
            <w:tcW w:w="100" w:type="dxa"/>
            <w:vAlign w:val="bottom"/>
            <w:shd w:val="clear" w:color="auto" w:fill="CCEEFF"/>
          </w:tcPr>
          <w:p>
            <w:pPr>
              <w:spacing w:after="0"/>
              <w:rPr>
                <w:sz w:val="20"/>
                <w:szCs w:val="20"/>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2019</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RMB30,000</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RMB20,000</w:t>
            </w:r>
          </w:p>
        </w:tc>
      </w:tr>
      <w:tr>
        <w:trPr>
          <w:trHeight w:val="245"/>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40" w:type="dxa"/>
            <w:vAlign w:val="bottom"/>
            <w:shd w:val="clear" w:color="auto" w:fill="CCEEFF"/>
          </w:tcPr>
          <w:p>
            <w:pPr>
              <w:spacing w:after="0"/>
              <w:rPr>
                <w:sz w:val="21"/>
                <w:szCs w:val="21"/>
                <w:color w:val="auto"/>
              </w:rPr>
            </w:pPr>
          </w:p>
        </w:tc>
      </w:tr>
      <w:tr>
        <w:trPr>
          <w:trHeight w:val="241"/>
        </w:trPr>
        <w:tc>
          <w:tcPr>
            <w:tcW w:w="2440" w:type="dxa"/>
            <w:vAlign w:val="bottom"/>
          </w:tcPr>
          <w:p>
            <w:pPr>
              <w:spacing w:after="0"/>
              <w:rPr>
                <w:sz w:val="20"/>
                <w:szCs w:val="20"/>
                <w:color w:val="auto"/>
              </w:rPr>
            </w:pPr>
            <w:r>
              <w:rPr>
                <w:rFonts w:ascii="Arial" w:cs="Arial" w:eastAsia="Arial" w:hAnsi="Arial"/>
                <w:sz w:val="18"/>
                <w:szCs w:val="18"/>
                <w:color w:val="auto"/>
                <w:w w:val="89"/>
              </w:rPr>
              <w:t>Bank of Shanghai Pudong Branch</w:t>
            </w: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February 2018</w:t>
            </w: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6"/>
              </w:rPr>
              <w:t>January 2019</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RMB50,000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RMB24,893</w:t>
            </w:r>
          </w:p>
        </w:tc>
      </w:tr>
      <w:tr>
        <w:trPr>
          <w:trHeight w:val="244"/>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7,800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3,620</w:t>
            </w:r>
          </w:p>
        </w:tc>
        <w:tc>
          <w:tcPr>
            <w:tcW w:w="140" w:type="dxa"/>
            <w:vAlign w:val="bottom"/>
          </w:tcPr>
          <w:p>
            <w:pPr>
              <w:spacing w:after="0"/>
              <w:rPr>
                <w:sz w:val="21"/>
                <w:szCs w:val="21"/>
                <w:color w:val="auto"/>
              </w:rPr>
            </w:pPr>
          </w:p>
        </w:tc>
      </w:tr>
      <w:tr>
        <w:trPr>
          <w:trHeight w:val="242"/>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89"/>
              </w:rPr>
              <w:t>Shanghai Rural Commercial Bank</w:t>
            </w: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2017</w:t>
            </w: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2018</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 5,000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RMB 5,000</w:t>
            </w:r>
          </w:p>
        </w:tc>
      </w:tr>
      <w:tr>
        <w:trPr>
          <w:trHeight w:val="243"/>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21"/>
                <w:szCs w:val="21"/>
                <w:color w:val="auto"/>
              </w:rPr>
            </w:pPr>
          </w:p>
        </w:tc>
      </w:tr>
      <w:tr>
        <w:trPr>
          <w:trHeight w:val="243"/>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2018</w:t>
            </w: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2019</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RMB10,000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RMB10,000</w:t>
            </w:r>
          </w:p>
        </w:tc>
      </w:tr>
      <w:tr>
        <w:trPr>
          <w:trHeight w:val="243"/>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21"/>
                <w:szCs w:val="21"/>
                <w:color w:val="auto"/>
              </w:rPr>
            </w:pPr>
          </w:p>
        </w:tc>
      </w:tr>
      <w:tr>
        <w:trPr>
          <w:trHeight w:val="245"/>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2440" w:type="dxa"/>
            <w:vAlign w:val="bottom"/>
          </w:tcPr>
          <w:p>
            <w:pPr>
              <w:spacing w:after="0"/>
              <w:rPr>
                <w:sz w:val="20"/>
                <w:szCs w:val="20"/>
                <w:color w:val="auto"/>
              </w:rPr>
            </w:pPr>
            <w:r>
              <w:rPr>
                <w:rFonts w:ascii="Arial" w:cs="Arial" w:eastAsia="Arial" w:hAnsi="Arial"/>
                <w:sz w:val="18"/>
                <w:szCs w:val="18"/>
                <w:color w:val="auto"/>
              </w:rPr>
              <w:t>Bank of Communications</w:t>
            </w: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December 2017</w:t>
            </w: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December 2018</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RMB10,000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RMB10,000</w:t>
            </w: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1,454</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1,454</w:t>
            </w:r>
          </w:p>
        </w:tc>
        <w:tc>
          <w:tcPr>
            <w:tcW w:w="140" w:type="dxa"/>
            <w:vAlign w:val="bottom"/>
          </w:tcPr>
          <w:p>
            <w:pPr>
              <w:spacing w:after="0"/>
              <w:rPr>
                <w:sz w:val="21"/>
                <w:szCs w:val="21"/>
                <w:color w:val="auto"/>
              </w:rPr>
            </w:pP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RMB105,000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RMB69,893</w:t>
            </w: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15,797</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10,163</w:t>
            </w:r>
          </w:p>
        </w:tc>
        <w:tc>
          <w:tcPr>
            <w:tcW w:w="140" w:type="dxa"/>
            <w:vAlign w:val="bottom"/>
          </w:tcPr>
          <w:p>
            <w:pPr>
              <w:spacing w:after="0"/>
              <w:rPr>
                <w:sz w:val="21"/>
                <w:szCs w:val="21"/>
                <w:color w:val="auto"/>
              </w:rPr>
            </w:pPr>
          </w:p>
        </w:tc>
      </w:tr>
    </w:tbl>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Converted from RMB to dollars as of September 30, 2018.</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of the amounts owing under the line of credit with Bank of China Pudong Branch are secured by ACM Shanghai’s intellectual property and guaranteed by Dr. David Wang, our Chair of the Board, Chief Executive Officer and President. All of the amounts owing under the lines of credit with Bank of Shanghai Pudong Branch are guaranteed by Dr. Wang. All of the amounts owing under the line of credit with Shanghai Rural Commercial Bank are secured by accounts receivable and guaranteed by Dr. Wang.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Working Capital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sets forth selected working capital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5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selected working capital</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79,012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360" w:type="dxa"/>
            <w:vAlign w:val="bottom"/>
            <w:vMerge w:val="restart"/>
          </w:tcPr>
          <w:p>
            <w:pPr>
              <w:jc w:val="right"/>
              <w:ind w:right="4312"/>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35" w:name="page36"/>
    <w:bookmarkEnd w:id="35"/>
    <w:p>
      <w:pPr>
        <w:jc w:val="both"/>
        <w:ind w:firstLine="324"/>
        <w:spacing w:after="0" w:line="294" w:lineRule="auto"/>
        <w:rPr>
          <w:sz w:val="20"/>
          <w:szCs w:val="20"/>
          <w:color w:val="auto"/>
        </w:rPr>
      </w:pPr>
      <w:r>
        <w:rPr>
          <w:rFonts w:ascii="Arial" w:cs="Arial" w:eastAsia="Arial" w:hAnsi="Arial"/>
          <w:sz w:val="16"/>
          <w:szCs w:val="16"/>
          <w:color w:val="auto"/>
        </w:rPr>
        <w:t>Our cash and cash equivalents at September 30, 2018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Uses of Funds</w:t>
      </w:r>
    </w:p>
    <w:p>
      <w:pPr>
        <w:spacing w:after="0" w:line="1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u w:val="single" w:color="auto"/>
          <w:color w:val="auto"/>
        </w:rPr>
        <w:t>Cash Flow for Operating Activities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operations used cash flow of $2.7 million in the nine months of 2018. Our cash flow from operating activities is</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influenced by (a) the amount of cash we invest in personnel and technology development to support anticipated future growth in our business, (b) increases in the number of customers using our products, and (c) the amount and timing of payments by customers.</w:t>
      </w:r>
    </w:p>
    <w:p>
      <w:pPr>
        <w:spacing w:after="0" w:line="11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u w:val="single" w:color="auto"/>
          <w:color w:val="auto"/>
        </w:rPr>
        <w:t>Capital Expenditures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estimate that our capital expenditures in 2018 will total $2.8 million. We have entered into certain capital purchase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future capital expenditures. During the nine months ended September 30, 2018, we incurred $1.9 million of capital expenditures and had unpaid capital commitment of $264,000 as of September 30, 2018.</w:t>
      </w:r>
    </w:p>
    <w:p>
      <w:pPr>
        <w:spacing w:after="0" w:line="11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u w:val="single" w:color="auto"/>
          <w:color w:val="auto"/>
        </w:rPr>
        <w:t>Contractual Obligations and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Our contractual obligations and other commercial commitments are summarized in the section captioned</w:t>
      </w:r>
      <w:r>
        <w:rPr>
          <w:rFonts w:ascii="Arial" w:cs="Arial" w:eastAsia="Arial" w:hAnsi="Arial"/>
          <w:sz w:val="18"/>
          <w:szCs w:val="18"/>
          <w:b w:val="1"/>
          <w:bCs w:val="1"/>
          <w:color w:val="auto"/>
        </w:rPr>
        <w:t xml:space="preserve"> </w:t>
      </w:r>
      <w:r>
        <w:rPr>
          <w:rFonts w:ascii="Arial" w:cs="Arial" w:eastAsia="Arial" w:hAnsi="Arial"/>
          <w:sz w:val="18"/>
          <w:szCs w:val="18"/>
          <w:color w:val="auto"/>
        </w:rPr>
        <w:t>“Item 7. Management’s Discussion and Analysis of Financial Condition and Results of Operations—Liquidity and Capital Resources—Contractual Obligations and Requirements” in our Annual Report. Other than changes that occurred in the ordinary course of business, we had no material changes to our contractual obligations reported in our Annual Report during the first nine months of 2018. For additional discussion, see note 16 to our condensed consolidated financial statements included elsewhere in this report.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As of September 30, 2018, we did not have any significant off-balance sheet arrangements, as defined in Item 303(a)(4)(ii) of Regulation S-K of the Securities and Exchange Commission or SEC, except the operating lease commitment disclosed in the unaudited condensed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6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6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Although our financial statements and product pricing are denominated in U.S. dollars, a sizable portion of our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September 2010, this appreciation subsided and the exchange rate between the Renminbi and the U.S. dollar remained within a narrow band. Since September 2010, the Renminbi has fluctuated against the U.S. dollar, at times significantly and unpredictably. It is difficult to predict how market forces or PRC or U.S. government policy may impact the exchange rate between the Renminbi and the U.S. dollar in the future. To date, we have not entered into any hedging transactions in an effort to reduce our exposure to foreign currency exchange risk.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2018, we had unrestricted cash and cash equivalents totaling $18.2 million. These amounts were held for working capital purposes and were held primarily in checking accounts of various banks. We believe we do not have any material exposure to changes in our cash balance as a result of changes in interest rates. Declines in interest rates, however, would reduce future 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interim chief financial officer, evaluated the effectiveness of our disclosure controls and procedures as of September 30, 2018.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2018, our chief executive officer and interim chief financial officer concluded that, as of such date, our disclosure controls and procedures over financial reporting were effective.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 and Remediation Efforts</w:t>
      </w:r>
    </w:p>
    <w:p>
      <w:pPr>
        <w:spacing w:after="0" w:line="16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three months ended September 30, 2018, we hired additional accounting and finance personnel and engaged outside consulting firms in order to improve our internal control over the financial reporting process and to complete remediation of a material weakness identified by BDO China Shu Lun Pan Certified Public Accountants LLP in connection with its audit of our consolidated financial statements as of, and for the year ended, December 31, 2017. The material weakness in our internal control over financial reporting had related to our lack of sufficient qualified financial reporting and accounting personnel with an appropriate level of expertise to properly address complex accounting issues under GAAP and to prepare and review our consolidated financial statements and related disclosures to fulfill GAAP and SEC financial reporting requirements.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Investing in Class A common stock involves a high degree of risk. You should consider and read carefully all of the information contained in this report, including the consolidated financial statements and related notes set forth in “Item 1. Financial Statements” of Part I above, before making an investment decision. You should also review carefully the risk factors set forth below, as well as the risk factors set forth in “Item 1A. Risk Factors” of Part I of our Annual Report. Other than as set forth below, there have been no material changes to those risk factors since the filing of our Annual Report with the SEC on March 23, 2018. The occurrence of any of the risks described below or in our Annual Report,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government trade policies could limit the demand for our tools and increase the cost of our tools.</w:t>
      </w:r>
    </w:p>
    <w:p>
      <w:pPr>
        <w:spacing w:after="0" w:line="158"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5"/>
          <w:szCs w:val="15"/>
          <w:color w:val="auto"/>
        </w:rPr>
        <w:t>General trade tensions between the U.S. and China have been escalating in 2018. In each of July, August and September 2018, the U.S. government imposed a round of new or higher tariffs on specified imported products originating from the PRC in response to what the U.S. government characterizes as unfair trade practices. The PRC government responded to each of these three rounds of U.S. tariff changes by imposing new or higher tariffs on specified products imported from the United States. More recently, higher duties on existing tariffs and further rounds of tariffs have been announced or threatened by U.S. and PRC leaders.</w:t>
      </w:r>
    </w:p>
    <w:p>
      <w:pPr>
        <w:spacing w:after="0" w:line="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106"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i w:val="1"/>
          <w:iCs w:val="1"/>
          <w:color w:val="auto"/>
        </w:rPr>
        <w:t>[The following risk factor replaces the risk factor in our Annual Report entitled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connection with the audit of our consolidated financial statements for 2017, our management and auditors identified a material weakness in our internal control over financial reporting that, even after remediation, could cause investors to lose confidence in our reported financial information and have a negative effect on the trading price of our stock.</w:t>
      </w:r>
    </w:p>
    <w:p>
      <w:pPr>
        <w:spacing w:after="0" w:line="12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0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its audit of our consolidated financial statements as of, and for the year ended, December 31, 2016,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 financial reporting requirements. During the nine months ended September 30, 2018, we took remedial measures to improve the effectiveness of our controls, including by hiring additional accounting and finance personnel and by engaging outside consulting firms, which our management considered, as of September 30, 2018, to have fully remediated the identified material weakness.</w:t>
      </w:r>
    </w:p>
    <w:p>
      <w:pPr>
        <w:spacing w:after="0" w:line="10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we will implement and maintain adequate controls over our financial processes and reporting in the future in order to avoid additional material weaknesses or controlled deficiencies in our internal control over financing reporting. If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August and September 2018 we issued and sold to employees and consultants an aggregate of 57,779 unregistered shares of Class A common stock upon the exercise of stock options at per share exercise prices between $0.75 and $1.50. These transactions did not involve any underwriters, any underwriting discounts or commissions, or any public offering. We believe the offers, sales and issuances of these shares were exempt from registration under the Securities Act of 1933 by virtue of Section 4(a)(2) thereof (or Regulation D promulgated thereunder) because the issuance of securities to the recipients did not involve a public offering or in reliance on Rule 701 under said Act because the transactions were pursuant to a contract relating to compensation as provided under such rule. The recipients of the shares represented their intentions to acquire the securities for investment only and not with a view to or for sale in connection with any distribution thereof, and appropriate legends were placed upon the shares issued in these transactions. The recipients had adequate access, through a relationship with us, to information about us. The sales of these shares were made without any general solicitation or advertising.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IPO Proceeds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net proceeds of the IPO, after deducting underwriting discounts and commissions and offering expenses, were $17.3 million. There has been no material change in the planned use of IPO proceeds from that described in the final prospectus filed with the SEC pursuant to Rule 424(b)(4) under the Securities Act of 1933 on November 3, 2017. To date we have applied $10.8 million of the IPO proceeds to purchase inventory and an additional $2.5 million in the ordinary course of business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Exhibit</w:t>
            </w:r>
          </w:p>
        </w:tc>
        <w:tc>
          <w:tcPr>
            <w:tcW w:w="1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20"/>
                <w:szCs w:val="20"/>
                <w:color w:val="auto"/>
              </w:rPr>
            </w:pPr>
          </w:p>
        </w:tc>
        <w:tc>
          <w:tcPr>
            <w:tcW w:w="1008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Line of Credit Agreement dated January 19, 2018 between ACM Research (Shanghai), Inc. and Shanghai Rural Commercial Bank</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0240" w:type="dxa"/>
            <w:vAlign w:val="bottom"/>
            <w:tcBorders>
              <w:top w:val="single" w:sz="8" w:color="CCEEFF"/>
            </w:tcBorders>
            <w:gridSpan w:val="3"/>
          </w:tcPr>
          <w:p>
            <w:pPr>
              <w:ind w:left="120"/>
              <w:spacing w:after="0" w:line="176" w:lineRule="exact"/>
              <w:rPr>
                <w:sz w:val="20"/>
                <w:szCs w:val="20"/>
                <w:color w:val="auto"/>
              </w:rPr>
            </w:pPr>
            <w:r>
              <w:rPr>
                <w:rFonts w:ascii="Arial" w:cs="Arial" w:eastAsia="Arial" w:hAnsi="Arial"/>
                <w:sz w:val="18"/>
                <w:szCs w:val="18"/>
                <w:color w:val="auto"/>
                <w:w w:val="97"/>
              </w:rPr>
              <w:t>Line of Credit Agreement dated February 2, 2018 between ACM Research (Shanghai), Inc. and Bank of Shanghai Pudong Branch</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Line of Credit Agreement dated August 24, 2018 between ACM Research (Shanghai), Inc. and Bank of China Shanghai Pudong Branch</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01</w:t>
              </w:r>
            </w:hyperlink>
          </w:p>
        </w:tc>
        <w:tc>
          <w:tcPr>
            <w:tcW w:w="720" w:type="dxa"/>
            <w:vAlign w:val="bottom"/>
            <w:tcBorders>
              <w:top w:val="single" w:sz="8" w:color="CCEEFF"/>
            </w:tcBorders>
          </w:tcPr>
          <w:p>
            <w:pPr>
              <w:spacing w:after="0"/>
              <w:rPr>
                <w:sz w:val="15"/>
                <w:szCs w:val="15"/>
                <w:color w:val="auto"/>
              </w:rPr>
            </w:pPr>
          </w:p>
        </w:tc>
        <w:tc>
          <w:tcPr>
            <w:tcW w:w="10240" w:type="dxa"/>
            <w:vAlign w:val="bottom"/>
            <w:tcBorders>
              <w:top w:val="single" w:sz="8" w:color="CCEEFF"/>
            </w:tcBorders>
            <w:gridSpan w:val="3"/>
          </w:tcPr>
          <w:p>
            <w:pPr>
              <w:ind w:left="12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02</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01</w:t>
              </w:r>
            </w:hyperlink>
          </w:p>
        </w:tc>
        <w:tc>
          <w:tcPr>
            <w:tcW w:w="720" w:type="dxa"/>
            <w:vAlign w:val="bottom"/>
            <w:tcBorders>
              <w:top w:val="single" w:sz="8" w:color="CCEEFF"/>
            </w:tcBorders>
          </w:tcPr>
          <w:p>
            <w:pPr>
              <w:spacing w:after="0"/>
              <w:rPr>
                <w:sz w:val="15"/>
                <w:szCs w:val="15"/>
                <w:color w:val="auto"/>
              </w:rPr>
            </w:pPr>
          </w:p>
        </w:tc>
        <w:tc>
          <w:tcPr>
            <w:tcW w:w="10240" w:type="dxa"/>
            <w:vAlign w:val="bottom"/>
            <w:tcBorders>
              <w:top w:val="single" w:sz="8" w:color="CCEEFF"/>
            </w:tcBorders>
            <w:gridSpan w:val="3"/>
          </w:tcPr>
          <w:p>
            <w:pPr>
              <w:ind w:left="120"/>
              <w:spacing w:after="0" w:line="176" w:lineRule="exact"/>
              <w:rPr>
                <w:sz w:val="20"/>
                <w:szCs w:val="20"/>
                <w:color w:val="auto"/>
              </w:rPr>
            </w:pPr>
            <w:r>
              <w:rPr>
                <w:rFonts w:ascii="Arial" w:cs="Arial" w:eastAsia="Arial" w:hAnsi="Arial"/>
                <w:sz w:val="18"/>
                <w:szCs w:val="18"/>
                <w:color w:val="auto"/>
                <w:w w:val="96"/>
              </w:rPr>
              <w:t>Certification of Principal Executive Officer and Principal Financial Officer Pursuant to Section 906 of the Sarbanes-Oxley Act of 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gridSpan w:val="2"/>
          </w:tcPr>
          <w:p>
            <w:pPr>
              <w:ind w:left="4500"/>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spacing w:after="0"/>
        <w:tabs>
          <w:tab w:leader="none" w:pos="90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2018</w:t>
      </w:r>
      <w:r>
        <w:rPr>
          <w:sz w:val="20"/>
          <w:szCs w:val="20"/>
          <w:color w:val="auto"/>
        </w:rPr>
        <w:tab/>
      </w:r>
      <w:r>
        <w:rPr>
          <w:rFonts w:ascii="Arial" w:cs="Arial" w:eastAsia="Arial" w:hAnsi="Arial"/>
          <w:sz w:val="16"/>
          <w:szCs w:val="16"/>
          <w:color w:val="auto"/>
        </w:rPr>
        <w:t>By: /s/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 Chief Accounting</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 and Treasurer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left="932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7829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ind w:left="9320"/>
        <w:spacing w:after="0"/>
        <w:rPr>
          <w:sz w:val="20"/>
          <w:szCs w:val="20"/>
          <w:color w:val="auto"/>
        </w:rPr>
      </w:pPr>
      <w:r>
        <w:rPr>
          <w:rFonts w:ascii="Arial" w:cs="Arial" w:eastAsia="Arial" w:hAnsi="Arial"/>
          <w:sz w:val="16"/>
          <w:szCs w:val="16"/>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7829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ind w:left="9320"/>
        <w:spacing w:after="0"/>
        <w:rPr>
          <w:sz w:val="20"/>
          <w:szCs w:val="20"/>
          <w:color w:val="auto"/>
        </w:rPr>
      </w:pPr>
      <w:r>
        <w:rPr>
          <w:rFonts w:ascii="Arial" w:cs="Arial" w:eastAsia="Arial" w:hAnsi="Arial"/>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7829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15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157" w:lineRule="exact"/>
        <w:rPr>
          <w:rFonts w:ascii="Arial" w:cs="Arial" w:eastAsia="Arial" w:hAnsi="Arial"/>
          <w:sz w:val="18"/>
          <w:szCs w:val="18"/>
          <w:color w:val="auto"/>
        </w:rPr>
      </w:pPr>
    </w:p>
    <w:p>
      <w:pPr>
        <w:ind w:left="340" w:hanging="332"/>
        <w:spacing w:after="0" w:line="370" w:lineRule="auto"/>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left="34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Dated: November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w:t>
      </w:r>
      <w:r>
        <w:rPr>
          <w:rFonts w:ascii="Arial" w:cs="Arial" w:eastAsia="Arial" w:hAnsi="Arial"/>
          <w:sz w:val="11"/>
          <w:szCs w:val="11"/>
          <w:color w:val="auto"/>
        </w:rPr>
        <w:t>AVID</w:t>
      </w:r>
      <w:r>
        <w:rPr>
          <w:rFonts w:ascii="Arial" w:cs="Arial" w:eastAsia="Arial" w:hAnsi="Arial"/>
          <w:sz w:val="16"/>
          <w:szCs w:val="16"/>
          <w:color w:val="auto"/>
        </w:rPr>
        <w:t xml:space="preserve"> H. W</w:t>
      </w:r>
      <w:r>
        <w:rPr>
          <w:rFonts w:ascii="Arial" w:cs="Arial" w:eastAsia="Arial" w:hAnsi="Arial"/>
          <w:sz w:val="11"/>
          <w:szCs w:val="11"/>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Lisa Feng, certify that:</w:t>
      </w:r>
    </w:p>
    <w:p>
      <w:pPr>
        <w:spacing w:after="0" w:line="15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157" w:lineRule="exact"/>
        <w:rPr>
          <w:rFonts w:ascii="Arial" w:cs="Arial" w:eastAsia="Arial" w:hAnsi="Arial"/>
          <w:sz w:val="18"/>
          <w:szCs w:val="18"/>
          <w:color w:val="auto"/>
        </w:rPr>
      </w:pPr>
    </w:p>
    <w:p>
      <w:pPr>
        <w:ind w:left="340" w:hanging="332"/>
        <w:spacing w:after="0" w:line="370"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left="340" w:hanging="332"/>
        <w:spacing w:after="0" w:line="26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600" w:val="left"/>
          <w:tab w:leader="none" w:pos="6840" w:val="left"/>
        </w:tabs>
        <w:rPr>
          <w:sz w:val="20"/>
          <w:szCs w:val="20"/>
          <w:color w:val="auto"/>
        </w:rPr>
      </w:pPr>
      <w:r>
        <w:rPr>
          <w:rFonts w:ascii="Arial" w:cs="Arial" w:eastAsia="Arial" w:hAnsi="Arial"/>
          <w:sz w:val="18"/>
          <w:szCs w:val="18"/>
          <w:color w:val="auto"/>
        </w:rPr>
        <w:t>Dated: November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w:t>
      </w:r>
      <w:r>
        <w:rPr>
          <w:rFonts w:ascii="Arial" w:cs="Arial" w:eastAsia="Arial" w:hAnsi="Arial"/>
          <w:sz w:val="11"/>
          <w:szCs w:val="11"/>
          <w:color w:val="auto"/>
        </w:rPr>
        <w:t>ISA</w:t>
      </w:r>
      <w:r>
        <w:rPr>
          <w:rFonts w:ascii="Arial" w:cs="Arial" w:eastAsia="Arial" w:hAnsi="Arial"/>
          <w:sz w:val="16"/>
          <w:szCs w:val="16"/>
          <w:color w:val="auto"/>
        </w:rPr>
        <w:t xml:space="preserve"> F</w:t>
      </w:r>
      <w:r>
        <w:rPr>
          <w:rFonts w:ascii="Arial" w:cs="Arial" w:eastAsia="Arial" w:hAnsi="Arial"/>
          <w:sz w:val="11"/>
          <w:szCs w:val="11"/>
          <w:color w:val="auto"/>
        </w:rPr>
        <w: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Interim Chief Financial Officer, Chief Accounting Officer and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Treasurer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32.01</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 SECTION 906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September 30, 2018, as filed with the Securities and Exchange Commission on the date hereof (the “Report”), each of the undersigned certifies, pursuant to 18 U.S.C. 1350, as adopted pursuant to Section 906 of the Sarbanes-Oxley Act of 2002, that, to his or her knowledge:</w:t>
      </w:r>
    </w:p>
    <w:p>
      <w:pPr>
        <w:spacing w:after="0" w:line="12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ACM Research, Inc.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40" w:type="dxa"/>
            <w:vAlign w:val="bottom"/>
          </w:tcPr>
          <w:p>
            <w:pPr>
              <w:spacing w:after="0"/>
              <w:rPr>
                <w:sz w:val="20"/>
                <w:szCs w:val="20"/>
                <w:color w:val="auto"/>
              </w:rPr>
            </w:pPr>
            <w:r>
              <w:rPr>
                <w:rFonts w:ascii="Arial" w:cs="Arial" w:eastAsia="Arial" w:hAnsi="Arial"/>
                <w:sz w:val="18"/>
                <w:szCs w:val="18"/>
                <w:color w:val="auto"/>
              </w:rPr>
              <w:t>Dated: November 14, 2018</w:t>
            </w:r>
          </w:p>
        </w:tc>
        <w:tc>
          <w:tcPr>
            <w:tcW w:w="2700" w:type="dxa"/>
            <w:vAlign w:val="bottom"/>
          </w:tcPr>
          <w:p>
            <w:pPr>
              <w:ind w:left="20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H. W</w:t>
            </w:r>
            <w:r>
              <w:rPr>
                <w:rFonts w:ascii="Arial" w:cs="Arial" w:eastAsia="Arial" w:hAnsi="Arial"/>
                <w:sz w:val="12"/>
                <w:szCs w:val="12"/>
                <w:color w:val="auto"/>
              </w:rPr>
              <w:t>ANG</w:t>
            </w:r>
          </w:p>
        </w:tc>
      </w:tr>
      <w:tr>
        <w:trPr>
          <w:trHeight w:val="208"/>
        </w:trPr>
        <w:tc>
          <w:tcPr>
            <w:tcW w:w="3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David H. Wang</w:t>
            </w:r>
          </w:p>
        </w:tc>
      </w:tr>
      <w:tr>
        <w:trPr>
          <w:trHeight w:val="216"/>
        </w:trPr>
        <w:tc>
          <w:tcPr>
            <w:tcW w:w="3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3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1"/>
        </w:trPr>
        <w:tc>
          <w:tcPr>
            <w:tcW w:w="3940" w:type="dxa"/>
            <w:vAlign w:val="bottom"/>
          </w:tcPr>
          <w:p>
            <w:pPr>
              <w:spacing w:after="0"/>
              <w:rPr>
                <w:sz w:val="20"/>
                <w:szCs w:val="20"/>
                <w:color w:val="auto"/>
              </w:rPr>
            </w:pPr>
            <w:r>
              <w:rPr>
                <w:rFonts w:ascii="Arial" w:cs="Arial" w:eastAsia="Arial" w:hAnsi="Arial"/>
                <w:sz w:val="18"/>
                <w:szCs w:val="18"/>
                <w:color w:val="auto"/>
              </w:rPr>
              <w:t>Dated: November 14, 2018</w:t>
            </w:r>
          </w:p>
        </w:tc>
        <w:tc>
          <w:tcPr>
            <w:tcW w:w="2700" w:type="dxa"/>
            <w:vAlign w:val="bottom"/>
          </w:tcPr>
          <w:p>
            <w:pPr>
              <w:ind w:left="20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ISA</w:t>
            </w:r>
            <w:r>
              <w:rPr>
                <w:rFonts w:ascii="Arial" w:cs="Arial" w:eastAsia="Arial" w:hAnsi="Arial"/>
                <w:sz w:val="18"/>
                <w:szCs w:val="18"/>
                <w:color w:val="auto"/>
              </w:rPr>
              <w:t xml:space="preserve"> F</w:t>
            </w:r>
            <w:r>
              <w:rPr>
                <w:rFonts w:ascii="Arial" w:cs="Arial" w:eastAsia="Arial" w:hAnsi="Arial"/>
                <w:sz w:val="12"/>
                <w:szCs w:val="12"/>
                <w:color w:val="auto"/>
              </w:rPr>
              <w:t>ENG</w:t>
            </w:r>
          </w:p>
        </w:tc>
      </w:tr>
      <w:tr>
        <w:trPr>
          <w:trHeight w:val="208"/>
        </w:trPr>
        <w:tc>
          <w:tcPr>
            <w:tcW w:w="3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Lisa Feng</w:t>
            </w:r>
          </w:p>
        </w:tc>
      </w:tr>
      <w:tr>
        <w:trPr>
          <w:trHeight w:val="216"/>
        </w:trPr>
        <w:tc>
          <w:tcPr>
            <w:tcW w:w="3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9"/>
              </w:rPr>
              <w:t>Interim Chief Financial Officer, Chief Accounting Officer and</w:t>
            </w:r>
          </w:p>
        </w:tc>
      </w:tr>
      <w:tr>
        <w:trPr>
          <w:trHeight w:val="222"/>
        </w:trPr>
        <w:tc>
          <w:tcPr>
            <w:tcW w:w="39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Treasurer (Principal Financial Officer)</w:t>
            </w:r>
          </w:p>
        </w:tc>
      </w:tr>
      <w:tr>
        <w:trPr>
          <w:trHeight w:val="434"/>
        </w:trPr>
        <w:tc>
          <w:tcPr>
            <w:tcW w:w="39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2019-12-28T17:47:26Z</dcterms:created>
  <dcterms:modified xsi:type="dcterms:W3CDTF">2019-12-28T17:47:26Z</dcterms:modified>
</cp:coreProperties>
</file>