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362585</wp:posOffset>
            </wp:positionV>
            <wp:extent cx="71367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478790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(Mark One)</w:t>
      </w:r>
    </w:p>
    <w:p>
      <w:pPr>
        <w:spacing w:after="0" w:line="7" w:lineRule="exact"/>
        <w:rPr>
          <w:sz w:val="24"/>
          <w:szCs w:val="24"/>
          <w:color w:val="auto"/>
        </w:rPr>
      </w:pPr>
    </w:p>
    <w:p>
      <w:pPr>
        <w:ind w:left="480" w:right="1920" w:hanging="476"/>
        <w:spacing w:after="0" w:line="259" w:lineRule="auto"/>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2020</w:t>
      </w:r>
    </w:p>
    <w:p>
      <w:pPr>
        <w:jc w:val="center"/>
        <w:spacing w:after="0"/>
        <w:rPr>
          <w:sz w:val="20"/>
          <w:szCs w:val="20"/>
          <w:color w:val="auto"/>
        </w:rPr>
      </w:pPr>
      <w:r>
        <w:rPr>
          <w:rFonts w:ascii="Arial" w:cs="Arial" w:eastAsia="Arial" w:hAnsi="Arial"/>
          <w:sz w:val="17"/>
          <w:szCs w:val="17"/>
          <w:color w:val="auto"/>
        </w:rPr>
        <w:t>or</w:t>
      </w:r>
    </w:p>
    <w:p>
      <w:pPr>
        <w:spacing w:after="0" w:line="9" w:lineRule="exact"/>
        <w:rPr>
          <w:sz w:val="24"/>
          <w:szCs w:val="24"/>
          <w:color w:val="auto"/>
        </w:rPr>
      </w:pPr>
    </w:p>
    <w:p>
      <w:pPr>
        <w:ind w:left="480" w:right="1920" w:hanging="476"/>
        <w:spacing w:after="0" w:line="278" w:lineRule="auto"/>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 to _____________</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001-38273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ACM Research,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28" w:lineRule="exact"/>
        <w:rPr>
          <w:sz w:val="24"/>
          <w:szCs w:val="24"/>
          <w:color w:val="auto"/>
        </w:rPr>
      </w:pPr>
    </w:p>
    <w:tbl>
      <w:tblPr>
        <w:tblLayout w:type="fixed"/>
        <w:tblInd w:w="580" w:type="dxa"/>
        <w:tblCellMar>
          <w:top w:w="0" w:type="dxa"/>
          <w:left w:w="0" w:type="dxa"/>
          <w:bottom w:w="0" w:type="dxa"/>
          <w:right w:w="0" w:type="dxa"/>
        </w:tblCellMar>
      </w:tblPr>
      <w:tr>
        <w:trPr>
          <w:trHeight w:val="215"/>
        </w:trPr>
        <w:tc>
          <w:tcPr>
            <w:tcW w:w="5520" w:type="dxa"/>
            <w:vAlign w:val="bottom"/>
          </w:tcPr>
          <w:p>
            <w:pPr>
              <w:jc w:val="center"/>
              <w:ind w:right="1093"/>
              <w:spacing w:after="0"/>
              <w:rPr>
                <w:sz w:val="20"/>
                <w:szCs w:val="20"/>
                <w:color w:val="auto"/>
              </w:rPr>
            </w:pPr>
            <w:r>
              <w:rPr>
                <w:rFonts w:ascii="Arial" w:cs="Arial" w:eastAsia="Arial" w:hAnsi="Arial"/>
                <w:sz w:val="17"/>
                <w:szCs w:val="17"/>
                <w:b w:val="1"/>
                <w:bCs w:val="1"/>
                <w:color w:val="auto"/>
                <w:w w:val="93"/>
              </w:rPr>
              <w:t>Delaware</w:t>
            </w:r>
          </w:p>
        </w:tc>
        <w:tc>
          <w:tcPr>
            <w:tcW w:w="3640" w:type="dxa"/>
            <w:vAlign w:val="bottom"/>
          </w:tcPr>
          <w:p>
            <w:pPr>
              <w:jc w:val="right"/>
              <w:ind w:right="733"/>
              <w:spacing w:after="0"/>
              <w:rPr>
                <w:sz w:val="20"/>
                <w:szCs w:val="20"/>
                <w:color w:val="auto"/>
              </w:rPr>
            </w:pPr>
            <w:r>
              <w:rPr>
                <w:rFonts w:ascii="Arial" w:cs="Arial" w:eastAsia="Arial" w:hAnsi="Arial"/>
                <w:sz w:val="17"/>
                <w:szCs w:val="17"/>
                <w:b w:val="1"/>
                <w:bCs w:val="1"/>
                <w:color w:val="auto"/>
              </w:rPr>
              <w:t>94-3290283</w:t>
            </w:r>
          </w:p>
        </w:tc>
      </w:tr>
      <w:tr>
        <w:trPr>
          <w:trHeight w:val="221"/>
        </w:trPr>
        <w:tc>
          <w:tcPr>
            <w:tcW w:w="5520" w:type="dxa"/>
            <w:vAlign w:val="bottom"/>
          </w:tcPr>
          <w:p>
            <w:pPr>
              <w:jc w:val="center"/>
              <w:ind w:right="1073"/>
              <w:spacing w:after="0"/>
              <w:rPr>
                <w:sz w:val="20"/>
                <w:szCs w:val="20"/>
                <w:color w:val="auto"/>
              </w:rPr>
            </w:pPr>
            <w:r>
              <w:rPr>
                <w:rFonts w:ascii="Arial" w:cs="Arial" w:eastAsia="Arial" w:hAnsi="Arial"/>
                <w:sz w:val="17"/>
                <w:szCs w:val="17"/>
                <w:i w:val="1"/>
                <w:iCs w:val="1"/>
                <w:color w:val="auto"/>
                <w:w w:val="96"/>
              </w:rPr>
              <w:t>(State or Other Jurisdiction of Incorporation or Organization)</w:t>
            </w:r>
          </w:p>
        </w:tc>
        <w:tc>
          <w:tcPr>
            <w:tcW w:w="3640" w:type="dxa"/>
            <w:vAlign w:val="bottom"/>
          </w:tcPr>
          <w:p>
            <w:pPr>
              <w:jc w:val="center"/>
              <w:ind w:left="1073"/>
              <w:spacing w:after="0"/>
              <w:rPr>
                <w:sz w:val="20"/>
                <w:szCs w:val="20"/>
                <w:color w:val="auto"/>
              </w:rPr>
            </w:pPr>
            <w:r>
              <w:rPr>
                <w:rFonts w:ascii="Arial" w:cs="Arial" w:eastAsia="Arial" w:hAnsi="Arial"/>
                <w:sz w:val="17"/>
                <w:szCs w:val="17"/>
                <w:i w:val="1"/>
                <w:iCs w:val="1"/>
                <w:color w:val="auto"/>
                <w:w w:val="94"/>
              </w:rPr>
              <w:t>(I.R.S. Employer Identification No.)</w:t>
            </w:r>
          </w:p>
        </w:tc>
      </w:tr>
      <w:tr>
        <w:trPr>
          <w:trHeight w:val="400"/>
        </w:trPr>
        <w:tc>
          <w:tcPr>
            <w:tcW w:w="5520" w:type="dxa"/>
            <w:vAlign w:val="bottom"/>
          </w:tcPr>
          <w:p>
            <w:pPr>
              <w:jc w:val="center"/>
              <w:ind w:right="1073"/>
              <w:spacing w:after="0"/>
              <w:rPr>
                <w:sz w:val="20"/>
                <w:szCs w:val="20"/>
                <w:color w:val="auto"/>
              </w:rPr>
            </w:pPr>
            <w:r>
              <w:rPr>
                <w:rFonts w:ascii="Arial" w:cs="Arial" w:eastAsia="Arial" w:hAnsi="Arial"/>
                <w:sz w:val="17"/>
                <w:szCs w:val="17"/>
                <w:b w:val="1"/>
                <w:bCs w:val="1"/>
                <w:color w:val="auto"/>
                <w:w w:val="91"/>
              </w:rPr>
              <w:t>42307 Osgood Road, Suite I</w:t>
            </w:r>
          </w:p>
        </w:tc>
        <w:tc>
          <w:tcPr>
            <w:tcW w:w="3640" w:type="dxa"/>
            <w:vAlign w:val="bottom"/>
          </w:tcPr>
          <w:p>
            <w:pPr>
              <w:spacing w:after="0"/>
              <w:rPr>
                <w:sz w:val="24"/>
                <w:szCs w:val="24"/>
                <w:color w:val="auto"/>
              </w:rPr>
            </w:pPr>
          </w:p>
        </w:tc>
      </w:tr>
      <w:tr>
        <w:trPr>
          <w:trHeight w:val="215"/>
        </w:trPr>
        <w:tc>
          <w:tcPr>
            <w:tcW w:w="5520" w:type="dxa"/>
            <w:vAlign w:val="bottom"/>
          </w:tcPr>
          <w:p>
            <w:pPr>
              <w:jc w:val="center"/>
              <w:ind w:right="1073"/>
              <w:spacing w:after="0"/>
              <w:rPr>
                <w:sz w:val="20"/>
                <w:szCs w:val="20"/>
                <w:color w:val="auto"/>
              </w:rPr>
            </w:pPr>
            <w:r>
              <w:rPr>
                <w:rFonts w:ascii="Arial" w:cs="Arial" w:eastAsia="Arial" w:hAnsi="Arial"/>
                <w:sz w:val="17"/>
                <w:szCs w:val="17"/>
                <w:b w:val="1"/>
                <w:bCs w:val="1"/>
                <w:color w:val="auto"/>
                <w:w w:val="94"/>
              </w:rPr>
              <w:t>Fremont, California</w:t>
            </w:r>
          </w:p>
        </w:tc>
        <w:tc>
          <w:tcPr>
            <w:tcW w:w="3640" w:type="dxa"/>
            <w:vAlign w:val="bottom"/>
          </w:tcPr>
          <w:p>
            <w:pPr>
              <w:jc w:val="right"/>
              <w:ind w:right="933"/>
              <w:spacing w:after="0"/>
              <w:rPr>
                <w:sz w:val="20"/>
                <w:szCs w:val="20"/>
                <w:color w:val="auto"/>
              </w:rPr>
            </w:pPr>
            <w:r>
              <w:rPr>
                <w:rFonts w:ascii="Arial" w:cs="Arial" w:eastAsia="Arial" w:hAnsi="Arial"/>
                <w:sz w:val="17"/>
                <w:szCs w:val="17"/>
                <w:b w:val="1"/>
                <w:bCs w:val="1"/>
                <w:color w:val="auto"/>
              </w:rPr>
              <w:t>94539</w:t>
            </w:r>
          </w:p>
        </w:tc>
      </w:tr>
      <w:tr>
        <w:trPr>
          <w:trHeight w:val="221"/>
        </w:trPr>
        <w:tc>
          <w:tcPr>
            <w:tcW w:w="5520" w:type="dxa"/>
            <w:vAlign w:val="bottom"/>
          </w:tcPr>
          <w:p>
            <w:pPr>
              <w:jc w:val="center"/>
              <w:ind w:right="1073"/>
              <w:spacing w:after="0"/>
              <w:rPr>
                <w:sz w:val="20"/>
                <w:szCs w:val="20"/>
                <w:color w:val="auto"/>
              </w:rPr>
            </w:pPr>
            <w:r>
              <w:rPr>
                <w:rFonts w:ascii="Arial" w:cs="Arial" w:eastAsia="Arial" w:hAnsi="Arial"/>
                <w:sz w:val="17"/>
                <w:szCs w:val="17"/>
                <w:i w:val="1"/>
                <w:iCs w:val="1"/>
                <w:color w:val="auto"/>
                <w:w w:val="93"/>
              </w:rPr>
              <w:t>(Address of Principal Executive Offices)</w:t>
            </w:r>
          </w:p>
        </w:tc>
        <w:tc>
          <w:tcPr>
            <w:tcW w:w="3640" w:type="dxa"/>
            <w:vAlign w:val="bottom"/>
          </w:tcPr>
          <w:p>
            <w:pPr>
              <w:jc w:val="center"/>
              <w:ind w:left="1073"/>
              <w:spacing w:after="0"/>
              <w:rPr>
                <w:sz w:val="20"/>
                <w:szCs w:val="20"/>
                <w:color w:val="auto"/>
              </w:rPr>
            </w:pPr>
            <w:r>
              <w:rPr>
                <w:rFonts w:ascii="Arial" w:cs="Arial" w:eastAsia="Arial" w:hAnsi="Arial"/>
                <w:sz w:val="17"/>
                <w:szCs w:val="17"/>
                <w:i w:val="1"/>
                <w:iCs w:val="1"/>
                <w:color w:val="auto"/>
                <w:w w:val="94"/>
              </w:rPr>
              <w:t>(Zip Code)</w:t>
            </w:r>
          </w:p>
        </w:tc>
      </w:tr>
    </w:tbl>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 xml:space="preserve">Registrant’s telephone number, including area code: </w:t>
      </w:r>
      <w:r>
        <w:rPr>
          <w:rFonts w:ascii="Arial" w:cs="Arial" w:eastAsia="Arial" w:hAnsi="Arial"/>
          <w:sz w:val="17"/>
          <w:szCs w:val="17"/>
          <w:b w:val="1"/>
          <w:bCs w:val="1"/>
          <w:color w:val="auto"/>
        </w:rPr>
        <w:t>(510) 445-3700</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20" w:type="dxa"/>
            <w:vAlign w:val="bottom"/>
            <w:gridSpan w:val="3"/>
          </w:tcPr>
          <w:p>
            <w:pPr>
              <w:ind w:left="100"/>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450"/>
        </w:trPr>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Title of Each Class</w:t>
            </w:r>
          </w:p>
        </w:tc>
        <w:tc>
          <w:tcPr>
            <w:tcW w:w="350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Trading Symbol</w:t>
            </w:r>
          </w:p>
        </w:tc>
        <w:tc>
          <w:tcPr>
            <w:tcW w:w="4220" w:type="dxa"/>
            <w:vAlign w:val="bottom"/>
          </w:tcPr>
          <w:p>
            <w:pPr>
              <w:jc w:val="center"/>
              <w:spacing w:after="0"/>
              <w:rPr>
                <w:sz w:val="20"/>
                <w:szCs w:val="20"/>
                <w:color w:val="auto"/>
              </w:rPr>
            </w:pPr>
            <w:r>
              <w:rPr>
                <w:rFonts w:ascii="Arial" w:cs="Arial" w:eastAsia="Arial" w:hAnsi="Arial"/>
                <w:sz w:val="17"/>
                <w:szCs w:val="17"/>
                <w:color w:val="auto"/>
                <w:w w:val="92"/>
              </w:rPr>
              <w:t>Name of Each Exchange on which Registered</w:t>
            </w:r>
          </w:p>
        </w:tc>
      </w:tr>
      <w:tr>
        <w:trPr>
          <w:trHeight w:val="227"/>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Class A Common Stock, $0.0001 par value</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ACMR</w:t>
            </w:r>
          </w:p>
        </w:tc>
        <w:tc>
          <w:tcPr>
            <w:tcW w:w="12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Nasdaq Global Market</w:t>
            </w:r>
          </w:p>
        </w:tc>
      </w:tr>
    </w:tbl>
    <w:p>
      <w:pPr>
        <w:spacing w:after="0" w:line="204"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4" w:lineRule="exact"/>
        <w:rPr>
          <w:sz w:val="24"/>
          <w:szCs w:val="24"/>
          <w:color w:val="auto"/>
        </w:rPr>
      </w:pPr>
    </w:p>
    <w:p>
      <w:pPr>
        <w:jc w:val="both"/>
        <w:spacing w:after="0" w:line="22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3"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2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4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322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4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3"/>
        </w:trPr>
        <w:tc>
          <w:tcPr>
            <w:tcW w:w="19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5100" w:type="dxa"/>
            <w:vAlign w:val="bottom"/>
          </w:tcPr>
          <w:p>
            <w:pPr>
              <w:ind w:left="274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03"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7"/>
          <w:szCs w:val="17"/>
          <w:color w:val="auto"/>
        </w:rPr>
        <w:t>☑</w:t>
      </w:r>
    </w:p>
    <w:p>
      <w:pPr>
        <w:spacing w:after="0" w:line="17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7"/>
                <w:szCs w:val="17"/>
                <w:b w:val="1"/>
                <w:bCs w:val="1"/>
                <w:color w:val="auto"/>
                <w:w w:val="88"/>
              </w:rPr>
              <w:t>Class</w:t>
            </w:r>
          </w:p>
        </w:tc>
        <w:tc>
          <w:tcPr>
            <w:tcW w:w="2440" w:type="dxa"/>
            <w:vAlign w:val="bottom"/>
          </w:tcPr>
          <w:p>
            <w:pPr>
              <w:spacing w:after="0"/>
              <w:rPr>
                <w:sz w:val="16"/>
                <w:szCs w:val="16"/>
                <w:color w:val="auto"/>
              </w:rPr>
            </w:pPr>
          </w:p>
        </w:tc>
        <w:tc>
          <w:tcPr>
            <w:tcW w:w="5780" w:type="dxa"/>
            <w:vAlign w:val="bottom"/>
            <w:gridSpan w:val="3"/>
          </w:tcPr>
          <w:p>
            <w:pPr>
              <w:jc w:val="center"/>
              <w:ind w:left="93"/>
              <w:spacing w:after="0"/>
              <w:rPr>
                <w:sz w:val="20"/>
                <w:szCs w:val="20"/>
                <w:color w:val="auto"/>
              </w:rPr>
            </w:pPr>
            <w:r>
              <w:rPr>
                <w:rFonts w:ascii="Arial" w:cs="Arial" w:eastAsia="Arial" w:hAnsi="Arial"/>
                <w:sz w:val="17"/>
                <w:szCs w:val="17"/>
                <w:b w:val="1"/>
                <w:bCs w:val="1"/>
                <w:color w:val="auto"/>
                <w:w w:val="92"/>
              </w:rPr>
              <w:t>Number of Shares Outstanding</w:t>
            </w:r>
          </w:p>
        </w:tc>
      </w:tr>
      <w:tr>
        <w:trPr>
          <w:trHeight w:val="20"/>
        </w:trPr>
        <w:tc>
          <w:tcPr>
            <w:tcW w:w="2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5460" w:type="dxa"/>
            <w:vAlign w:val="bottom"/>
            <w:gridSpan w:val="3"/>
          </w:tcPr>
          <w:p>
            <w:pPr>
              <w:jc w:val="center"/>
              <w:ind w:left="73"/>
              <w:spacing w:after="0"/>
              <w:rPr>
                <w:sz w:val="20"/>
                <w:szCs w:val="20"/>
                <w:color w:val="auto"/>
              </w:rPr>
            </w:pPr>
            <w:r>
              <w:rPr>
                <w:rFonts w:ascii="Arial" w:cs="Arial" w:eastAsia="Arial" w:hAnsi="Arial"/>
                <w:sz w:val="17"/>
                <w:szCs w:val="17"/>
                <w:color w:val="auto"/>
                <w:w w:val="92"/>
              </w:rPr>
              <w:t>Class A Common Stock, $0.0001 par value</w:t>
            </w:r>
          </w:p>
        </w:tc>
        <w:tc>
          <w:tcPr>
            <w:tcW w:w="5780" w:type="dxa"/>
            <w:vAlign w:val="bottom"/>
            <w:gridSpan w:val="3"/>
          </w:tcPr>
          <w:p>
            <w:pPr>
              <w:jc w:val="center"/>
              <w:ind w:left="93"/>
              <w:spacing w:after="0"/>
              <w:rPr>
                <w:sz w:val="20"/>
                <w:szCs w:val="20"/>
                <w:color w:val="auto"/>
              </w:rPr>
            </w:pPr>
            <w:r>
              <w:rPr>
                <w:rFonts w:ascii="Arial" w:cs="Arial" w:eastAsia="Arial" w:hAnsi="Arial"/>
                <w:sz w:val="17"/>
                <w:szCs w:val="17"/>
                <w:color w:val="auto"/>
                <w:w w:val="91"/>
              </w:rPr>
              <w:t>16,272,306 shares outstanding as of August 04, 2020</w:t>
            </w:r>
          </w:p>
        </w:tc>
      </w:tr>
      <w:tr>
        <w:trPr>
          <w:trHeight w:val="221"/>
        </w:trPr>
        <w:tc>
          <w:tcPr>
            <w:tcW w:w="5460" w:type="dxa"/>
            <w:vAlign w:val="bottom"/>
            <w:gridSpan w:val="3"/>
          </w:tcPr>
          <w:p>
            <w:pPr>
              <w:jc w:val="center"/>
              <w:ind w:left="93"/>
              <w:spacing w:after="0"/>
              <w:rPr>
                <w:sz w:val="20"/>
                <w:szCs w:val="20"/>
                <w:color w:val="auto"/>
              </w:rPr>
            </w:pPr>
            <w:r>
              <w:rPr>
                <w:rFonts w:ascii="Arial" w:cs="Arial" w:eastAsia="Arial" w:hAnsi="Arial"/>
                <w:sz w:val="17"/>
                <w:szCs w:val="17"/>
                <w:color w:val="auto"/>
                <w:w w:val="92"/>
              </w:rPr>
              <w:t>Class B Common Stock, $0.0001 par value</w:t>
            </w:r>
          </w:p>
        </w:tc>
        <w:tc>
          <w:tcPr>
            <w:tcW w:w="5780" w:type="dxa"/>
            <w:vAlign w:val="bottom"/>
            <w:gridSpan w:val="3"/>
          </w:tcPr>
          <w:p>
            <w:pPr>
              <w:jc w:val="center"/>
              <w:ind w:left="93"/>
              <w:spacing w:after="0"/>
              <w:rPr>
                <w:sz w:val="20"/>
                <w:szCs w:val="20"/>
                <w:color w:val="auto"/>
              </w:rPr>
            </w:pPr>
            <w:r>
              <w:rPr>
                <w:rFonts w:ascii="Arial" w:cs="Arial" w:eastAsia="Arial" w:hAnsi="Arial"/>
                <w:sz w:val="17"/>
                <w:szCs w:val="17"/>
                <w:color w:val="auto"/>
                <w:w w:val="91"/>
              </w:rPr>
              <w:t>1,802,606 shares outstanding as of August 04, 2020</w:t>
            </w:r>
          </w:p>
        </w:tc>
      </w:tr>
      <w:tr>
        <w:trPr>
          <w:trHeight w:val="327"/>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56"/>
        </w:trPr>
        <w:tc>
          <w:tcPr>
            <w:tcW w:w="26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463"/>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340" w:type="dxa"/>
            <w:vAlign w:val="bottom"/>
            <w:gridSpan w:val="2"/>
          </w:tcPr>
          <w:p>
            <w:pPr>
              <w:ind w:left="322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PART I.</w:t>
            </w:r>
          </w:p>
        </w:tc>
        <w:tc>
          <w:tcPr>
            <w:tcW w:w="9760" w:type="dxa"/>
            <w:vAlign w:val="bottom"/>
            <w:gridSpan w:val="4"/>
            <w:shd w:val="clear" w:color="auto" w:fill="CCEEFF"/>
          </w:tcPr>
          <w:p>
            <w:pPr>
              <w:ind w:left="8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FINANCIAL INFORMATION</w:t>
              </w:r>
            </w:hyperlink>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7"/>
                <w:szCs w:val="17"/>
                <w:color w:val="auto"/>
              </w:rPr>
              <w:t>Item 1.</w:t>
            </w:r>
          </w:p>
        </w:tc>
        <w:tc>
          <w:tcPr>
            <w:tcW w:w="9760" w:type="dxa"/>
            <w:vAlign w:val="bottom"/>
            <w:gridSpan w:val="4"/>
          </w:tcPr>
          <w:p>
            <w:pPr>
              <w:ind w:left="8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Financial Statements (unaudited)</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760" w:type="dxa"/>
            <w:vAlign w:val="bottom"/>
            <w:gridSpan w:val="4"/>
            <w:shd w:val="clear" w:color="auto" w:fill="CCEEFF"/>
          </w:tcPr>
          <w:p>
            <w:pPr>
              <w:ind w:left="8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Condensed Consolidated Balance Sheets as of June 30, 2020 and December 31, 2019</w:t>
              </w:r>
            </w:hyperlink>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80" w:type="dxa"/>
            <w:vAlign w:val="bottom"/>
            <w:gridSpan w:val="3"/>
          </w:tcPr>
          <w:p>
            <w:pPr>
              <w:spacing w:after="0" w:line="170" w:lineRule="exact"/>
              <w:rPr>
                <w:rFonts w:ascii="Arial" w:cs="Arial" w:eastAsia="Arial" w:hAnsi="Arial"/>
                <w:sz w:val="17"/>
                <w:szCs w:val="17"/>
                <w:color w:val="0000EE"/>
                <w:w w:val="93"/>
              </w:rPr>
            </w:pPr>
            <w:hyperlink w:anchor="page5">
              <w:r>
                <w:rPr>
                  <w:rFonts w:ascii="Arial" w:cs="Arial" w:eastAsia="Arial" w:hAnsi="Arial"/>
                  <w:sz w:val="17"/>
                  <w:szCs w:val="17"/>
                  <w:color w:val="0000EE"/>
                  <w:w w:val="93"/>
                </w:rPr>
                <w:t>Condensed Consolidated Statements of Operations and Comprehensive Income for the Three and Six Months Ended June 30, 2020 and</w:t>
              </w:r>
            </w:hyperlink>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340" w:type="dxa"/>
            <w:vAlign w:val="bottom"/>
            <w:tcBorders>
              <w:top w:val="single" w:sz="8" w:color="0000EE"/>
            </w:tcBorders>
            <w:vMerge w:val="restart"/>
          </w:tcPr>
          <w:p>
            <w:pPr>
              <w:spacing w:after="0" w:line="189" w:lineRule="exact"/>
              <w:rPr>
                <w:rFonts w:ascii="Arial" w:cs="Arial" w:eastAsia="Arial" w:hAnsi="Arial"/>
                <w:sz w:val="17"/>
                <w:szCs w:val="17"/>
                <w:color w:val="0000EE"/>
                <w:w w:val="84"/>
              </w:rPr>
            </w:pPr>
            <w:hyperlink w:anchor="page5">
              <w:r>
                <w:rPr>
                  <w:rFonts w:ascii="Arial" w:cs="Arial" w:eastAsia="Arial" w:hAnsi="Arial"/>
                  <w:sz w:val="17"/>
                  <w:szCs w:val="17"/>
                  <w:color w:val="0000EE"/>
                  <w:w w:val="84"/>
                </w:rPr>
                <w:t>2019</w:t>
              </w:r>
            </w:hyperlink>
          </w:p>
        </w:tc>
        <w:tc>
          <w:tcPr>
            <w:tcW w:w="9080" w:type="dxa"/>
            <w:vAlign w:val="bottom"/>
            <w:tcBorders>
              <w:top w:val="single" w:sz="8" w:color="0000EE"/>
            </w:tcBorders>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340" w:type="dxa"/>
            <w:vAlign w:val="bottom"/>
            <w:tcBorders>
              <w:bottom w:val="single" w:sz="8" w:color="0000EE"/>
            </w:tcBorders>
            <w:vMerge w:val="continue"/>
          </w:tcPr>
          <w:p>
            <w:pPr>
              <w:spacing w:after="0"/>
              <w:rPr>
                <w:sz w:val="5"/>
                <w:szCs w:val="5"/>
                <w:color w:val="auto"/>
              </w:rPr>
            </w:pPr>
          </w:p>
        </w:tc>
        <w:tc>
          <w:tcPr>
            <w:tcW w:w="9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760" w:type="dxa"/>
            <w:vAlign w:val="bottom"/>
            <w:gridSpan w:val="4"/>
            <w:shd w:val="clear" w:color="auto" w:fill="CCEEFF"/>
          </w:tcPr>
          <w:p>
            <w:pPr>
              <w:ind w:left="80"/>
              <w:spacing w:after="0"/>
              <w:rPr>
                <w:rFonts w:ascii="Arial" w:cs="Arial" w:eastAsia="Arial" w:hAnsi="Arial"/>
                <w:sz w:val="17"/>
                <w:szCs w:val="17"/>
                <w:u w:val="single" w:color="auto"/>
                <w:color w:val="0000EE"/>
                <w:w w:val="95"/>
              </w:rPr>
            </w:pPr>
            <w:hyperlink w:anchor="page6">
              <w:r>
                <w:rPr>
                  <w:rFonts w:ascii="Arial" w:cs="Arial" w:eastAsia="Arial" w:hAnsi="Arial"/>
                  <w:sz w:val="17"/>
                  <w:szCs w:val="17"/>
                  <w:u w:val="single" w:color="auto"/>
                  <w:color w:val="0000EE"/>
                  <w:w w:val="95"/>
                </w:rPr>
                <w:t>Condensed Consolidated Statements of Changes in Stockholders’ Equity for the Three and Six Months Ended June 30, 2020 and 2019</w:t>
              </w:r>
            </w:hyperlink>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gridSpan w:val="4"/>
          </w:tcPr>
          <w:p>
            <w:pPr>
              <w:ind w:left="80"/>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Condensed Consolidated Statements of Cash Flows for the Six Months Ended June 30, 2020 and 2019</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760" w:type="dxa"/>
            <w:vAlign w:val="bottom"/>
            <w:gridSpan w:val="4"/>
            <w:shd w:val="clear" w:color="auto" w:fill="CCEEFF"/>
          </w:tcPr>
          <w:p>
            <w:pPr>
              <w:ind w:left="80"/>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Notes to Condensed Consolidated Financial Statements</w:t>
              </w:r>
            </w:hyperlink>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7"/>
                <w:szCs w:val="17"/>
                <w:color w:val="auto"/>
              </w:rPr>
              <w:t>Item 2.</w:t>
            </w:r>
          </w:p>
        </w:tc>
        <w:tc>
          <w:tcPr>
            <w:tcW w:w="9760" w:type="dxa"/>
            <w:vAlign w:val="bottom"/>
            <w:gridSpan w:val="4"/>
          </w:tcPr>
          <w:p>
            <w:pPr>
              <w:ind w:left="80"/>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Item 3.</w:t>
            </w:r>
          </w:p>
        </w:tc>
        <w:tc>
          <w:tcPr>
            <w:tcW w:w="9760" w:type="dxa"/>
            <w:vAlign w:val="bottom"/>
            <w:gridSpan w:val="4"/>
            <w:shd w:val="clear" w:color="auto" w:fill="CCEEFF"/>
          </w:tcPr>
          <w:p>
            <w:pPr>
              <w:ind w:left="80"/>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Quantitative and Qualitative Disclosures about Market Risks</w:t>
              </w:r>
            </w:hyperlink>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7"/>
                <w:szCs w:val="17"/>
                <w:color w:val="auto"/>
              </w:rPr>
              <w:t>Item 4.</w:t>
            </w:r>
          </w:p>
        </w:tc>
        <w:tc>
          <w:tcPr>
            <w:tcW w:w="9760" w:type="dxa"/>
            <w:vAlign w:val="bottom"/>
            <w:gridSpan w:val="4"/>
          </w:tcPr>
          <w:p>
            <w:pPr>
              <w:ind w:left="80"/>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7"/>
                <w:szCs w:val="17"/>
                <w:color w:val="auto"/>
              </w:rPr>
              <w:t>PART II.</w:t>
            </w:r>
          </w:p>
        </w:tc>
        <w:tc>
          <w:tcPr>
            <w:tcW w:w="9760" w:type="dxa"/>
            <w:vAlign w:val="bottom"/>
            <w:gridSpan w:val="4"/>
            <w:shd w:val="clear" w:color="auto" w:fill="CCEEFF"/>
          </w:tcPr>
          <w:p>
            <w:pPr>
              <w:ind w:left="80"/>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OTHER INFORMATION</w:t>
              </w:r>
            </w:hyperlink>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7"/>
                <w:szCs w:val="17"/>
                <w:color w:val="auto"/>
              </w:rPr>
              <w:t>Item 1A.</w:t>
            </w:r>
          </w:p>
        </w:tc>
        <w:tc>
          <w:tcPr>
            <w:tcW w:w="9760" w:type="dxa"/>
            <w:vAlign w:val="bottom"/>
            <w:gridSpan w:val="4"/>
          </w:tcPr>
          <w:p>
            <w:pPr>
              <w:ind w:left="80"/>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Item 2.</w:t>
            </w:r>
          </w:p>
        </w:tc>
        <w:tc>
          <w:tcPr>
            <w:tcW w:w="9760" w:type="dxa"/>
            <w:vAlign w:val="bottom"/>
            <w:gridSpan w:val="4"/>
            <w:shd w:val="clear" w:color="auto" w:fill="CCEEFF"/>
          </w:tcPr>
          <w:p>
            <w:pPr>
              <w:ind w:left="80"/>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Unregistered Sales of Equity Securities and Use of Proceeds</w:t>
              </w:r>
            </w:hyperlink>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7"/>
                <w:szCs w:val="17"/>
                <w:color w:val="auto"/>
              </w:rPr>
              <w:t>Item 6.</w:t>
            </w:r>
          </w:p>
        </w:tc>
        <w:tc>
          <w:tcPr>
            <w:tcW w:w="9760" w:type="dxa"/>
            <w:vAlign w:val="bottom"/>
            <w:gridSpan w:val="4"/>
          </w:tcPr>
          <w:p>
            <w:pPr>
              <w:ind w:left="80"/>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Exhibits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shd w:val="clear" w:color="auto" w:fill="CCEEFF"/>
          </w:tcPr>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SIGNATURE</w:t>
              </w:r>
            </w:hyperlink>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171"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SAPS, TEBO, ULTRA C and ULTRA FURNACE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 ABOUT FORWARD-LOOKING STATEMENTS</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information included in this report under the heading “Item 2. Management’s Discussion and Analysis of Financial Condition and Results of Operations – Overview” contains statistical data and estimates, including forecasts, that are based on information provided by Gartner, Inc., or Gartner, in “Forecast: Semiconductor Wafer Fab Manufacturing Equipment (Including Wafer-Level Packaging), Worldwide, 4Q19 Update” (December 2019),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1"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8020" w:type="dxa"/>
            <w:vAlign w:val="bottom"/>
          </w:tcPr>
          <w:p>
            <w:pPr>
              <w:ind w:left="120"/>
              <w:spacing w:after="0"/>
              <w:rPr>
                <w:sz w:val="20"/>
                <w:szCs w:val="20"/>
                <w:color w:val="auto"/>
              </w:rPr>
            </w:pPr>
            <w:r>
              <w:rPr>
                <w:rFonts w:ascii="Arial" w:cs="Arial" w:eastAsia="Arial" w:hAnsi="Arial"/>
                <w:sz w:val="17"/>
                <w:szCs w:val="17"/>
                <w:b w:val="1"/>
                <w:bCs w:val="1"/>
                <w:color w:val="auto"/>
              </w:rPr>
              <w:t>Financial Statements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20" w:type="dxa"/>
            <w:vAlign w:val="bottom"/>
          </w:tcPr>
          <w:p>
            <w:pPr>
              <w:jc w:val="center"/>
              <w:ind w:left="1813"/>
              <w:spacing w:after="0"/>
              <w:rPr>
                <w:sz w:val="20"/>
                <w:szCs w:val="20"/>
                <w:color w:val="auto"/>
              </w:rPr>
            </w:pPr>
            <w:r>
              <w:rPr>
                <w:rFonts w:ascii="Arial" w:cs="Arial" w:eastAsia="Arial" w:hAnsi="Arial"/>
                <w:sz w:val="17"/>
                <w:szCs w:val="17"/>
                <w:b w:val="1"/>
                <w:bCs w:val="1"/>
                <w:color w:val="auto"/>
              </w:rPr>
              <w:t>ACM RESEARCH,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20" w:type="dxa"/>
            <w:vAlign w:val="bottom"/>
          </w:tcPr>
          <w:p>
            <w:pPr>
              <w:jc w:val="center"/>
              <w:ind w:left="1813"/>
              <w:spacing w:after="0"/>
              <w:rPr>
                <w:sz w:val="20"/>
                <w:szCs w:val="20"/>
                <w:color w:val="auto"/>
              </w:rPr>
            </w:pPr>
            <w:r>
              <w:rPr>
                <w:rFonts w:ascii="Arial" w:cs="Arial" w:eastAsia="Arial" w:hAnsi="Arial"/>
                <w:sz w:val="17"/>
                <w:szCs w:val="17"/>
                <w:b w:val="1"/>
                <w:bCs w:val="1"/>
                <w:color w:val="auto"/>
                <w:w w:val="89"/>
              </w:rPr>
              <w:t>Condensed Consolidated Balance Sheets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20" w:type="dxa"/>
            <w:vAlign w:val="bottom"/>
          </w:tcPr>
          <w:p>
            <w:pPr>
              <w:jc w:val="center"/>
              <w:ind w:left="1813"/>
              <w:spacing w:after="0"/>
              <w:rPr>
                <w:sz w:val="20"/>
                <w:szCs w:val="20"/>
                <w:color w:val="auto"/>
              </w:rPr>
            </w:pPr>
            <w:r>
              <w:rPr>
                <w:rFonts w:ascii="Arial" w:cs="Arial" w:eastAsia="Arial" w:hAnsi="Arial"/>
                <w:sz w:val="17"/>
                <w:szCs w:val="17"/>
                <w:i w:val="1"/>
                <w:iCs w:val="1"/>
                <w:color w:val="auto"/>
                <w:w w:val="91"/>
              </w:rPr>
              <w:t>(in thousands, except share and per share data)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20" w:type="dxa"/>
            <w:vAlign w:val="bottom"/>
          </w:tcPr>
          <w:p>
            <w:pPr>
              <w:jc w:val="center"/>
              <w:ind w:left="1813"/>
              <w:spacing w:after="0"/>
              <w:rPr>
                <w:sz w:val="20"/>
                <w:szCs w:val="20"/>
                <w:color w:val="auto"/>
              </w:rPr>
            </w:pPr>
            <w:r>
              <w:rPr>
                <w:rFonts w:ascii="Arial" w:cs="Arial" w:eastAsia="Arial" w:hAnsi="Arial"/>
                <w:sz w:val="17"/>
                <w:szCs w:val="17"/>
                <w:i w:val="1"/>
                <w:iCs w:val="1"/>
                <w:color w:val="auto"/>
                <w:w w:val="92"/>
              </w:rPr>
              <w:t>(unaudited)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9"/>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5"/>
              </w:rPr>
              <w:t>December 31,</w:t>
            </w: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20" w:type="dxa"/>
            <w:vAlign w:val="bottom"/>
          </w:tcPr>
          <w:p>
            <w:pPr>
              <w:jc w:val="center"/>
              <w:ind w:right="693"/>
              <w:spacing w:after="0"/>
              <w:rPr>
                <w:sz w:val="20"/>
                <w:szCs w:val="20"/>
                <w:color w:val="auto"/>
              </w:rPr>
            </w:pPr>
            <w:r>
              <w:rPr>
                <w:rFonts w:ascii="Arial" w:cs="Arial" w:eastAsia="Arial" w:hAnsi="Arial"/>
                <w:sz w:val="17"/>
                <w:szCs w:val="17"/>
                <w:b w:val="1"/>
                <w:bCs w:val="1"/>
                <w:color w:val="auto"/>
                <w:w w:val="86"/>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68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58,261</w:t>
            </w: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59,598</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Accounts receivable, less allowance for doubtful accounts of $0 as of June 30, 2020 and December 31, 2019 (note 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31,091</w:t>
            </w: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Other receivables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2,603</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Inventories (note 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44,796</w:t>
            </w:r>
          </w:p>
        </w:tc>
      </w:tr>
      <w:tr>
        <w:trPr>
          <w:trHeight w:val="215"/>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Prepaid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2,047</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205,880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198,396</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Property, plant and equipment, net (note 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3,619</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right-of-use assets, net (note 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3,887</w:t>
            </w: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344</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assets (note 16)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5,331</w:t>
            </w: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Long-term investments (note 10)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20,360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5,934</w:t>
            </w: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long-term assets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16,466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ind w:left="440"/>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257,402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217,703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20" w:type="dxa"/>
            <w:vAlign w:val="bottom"/>
            <w:shd w:val="clear" w:color="auto" w:fill="CCEEFF"/>
          </w:tcPr>
          <w:p>
            <w:pPr>
              <w:jc w:val="center"/>
              <w:ind w:right="693"/>
              <w:spacing w:after="0"/>
              <w:rPr>
                <w:sz w:val="20"/>
                <w:szCs w:val="20"/>
                <w:color w:val="auto"/>
              </w:rPr>
            </w:pPr>
            <w:r>
              <w:rPr>
                <w:rFonts w:ascii="Arial" w:cs="Arial" w:eastAsia="Arial" w:hAnsi="Arial"/>
                <w:sz w:val="17"/>
                <w:szCs w:val="17"/>
                <w:b w:val="1"/>
                <w:bCs w:val="1"/>
                <w:color w:val="auto"/>
                <w:w w:val="92"/>
              </w:rPr>
              <w:t>Liabilities, Redeemable Non-controlling Interests and Stockholders’ Equity</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Short-term borrowings (note 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13,753</w:t>
            </w:r>
          </w:p>
        </w:tc>
      </w:tr>
      <w:tr>
        <w:trPr>
          <w:trHeight w:val="209"/>
        </w:trPr>
        <w:tc>
          <w:tcPr>
            <w:tcW w:w="20" w:type="dxa"/>
            <w:vAlign w:val="bottom"/>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27,986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13,262</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Advances from customers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9,129</w:t>
            </w:r>
          </w:p>
        </w:tc>
      </w:tr>
      <w:tr>
        <w:trPr>
          <w:trHeight w:val="209"/>
        </w:trPr>
        <w:tc>
          <w:tcPr>
            <w:tcW w:w="20" w:type="dxa"/>
            <w:vAlign w:val="bottom"/>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rPr>
              <w:t>Income taxes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3,129</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payables and accrued expenses (note 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12,874</w:t>
            </w:r>
          </w:p>
        </w:tc>
      </w:tr>
      <w:tr>
        <w:trPr>
          <w:trHeight w:val="209"/>
        </w:trPr>
        <w:tc>
          <w:tcPr>
            <w:tcW w:w="20" w:type="dxa"/>
            <w:vAlign w:val="bottom"/>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rPr>
              <w:t>Current portion of operating lease liability (note 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1,355</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5"/>
        </w:trPr>
        <w:tc>
          <w:tcPr>
            <w:tcW w:w="20" w:type="dxa"/>
            <w:vAlign w:val="bottom"/>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rPr>
              <w:t>Financial liability carried at fair value (note 11)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15,147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96,516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53,502</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rPr>
              <w:t>Long-term operating lease liability (note 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2,532</w:t>
            </w: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long-term liabilities (note 9)</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tcPr>
          <w:p>
            <w:pPr>
              <w:ind w:left="44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106,417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60,220</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17)</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Redeemable non-controlling interests (note 14)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60,162</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w w:val="94"/>
              </w:rPr>
              <w:t>Common stock – Class A, par value $0.0001: 50,000,000 shares authorized as of June 30, 2020 and December 31, 2019;</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w w:val="97"/>
              </w:rPr>
              <w:t>16,250,092 shares issued and outstanding as of June 30, 2020 and 16,182,151 shares issued and outstanding as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660" w:type="dxa"/>
            <w:vAlign w:val="bottom"/>
            <w:gridSpan w:val="2"/>
          </w:tcPr>
          <w:p>
            <w:pPr>
              <w:ind w:left="100"/>
              <w:spacing w:after="0"/>
              <w:rPr>
                <w:sz w:val="20"/>
                <w:szCs w:val="20"/>
                <w:color w:val="auto"/>
              </w:rPr>
            </w:pPr>
            <w:r>
              <w:rPr>
                <w:rFonts w:ascii="Arial" w:cs="Arial" w:eastAsia="Arial" w:hAnsi="Arial"/>
                <w:sz w:val="17"/>
                <w:szCs w:val="17"/>
                <w:color w:val="auto"/>
              </w:rPr>
              <w:t>December 31, 2019 (note 13)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197"/>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Common stock–Class B, par value $0.0001: 2,409,738 shares authorized as of June 30, 2020 and December 31, 2019;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9"/>
              </w:rPr>
              <w:t>1,802,606 shares issued and outstanding as of June 30, 2020 and 1,862,608 shares issued and outstanding as of</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December 31, 2019 (note 13)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Additional paid 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76,189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83,487</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surplus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15,507</w:t>
            </w:r>
          </w:p>
        </w:tc>
      </w:tr>
      <w:tr>
        <w:trPr>
          <w:trHeight w:val="215"/>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(3,415)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(1,675)</w:t>
            </w:r>
          </w:p>
        </w:tc>
      </w:tr>
      <w:tr>
        <w:trPr>
          <w:trHeight w:val="209"/>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ACM Research,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89,907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97,321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Non-controlling interests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61,078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150,985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ind w:left="320"/>
              <w:spacing w:after="0"/>
              <w:rPr>
                <w:sz w:val="20"/>
                <w:szCs w:val="20"/>
                <w:color w:val="auto"/>
              </w:rPr>
            </w:pPr>
            <w:r>
              <w:rPr>
                <w:rFonts w:ascii="Arial" w:cs="Arial" w:eastAsia="Arial" w:hAnsi="Arial"/>
                <w:sz w:val="17"/>
                <w:szCs w:val="17"/>
                <w:b w:val="1"/>
                <w:bCs w:val="1"/>
                <w:color w:val="auto"/>
              </w:rPr>
              <w:t>Total liabilities, redeemable non-controlling interests, and stockholders’ equity</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257,402</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217,703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3676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w w:val="92"/>
              </w:rPr>
              <w:t>Three Months Ended June 30,</w:t>
            </w:r>
          </w:p>
        </w:tc>
        <w:tc>
          <w:tcPr>
            <w:tcW w:w="140" w:type="dxa"/>
            <w:vAlign w:val="bottom"/>
          </w:tcPr>
          <w:p>
            <w:pPr>
              <w:spacing w:after="0"/>
              <w:rPr>
                <w:sz w:val="20"/>
                <w:szCs w:val="20"/>
                <w:color w:val="auto"/>
              </w:rPr>
            </w:pPr>
          </w:p>
        </w:tc>
        <w:tc>
          <w:tcPr>
            <w:tcW w:w="238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w w:val="93"/>
              </w:rPr>
              <w:t>Six Months Ended 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19,693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15,879</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33,813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27,532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19,356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13,131</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29,584</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Sales and marketing</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8,898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7"/>
                <w:szCs w:val="17"/>
                <w:b w:val="1"/>
                <w:bCs w:val="1"/>
                <w:color w:val="auto"/>
              </w:rPr>
              <w:t>Total operating expenses,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12,020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21,030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15,045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Income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7,336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4,661</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8,554</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655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Change in fair value of financial liability</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(5,431)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(5,431)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Equity income in net income of affiliates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153</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357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5,187</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4,622</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Income tax expense (note 16)</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(1,859)</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(876)</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(2,163)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Net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4,311</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Less: Net income attributable to non-controlling interests and redeemable non-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40" w:type="dxa"/>
            <w:vAlign w:val="bottom"/>
          </w:tcPr>
          <w:p>
            <w:pPr>
              <w:ind w:left="100"/>
              <w:spacing w:after="0"/>
              <w:rPr>
                <w:sz w:val="20"/>
                <w:szCs w:val="20"/>
                <w:color w:val="auto"/>
              </w:rPr>
            </w:pPr>
            <w:r>
              <w:rPr>
                <w:rFonts w:ascii="Arial" w:cs="Arial" w:eastAsia="Arial" w:hAnsi="Arial"/>
                <w:sz w:val="17"/>
                <w:szCs w:val="17"/>
                <w:color w:val="auto"/>
              </w:rPr>
              <w:t>controlling interests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835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Comprehensive income: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2,459</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7"/>
                <w:szCs w:val="17"/>
                <w:color w:val="auto"/>
              </w:rPr>
              <w:t>Foreign currency translation adjustment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(968)</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(1,658)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Comprehensive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Less: Comprehensive income attributable to non-controlling interests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40" w:type="dxa"/>
            <w:vAlign w:val="bottom"/>
          </w:tcPr>
          <w:p>
            <w:pPr>
              <w:ind w:left="100"/>
              <w:spacing w:after="0"/>
              <w:rPr>
                <w:sz w:val="20"/>
                <w:szCs w:val="20"/>
                <w:color w:val="auto"/>
              </w:rPr>
            </w:pPr>
            <w:r>
              <w:rPr>
                <w:rFonts w:ascii="Arial" w:cs="Arial" w:eastAsia="Arial" w:hAnsi="Arial"/>
                <w:sz w:val="17"/>
                <w:szCs w:val="17"/>
                <w:color w:val="auto"/>
              </w:rPr>
              <w:t>redeemable non-controlling interests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916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Comprehensive income (loss) attributable to ACM Research,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w w:val="96"/>
              </w:rPr>
              <w:t>Net income (loss) attributable to ACM Research, Inc. per common share (note 2):</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(0.00)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0.27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0.09</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0.08</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 used in computing per share</w:t>
            </w: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amounts (note 2):</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7"/>
                <w:szCs w:val="17"/>
                <w:color w:val="auto"/>
              </w:rPr>
              <w:t>Basic</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18,050,841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16,090,937</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18,085,602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16,067,924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21,516,175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18,604,347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21,197,203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18,455,534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0" w:type="dxa"/>
            <w:vAlign w:val="bottom"/>
            <w:gridSpan w:val="6"/>
          </w:tcPr>
          <w:p>
            <w:pPr>
              <w:jc w:val="center"/>
              <w:ind w:right="233"/>
              <w:spacing w:after="0"/>
              <w:rPr>
                <w:sz w:val="20"/>
                <w:szCs w:val="20"/>
                <w:color w:val="auto"/>
              </w:rPr>
            </w:pPr>
            <w:r>
              <w:rPr>
                <w:rFonts w:ascii="Arial" w:cs="Arial" w:eastAsia="Arial" w:hAnsi="Arial"/>
                <w:sz w:val="17"/>
                <w:szCs w:val="17"/>
                <w:b w:val="1"/>
                <w:bCs w:val="1"/>
                <w:color w:val="auto"/>
              </w:rPr>
              <w:t>ACM RESEARCH, INC.</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gridSpan w:val="12"/>
          </w:tcPr>
          <w:p>
            <w:pPr>
              <w:jc w:val="center"/>
              <w:ind w:left="153"/>
              <w:spacing w:after="0"/>
              <w:rPr>
                <w:sz w:val="20"/>
                <w:szCs w:val="20"/>
                <w:color w:val="auto"/>
              </w:rPr>
            </w:pPr>
            <w:r>
              <w:rPr>
                <w:rFonts w:ascii="Arial" w:cs="Arial" w:eastAsia="Arial" w:hAnsi="Arial"/>
                <w:sz w:val="17"/>
                <w:szCs w:val="17"/>
                <w:b w:val="1"/>
                <w:bCs w:val="1"/>
                <w:color w:val="auto"/>
                <w:w w:val="90"/>
              </w:rPr>
              <w:t>Condensed Consolidated Statements of Changes in Stockholders’ Equity</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gridSpan w:val="11"/>
          </w:tcPr>
          <w:p>
            <w:pPr>
              <w:jc w:val="center"/>
              <w:ind w:right="13"/>
              <w:spacing w:after="0"/>
              <w:rPr>
                <w:sz w:val="20"/>
                <w:szCs w:val="20"/>
                <w:color w:val="auto"/>
              </w:rPr>
            </w:pPr>
            <w:r>
              <w:rPr>
                <w:rFonts w:ascii="Arial" w:cs="Arial" w:eastAsia="Arial" w:hAnsi="Arial"/>
                <w:sz w:val="17"/>
                <w:szCs w:val="17"/>
                <w:b w:val="1"/>
                <w:bCs w:val="1"/>
                <w:color w:val="auto"/>
                <w:w w:val="92"/>
              </w:rPr>
              <w:t>For the Six Months Ended June 30, 2020 and 2019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8"/>
          </w:tcPr>
          <w:p>
            <w:pPr>
              <w:jc w:val="center"/>
              <w:spacing w:after="0"/>
              <w:rPr>
                <w:sz w:val="20"/>
                <w:szCs w:val="20"/>
                <w:color w:val="auto"/>
              </w:rPr>
            </w:pPr>
            <w:r>
              <w:rPr>
                <w:rFonts w:ascii="Arial" w:cs="Arial" w:eastAsia="Arial" w:hAnsi="Arial"/>
                <w:sz w:val="17"/>
                <w:szCs w:val="17"/>
                <w:i w:val="1"/>
                <w:iCs w:val="1"/>
                <w:color w:val="auto"/>
                <w:w w:val="91"/>
              </w:rPr>
              <w:t>(in thousands, except share and per share data)</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40" w:type="dxa"/>
            <w:vAlign w:val="bottom"/>
            <w:gridSpan w:val="5"/>
          </w:tcPr>
          <w:p>
            <w:pPr>
              <w:jc w:val="center"/>
              <w:ind w:left="453"/>
              <w:spacing w:after="0"/>
              <w:rPr>
                <w:sz w:val="20"/>
                <w:szCs w:val="20"/>
                <w:color w:val="auto"/>
              </w:rPr>
            </w:pPr>
            <w:r>
              <w:rPr>
                <w:rFonts w:ascii="Arial" w:cs="Arial" w:eastAsia="Arial" w:hAnsi="Arial"/>
                <w:sz w:val="17"/>
                <w:szCs w:val="17"/>
                <w:i w:val="1"/>
                <w:iCs w:val="1"/>
                <w:color w:val="auto"/>
                <w:w w:val="92"/>
              </w:rPr>
              <w:t>(unaudited)</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53"/>
              <w:spacing w:after="0"/>
              <w:rPr>
                <w:sz w:val="20"/>
                <w:szCs w:val="20"/>
                <w:color w:val="auto"/>
              </w:rPr>
            </w:pPr>
            <w:r>
              <w:rPr>
                <w:rFonts w:ascii="Arial" w:cs="Arial" w:eastAsia="Arial" w:hAnsi="Arial"/>
                <w:sz w:val="17"/>
                <w:szCs w:val="17"/>
                <w:b w:val="1"/>
                <w:bCs w:val="1"/>
                <w:color w:val="auto"/>
              </w:rPr>
              <w:t>Common</w:t>
            </w:r>
          </w:p>
        </w:tc>
        <w:tc>
          <w:tcPr>
            <w:tcW w:w="320" w:type="dxa"/>
            <w:vAlign w:val="bottom"/>
          </w:tcPr>
          <w:p>
            <w:pPr>
              <w:spacing w:after="0"/>
              <w:rPr>
                <w:sz w:val="24"/>
                <w:szCs w:val="24"/>
                <w:color w:val="auto"/>
              </w:rPr>
            </w:pPr>
          </w:p>
        </w:tc>
        <w:tc>
          <w:tcPr>
            <w:tcW w:w="1560" w:type="dxa"/>
            <w:vAlign w:val="bottom"/>
            <w:gridSpan w:val="3"/>
          </w:tcPr>
          <w:p>
            <w:pPr>
              <w:jc w:val="right"/>
              <w:ind w:right="373"/>
              <w:spacing w:after="0"/>
              <w:rPr>
                <w:sz w:val="20"/>
                <w:szCs w:val="20"/>
                <w:color w:val="auto"/>
              </w:rPr>
            </w:pPr>
            <w:r>
              <w:rPr>
                <w:rFonts w:ascii="Arial" w:cs="Arial" w:eastAsia="Arial" w:hAnsi="Arial"/>
                <w:sz w:val="17"/>
                <w:szCs w:val="17"/>
                <w:b w:val="1"/>
                <w:bCs w:val="1"/>
                <w:color w:val="auto"/>
              </w:rPr>
              <w:t>Common</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Stock Class A</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7"/>
                <w:szCs w:val="17"/>
                <w:b w:val="1"/>
                <w:bCs w:val="1"/>
                <w:color w:val="auto"/>
              </w:rPr>
              <w:t>Stock Class B</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2"/>
          </w:tcPr>
          <w:p>
            <w:pPr>
              <w:jc w:val="center"/>
              <w:spacing w:after="0" w:line="190" w:lineRule="exact"/>
              <w:rPr>
                <w:sz w:val="20"/>
                <w:szCs w:val="20"/>
                <w:color w:val="auto"/>
              </w:rPr>
            </w:pPr>
            <w:r>
              <w:rPr>
                <w:rFonts w:ascii="Arial" w:cs="Arial" w:eastAsia="Arial" w:hAnsi="Arial"/>
                <w:sz w:val="17"/>
                <w:szCs w:val="17"/>
                <w:b w:val="1"/>
                <w:bCs w:val="1"/>
                <w:color w:val="auto"/>
                <w:w w:val="91"/>
              </w:rPr>
              <w:t>Accumulated</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center"/>
              <w:ind w:right="333"/>
              <w:spacing w:after="0"/>
              <w:rPr>
                <w:sz w:val="20"/>
                <w:szCs w:val="20"/>
                <w:color w:val="auto"/>
              </w:rPr>
            </w:pPr>
            <w:r>
              <w:rPr>
                <w:rFonts w:ascii="Arial" w:cs="Arial" w:eastAsia="Arial" w:hAnsi="Arial"/>
                <w:sz w:val="17"/>
                <w:szCs w:val="17"/>
                <w:b w:val="1"/>
                <w:bCs w:val="1"/>
                <w:color w:val="auto"/>
              </w:rPr>
              <w:t>Other</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Total</w:t>
            </w: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7"/>
                <w:szCs w:val="17"/>
                <w:b w:val="1"/>
                <w:bCs w:val="1"/>
                <w:color w:val="auto"/>
              </w:rPr>
              <w:t>Additional Paid-</w:t>
            </w: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w w:val="91"/>
              </w:rPr>
              <w:t>Accumulated</w:t>
            </w:r>
          </w:p>
        </w:tc>
        <w:tc>
          <w:tcPr>
            <w:tcW w:w="13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Comprehensive</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b w:val="1"/>
                <w:bCs w:val="1"/>
                <w:color w:val="auto"/>
                <w:w w:val="94"/>
              </w:rPr>
              <w:t>Stockholders’</w:t>
            </w: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7"/>
                <w:szCs w:val="17"/>
                <w:b w:val="1"/>
                <w:bCs w:val="1"/>
                <w:color w:val="auto"/>
              </w:rPr>
              <w:t>Amount</w:t>
            </w:r>
          </w:p>
        </w:tc>
        <w:tc>
          <w:tcPr>
            <w:tcW w:w="780" w:type="dxa"/>
            <w:vAlign w:val="bottom"/>
          </w:tcPr>
          <w:p>
            <w:pPr>
              <w:jc w:val="right"/>
              <w:ind w:right="73"/>
              <w:spacing w:after="0"/>
              <w:rPr>
                <w:sz w:val="20"/>
                <w:szCs w:val="20"/>
                <w:color w:val="auto"/>
              </w:rPr>
            </w:pPr>
            <w:r>
              <w:rPr>
                <w:rFonts w:ascii="Arial" w:cs="Arial" w:eastAsia="Arial" w:hAnsi="Arial"/>
                <w:sz w:val="17"/>
                <w:szCs w:val="17"/>
                <w:b w:val="1"/>
                <w:bCs w:val="1"/>
                <w:color w:val="auto"/>
              </w:rPr>
              <w:t>Shares</w:t>
            </w:r>
          </w:p>
        </w:tc>
        <w:tc>
          <w:tcPr>
            <w:tcW w:w="780" w:type="dxa"/>
            <w:vAlign w:val="bottom"/>
            <w:gridSpan w:val="2"/>
          </w:tcPr>
          <w:p>
            <w:pPr>
              <w:jc w:val="right"/>
              <w:spacing w:after="0"/>
              <w:rPr>
                <w:sz w:val="20"/>
                <w:szCs w:val="20"/>
                <w:color w:val="auto"/>
              </w:rPr>
            </w:pPr>
            <w:r>
              <w:rPr>
                <w:rFonts w:ascii="Arial" w:cs="Arial" w:eastAsia="Arial" w:hAnsi="Arial"/>
                <w:sz w:val="17"/>
                <w:szCs w:val="17"/>
                <w:b w:val="1"/>
                <w:bCs w:val="1"/>
                <w:color w:val="auto"/>
              </w:rPr>
              <w:t>Amount</w:t>
            </w:r>
          </w:p>
        </w:tc>
        <w:tc>
          <w:tcPr>
            <w:tcW w:w="1360" w:type="dxa"/>
            <w:vAlign w:val="bottom"/>
            <w:gridSpan w:val="4"/>
          </w:tcPr>
          <w:p>
            <w:pPr>
              <w:jc w:val="right"/>
              <w:ind w:right="253"/>
              <w:spacing w:after="0"/>
              <w:rPr>
                <w:sz w:val="20"/>
                <w:szCs w:val="20"/>
                <w:color w:val="auto"/>
              </w:rPr>
            </w:pPr>
            <w:r>
              <w:rPr>
                <w:rFonts w:ascii="Arial" w:cs="Arial" w:eastAsia="Arial" w:hAnsi="Arial"/>
                <w:sz w:val="17"/>
                <w:szCs w:val="17"/>
                <w:b w:val="1"/>
                <w:bCs w:val="1"/>
                <w:color w:val="auto"/>
              </w:rPr>
              <w:t>in Capital</w:t>
            </w:r>
          </w:p>
        </w:tc>
        <w:tc>
          <w:tcPr>
            <w:tcW w:w="180" w:type="dxa"/>
            <w:vAlign w:val="bottom"/>
          </w:tcPr>
          <w:p>
            <w:pPr>
              <w:spacing w:after="0"/>
              <w:rPr>
                <w:sz w:val="19"/>
                <w:szCs w:val="19"/>
                <w:color w:val="auto"/>
              </w:rPr>
            </w:pPr>
          </w:p>
        </w:tc>
        <w:tc>
          <w:tcPr>
            <w:tcW w:w="860" w:type="dxa"/>
            <w:vAlign w:val="bottom"/>
          </w:tcPr>
          <w:p>
            <w:pPr>
              <w:jc w:val="right"/>
              <w:ind w:right="153"/>
              <w:spacing w:after="0"/>
              <w:rPr>
                <w:sz w:val="20"/>
                <w:szCs w:val="20"/>
                <w:color w:val="auto"/>
              </w:rPr>
            </w:pPr>
            <w:r>
              <w:rPr>
                <w:rFonts w:ascii="Arial" w:cs="Arial" w:eastAsia="Arial" w:hAnsi="Arial"/>
                <w:sz w:val="17"/>
                <w:szCs w:val="17"/>
                <w:b w:val="1"/>
                <w:bCs w:val="1"/>
                <w:color w:val="auto"/>
                <w:w w:val="94"/>
              </w:rPr>
              <w:t>Surplus</w:t>
            </w:r>
          </w:p>
        </w:tc>
        <w:tc>
          <w:tcPr>
            <w:tcW w:w="380" w:type="dxa"/>
            <w:vAlign w:val="bottom"/>
          </w:tcPr>
          <w:p>
            <w:pPr>
              <w:spacing w:after="0"/>
              <w:rPr>
                <w:sz w:val="19"/>
                <w:szCs w:val="19"/>
                <w:color w:val="auto"/>
              </w:rPr>
            </w:pPr>
          </w:p>
        </w:tc>
        <w:tc>
          <w:tcPr>
            <w:tcW w:w="960" w:type="dxa"/>
            <w:vAlign w:val="bottom"/>
          </w:tcPr>
          <w:p>
            <w:pPr>
              <w:jc w:val="center"/>
              <w:ind w:right="333"/>
              <w:spacing w:after="0"/>
              <w:rPr>
                <w:sz w:val="20"/>
                <w:szCs w:val="20"/>
                <w:color w:val="auto"/>
              </w:rPr>
            </w:pPr>
            <w:r>
              <w:rPr>
                <w:rFonts w:ascii="Arial" w:cs="Arial" w:eastAsia="Arial" w:hAnsi="Arial"/>
                <w:sz w:val="17"/>
                <w:szCs w:val="17"/>
                <w:b w:val="1"/>
                <w:bCs w:val="1"/>
                <w:color w:val="auto"/>
                <w:w w:val="85"/>
              </w:rPr>
              <w:t>Loss</w:t>
            </w:r>
          </w:p>
        </w:tc>
        <w:tc>
          <w:tcPr>
            <w:tcW w:w="1920" w:type="dxa"/>
            <w:vAlign w:val="bottom"/>
            <w:gridSpan w:val="4"/>
          </w:tcPr>
          <w:p>
            <w:pPr>
              <w:spacing w:after="0"/>
              <w:rPr>
                <w:sz w:val="20"/>
                <w:szCs w:val="20"/>
                <w:color w:val="auto"/>
              </w:rPr>
            </w:pPr>
            <w:r>
              <w:rPr>
                <w:rFonts w:ascii="Arial" w:cs="Arial" w:eastAsia="Arial" w:hAnsi="Arial"/>
                <w:sz w:val="17"/>
                <w:szCs w:val="17"/>
                <w:b w:val="1"/>
                <w:bCs w:val="1"/>
                <w:color w:val="auto"/>
                <w:w w:val="93"/>
              </w:rPr>
              <w:t>Non-controlling interests</w:t>
            </w:r>
          </w:p>
        </w:tc>
        <w:tc>
          <w:tcPr>
            <w:tcW w:w="1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Equity</w:t>
            </w:r>
          </w:p>
        </w:tc>
      </w:tr>
      <w:tr>
        <w:trPr>
          <w:trHeight w:val="191"/>
        </w:trPr>
        <w:tc>
          <w:tcPr>
            <w:tcW w:w="20" w:type="dxa"/>
            <w:vAlign w:val="bottom"/>
          </w:tcPr>
          <w:p>
            <w:pPr>
              <w:spacing w:after="0"/>
              <w:rPr>
                <w:sz w:val="16"/>
                <w:szCs w:val="16"/>
                <w:color w:val="auto"/>
              </w:rPr>
            </w:pPr>
          </w:p>
        </w:tc>
        <w:tc>
          <w:tcPr>
            <w:tcW w:w="136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Balance at</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12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2019</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16,182,151</w:t>
            </w: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1,862,608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83,487</w:t>
            </w: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15,507</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(1,675)</w:t>
            </w:r>
          </w:p>
        </w:tc>
        <w:tc>
          <w:tcPr>
            <w:tcW w:w="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97,321</w:t>
            </w:r>
          </w:p>
        </w:tc>
      </w:tr>
      <w:tr>
        <w:trPr>
          <w:trHeight w:val="209"/>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1,624</w:t>
            </w:r>
          </w:p>
        </w:tc>
        <w:tc>
          <w:tcPr>
            <w:tcW w:w="3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1,816</w:t>
            </w:r>
          </w:p>
        </w:tc>
      </w:tr>
      <w:tr>
        <w:trPr>
          <w:trHeight w:val="196"/>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translation</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(812)</w:t>
            </w:r>
          </w:p>
        </w:tc>
      </w:tr>
      <w:tr>
        <w:trPr>
          <w:trHeight w:val="196"/>
        </w:trPr>
        <w:tc>
          <w:tcPr>
            <w:tcW w:w="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Exercise of stock</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options</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185,903</w:t>
            </w:r>
          </w:p>
        </w:tc>
        <w:tc>
          <w:tcPr>
            <w:tcW w:w="440" w:type="dxa"/>
            <w:vAlign w:val="bottom"/>
          </w:tcPr>
          <w:p>
            <w:pPr>
              <w:spacing w:after="0"/>
              <w:rPr>
                <w:sz w:val="19"/>
                <w:szCs w:val="19"/>
                <w:color w:val="auto"/>
              </w:rPr>
            </w:pP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873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873</w:t>
            </w:r>
          </w:p>
        </w:tc>
      </w:tr>
      <w:tr>
        <w:trPr>
          <w:trHeight w:val="197"/>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Stock-based</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compensation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1,544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1,544</w:t>
            </w:r>
          </w:p>
        </w:tc>
      </w:tr>
      <w:tr>
        <w:trPr>
          <w:trHeight w:val="196"/>
        </w:trPr>
        <w:tc>
          <w:tcPr>
            <w:tcW w:w="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Conversion of</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class B</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w w:val="99"/>
              </w:rPr>
              <w:t>common shares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to Class A</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w w:val="99"/>
              </w:rPr>
              <w:t>common shares</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60,002</w:t>
            </w:r>
          </w:p>
        </w:tc>
        <w:tc>
          <w:tcPr>
            <w:tcW w:w="440" w:type="dxa"/>
            <w:vAlign w:val="bottom"/>
          </w:tcPr>
          <w:p>
            <w:pPr>
              <w:spacing w:after="0"/>
              <w:rPr>
                <w:sz w:val="19"/>
                <w:szCs w:val="19"/>
                <w:color w:val="auto"/>
              </w:rPr>
            </w:pP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53"/>
              <w:spacing w:after="0"/>
              <w:rPr>
                <w:sz w:val="20"/>
                <w:szCs w:val="20"/>
                <w:color w:val="auto"/>
              </w:rPr>
            </w:pPr>
            <w:r>
              <w:rPr>
                <w:rFonts w:ascii="Arial" w:cs="Arial" w:eastAsia="Arial" w:hAnsi="Arial"/>
                <w:sz w:val="17"/>
                <w:szCs w:val="17"/>
                <w:color w:val="auto"/>
              </w:rPr>
              <w:t>(60,002)</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cancellation</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(note 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(242,681)</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(9,715)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(9,715)</w:t>
            </w:r>
          </w:p>
        </w:tc>
      </w:tr>
      <w:tr>
        <w:trPr>
          <w:trHeight w:val="196"/>
        </w:trPr>
        <w:tc>
          <w:tcPr>
            <w:tcW w:w="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Exercise of stock</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warrants</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64,717</w:t>
            </w:r>
          </w:p>
        </w:tc>
        <w:tc>
          <w:tcPr>
            <w:tcW w:w="440" w:type="dxa"/>
            <w:vAlign w:val="bottom"/>
          </w:tcPr>
          <w:p>
            <w:pPr>
              <w:spacing w:after="0"/>
              <w:rPr>
                <w:sz w:val="19"/>
                <w:szCs w:val="19"/>
                <w:color w:val="auto"/>
              </w:rPr>
            </w:pP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Reclassification</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of redeemable</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non-controlling</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13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7"/>
                <w:szCs w:val="17"/>
                <w:color w:val="auto"/>
              </w:rPr>
              <w:t>interest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59,958</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59,958</w:t>
            </w:r>
          </w:p>
        </w:tc>
      </w:tr>
      <w:tr>
        <w:trPr>
          <w:trHeight w:val="190"/>
        </w:trPr>
        <w:tc>
          <w:tcPr>
            <w:tcW w:w="20" w:type="dxa"/>
            <w:vAlign w:val="bottom"/>
          </w:tcPr>
          <w:p>
            <w:pPr>
              <w:spacing w:after="0"/>
              <w:rPr>
                <w:sz w:val="16"/>
                <w:szCs w:val="16"/>
                <w:color w:val="auto"/>
              </w:rPr>
            </w:pPr>
          </w:p>
        </w:tc>
        <w:tc>
          <w:tcPr>
            <w:tcW w:w="1360" w:type="dxa"/>
            <w:vAlign w:val="bottom"/>
            <w:gridSpan w:val="2"/>
          </w:tcPr>
          <w:p>
            <w:pPr>
              <w:spacing w:after="0" w:line="190" w:lineRule="exact"/>
              <w:rPr>
                <w:sz w:val="20"/>
                <w:szCs w:val="20"/>
                <w:color w:val="auto"/>
              </w:rPr>
            </w:pPr>
            <w:r>
              <w:rPr>
                <w:rFonts w:ascii="Arial" w:cs="Arial" w:eastAsia="Arial" w:hAnsi="Arial"/>
                <w:sz w:val="17"/>
                <w:szCs w:val="17"/>
                <w:b w:val="1"/>
                <w:bCs w:val="1"/>
                <w:color w:val="auto"/>
              </w:rPr>
              <w:t>Balance at June</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30, 2020</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16,250,092</w:t>
            </w:r>
          </w:p>
        </w:tc>
        <w:tc>
          <w:tcPr>
            <w:tcW w:w="4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13"/>
              <w:spacing w:after="0"/>
              <w:rPr>
                <w:sz w:val="20"/>
                <w:szCs w:val="20"/>
                <w:color w:val="auto"/>
              </w:rPr>
            </w:pPr>
            <w:r>
              <w:rPr>
                <w:rFonts w:ascii="Arial" w:cs="Arial" w:eastAsia="Arial" w:hAnsi="Arial"/>
                <w:sz w:val="17"/>
                <w:szCs w:val="17"/>
                <w:b w:val="1"/>
                <w:bCs w:val="1"/>
                <w:color w:val="auto"/>
              </w:rPr>
              <w:t>2</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w w:val="97"/>
              </w:rPr>
              <w:t>1,802,606</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b w:val="1"/>
                <w:bCs w:val="1"/>
                <w:color w:val="auto"/>
                <w:w w:val="88"/>
              </w:rPr>
              <w:t>76,189</w:t>
            </w:r>
          </w:p>
        </w:tc>
        <w:tc>
          <w:tcPr>
            <w:tcW w:w="18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17,131</w:t>
            </w:r>
          </w:p>
        </w:tc>
        <w:tc>
          <w:tcPr>
            <w:tcW w:w="38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(3,415)</w:t>
            </w:r>
          </w:p>
        </w:tc>
        <w:tc>
          <w:tcPr>
            <w:tcW w:w="420" w:type="dxa"/>
            <w:vAlign w:val="bottom"/>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b w:val="1"/>
                <w:bCs w:val="1"/>
                <w:color w:val="auto"/>
              </w:rPr>
              <w:t>61,078</w:t>
            </w:r>
          </w:p>
        </w:tc>
        <w:tc>
          <w:tcPr>
            <w:tcW w:w="1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150,985</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7"/>
                <w:szCs w:val="17"/>
                <w:b w:val="1"/>
                <w:bCs w:val="1"/>
                <w:color w:val="auto"/>
                <w:w w:val="94"/>
              </w:rPr>
              <w:t>Common</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393"/>
              <w:spacing w:after="0"/>
              <w:rPr>
                <w:sz w:val="20"/>
                <w:szCs w:val="20"/>
                <w:color w:val="auto"/>
              </w:rPr>
            </w:pPr>
            <w:r>
              <w:rPr>
                <w:rFonts w:ascii="Arial" w:cs="Arial" w:eastAsia="Arial" w:hAnsi="Arial"/>
                <w:sz w:val="17"/>
                <w:szCs w:val="17"/>
                <w:b w:val="1"/>
                <w:bCs w:val="1"/>
                <w:color w:val="auto"/>
              </w:rPr>
              <w:t>Common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7"/>
                <w:szCs w:val="17"/>
                <w:b w:val="1"/>
                <w:bCs w:val="1"/>
                <w:color w:val="auto"/>
              </w:rPr>
              <w:t>Stock Class A</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7"/>
                <w:szCs w:val="17"/>
                <w:b w:val="1"/>
                <w:bCs w:val="1"/>
                <w:color w:val="auto"/>
                <w:w w:val="95"/>
              </w:rPr>
              <w:t>Stock Class B</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2"/>
          </w:tcPr>
          <w:p>
            <w:pPr>
              <w:jc w:val="center"/>
              <w:spacing w:after="0" w:line="190" w:lineRule="exact"/>
              <w:rPr>
                <w:sz w:val="20"/>
                <w:szCs w:val="20"/>
                <w:color w:val="auto"/>
              </w:rPr>
            </w:pPr>
            <w:r>
              <w:rPr>
                <w:rFonts w:ascii="Arial" w:cs="Arial" w:eastAsia="Arial" w:hAnsi="Arial"/>
                <w:sz w:val="17"/>
                <w:szCs w:val="17"/>
                <w:b w:val="1"/>
                <w:bCs w:val="1"/>
                <w:color w:val="auto"/>
                <w:w w:val="91"/>
              </w:rPr>
              <w:t>Accumulated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right="233"/>
              <w:spacing w:after="0"/>
              <w:rPr>
                <w:sz w:val="20"/>
                <w:szCs w:val="20"/>
                <w:color w:val="auto"/>
              </w:rPr>
            </w:pPr>
            <w:r>
              <w:rPr>
                <w:rFonts w:ascii="Arial" w:cs="Arial" w:eastAsia="Arial" w:hAnsi="Arial"/>
                <w:sz w:val="17"/>
                <w:szCs w:val="17"/>
                <w:b w:val="1"/>
                <w:bCs w:val="1"/>
                <w:color w:val="auto"/>
                <w:w w:val="96"/>
              </w:rPr>
              <w:t>Other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w:t>
            </w: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7"/>
                <w:szCs w:val="17"/>
                <w:b w:val="1"/>
                <w:bCs w:val="1"/>
                <w:color w:val="auto"/>
              </w:rPr>
              <w:t>Additional Paid-</w:t>
            </w:r>
          </w:p>
        </w:tc>
        <w:tc>
          <w:tcPr>
            <w:tcW w:w="1760" w:type="dxa"/>
            <w:vAlign w:val="bottom"/>
            <w:gridSpan w:val="3"/>
          </w:tcPr>
          <w:p>
            <w:pPr>
              <w:ind w:left="40"/>
              <w:spacing w:after="0"/>
              <w:rPr>
                <w:sz w:val="20"/>
                <w:szCs w:val="20"/>
                <w:color w:val="auto"/>
              </w:rPr>
            </w:pPr>
            <w:r>
              <w:rPr>
                <w:rFonts w:ascii="Arial" w:cs="Arial" w:eastAsia="Arial" w:hAnsi="Arial"/>
                <w:sz w:val="17"/>
                <w:szCs w:val="17"/>
                <w:b w:val="1"/>
                <w:bCs w:val="1"/>
                <w:color w:val="auto"/>
                <w:w w:val="97"/>
              </w:rPr>
              <w:t>Accumulated Surplus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Comprehensive</w:t>
            </w:r>
          </w:p>
        </w:tc>
        <w:tc>
          <w:tcPr>
            <w:tcW w:w="1280" w:type="dxa"/>
            <w:vAlign w:val="bottom"/>
            <w:gridSpan w:val="4"/>
          </w:tcPr>
          <w:p>
            <w:pPr>
              <w:ind w:left="80"/>
              <w:spacing w:after="0"/>
              <w:rPr>
                <w:sz w:val="20"/>
                <w:szCs w:val="20"/>
                <w:color w:val="auto"/>
              </w:rPr>
            </w:pPr>
            <w:r>
              <w:rPr>
                <w:rFonts w:ascii="Arial" w:cs="Arial" w:eastAsia="Arial" w:hAnsi="Arial"/>
                <w:sz w:val="17"/>
                <w:szCs w:val="17"/>
                <w:b w:val="1"/>
                <w:bCs w:val="1"/>
                <w:color w:val="auto"/>
              </w:rPr>
              <w:t>Stockholders’</w:t>
            </w: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93"/>
              <w:spacing w:after="0"/>
              <w:rPr>
                <w:sz w:val="20"/>
                <w:szCs w:val="20"/>
                <w:color w:val="auto"/>
              </w:rPr>
            </w:pPr>
            <w:r>
              <w:rPr>
                <w:rFonts w:ascii="Arial" w:cs="Arial" w:eastAsia="Arial" w:hAnsi="Arial"/>
                <w:sz w:val="17"/>
                <w:szCs w:val="17"/>
                <w:b w:val="1"/>
                <w:bCs w:val="1"/>
                <w:color w:val="auto"/>
              </w:rPr>
              <w:t>Shares</w:t>
            </w:r>
          </w:p>
        </w:tc>
        <w:tc>
          <w:tcPr>
            <w:tcW w:w="1100" w:type="dxa"/>
            <w:vAlign w:val="bottom"/>
            <w:gridSpan w:val="2"/>
          </w:tcPr>
          <w:p>
            <w:pPr>
              <w:jc w:val="right"/>
              <w:ind w:right="273"/>
              <w:spacing w:after="0"/>
              <w:rPr>
                <w:sz w:val="20"/>
                <w:szCs w:val="20"/>
                <w:color w:val="auto"/>
              </w:rPr>
            </w:pPr>
            <w:r>
              <w:rPr>
                <w:rFonts w:ascii="Arial" w:cs="Arial" w:eastAsia="Arial" w:hAnsi="Arial"/>
                <w:sz w:val="17"/>
                <w:szCs w:val="17"/>
                <w:b w:val="1"/>
                <w:bCs w:val="1"/>
                <w:color w:val="auto"/>
              </w:rPr>
              <w:t>Amount</w:t>
            </w:r>
          </w:p>
        </w:tc>
        <w:tc>
          <w:tcPr>
            <w:tcW w:w="780" w:type="dxa"/>
            <w:vAlign w:val="bottom"/>
            <w:gridSpan w:val="2"/>
          </w:tcPr>
          <w:p>
            <w:pPr>
              <w:jc w:val="right"/>
              <w:ind w:right="153"/>
              <w:spacing w:after="0"/>
              <w:rPr>
                <w:sz w:val="20"/>
                <w:szCs w:val="20"/>
                <w:color w:val="auto"/>
              </w:rPr>
            </w:pPr>
            <w:r>
              <w:rPr>
                <w:rFonts w:ascii="Arial" w:cs="Arial" w:eastAsia="Arial" w:hAnsi="Arial"/>
                <w:sz w:val="17"/>
                <w:szCs w:val="17"/>
                <w:b w:val="1"/>
                <w:bCs w:val="1"/>
                <w:color w:val="auto"/>
                <w:w w:val="91"/>
              </w:rPr>
              <w:t>Shares</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3"/>
          </w:tcPr>
          <w:p>
            <w:pPr>
              <w:jc w:val="right"/>
              <w:ind w:right="313"/>
              <w:spacing w:after="0"/>
              <w:rPr>
                <w:sz w:val="20"/>
                <w:szCs w:val="20"/>
                <w:color w:val="auto"/>
              </w:rPr>
            </w:pPr>
            <w:r>
              <w:rPr>
                <w:rFonts w:ascii="Arial" w:cs="Arial" w:eastAsia="Arial" w:hAnsi="Arial"/>
                <w:sz w:val="17"/>
                <w:szCs w:val="17"/>
                <w:b w:val="1"/>
                <w:bCs w:val="1"/>
                <w:color w:val="auto"/>
              </w:rPr>
              <w:t>in Capital</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Arial" w:cs="Arial" w:eastAsia="Arial" w:hAnsi="Arial"/>
                <w:sz w:val="17"/>
                <w:szCs w:val="17"/>
                <w:b w:val="1"/>
                <w:bCs w:val="1"/>
                <w:color w:val="auto"/>
              </w:rPr>
              <w:t>(Deficit)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253"/>
              <w:spacing w:after="0"/>
              <w:rPr>
                <w:sz w:val="20"/>
                <w:szCs w:val="20"/>
                <w:color w:val="auto"/>
              </w:rPr>
            </w:pPr>
            <w:r>
              <w:rPr>
                <w:rFonts w:ascii="Arial" w:cs="Arial" w:eastAsia="Arial" w:hAnsi="Arial"/>
                <w:sz w:val="17"/>
                <w:szCs w:val="17"/>
                <w:b w:val="1"/>
                <w:bCs w:val="1"/>
                <w:color w:val="auto"/>
                <w:w w:val="85"/>
              </w:rPr>
              <w:t>Loss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6"/>
              </w:rPr>
              <w:t>Equity</w:t>
            </w:r>
          </w:p>
        </w:tc>
      </w:tr>
      <w:tr>
        <w:trPr>
          <w:trHeight w:val="191"/>
        </w:trPr>
        <w:tc>
          <w:tcPr>
            <w:tcW w:w="20" w:type="dxa"/>
            <w:vAlign w:val="bottom"/>
          </w:tcPr>
          <w:p>
            <w:pPr>
              <w:spacing w:after="0"/>
              <w:rPr>
                <w:sz w:val="16"/>
                <w:szCs w:val="16"/>
                <w:color w:val="auto"/>
              </w:rPr>
            </w:pPr>
          </w:p>
        </w:tc>
        <w:tc>
          <w:tcPr>
            <w:tcW w:w="2240" w:type="dxa"/>
            <w:vAlign w:val="bottom"/>
            <w:gridSpan w:val="4"/>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Balance at December</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12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31, 2018</w:t>
            </w: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14,110,315</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1,898,423</w:t>
            </w:r>
          </w:p>
        </w:tc>
        <w:tc>
          <w:tcPr>
            <w:tcW w:w="800" w:type="dxa"/>
            <w:vAlign w:val="bottom"/>
            <w:shd w:val="clear" w:color="auto" w:fill="CCEEFF"/>
          </w:tcPr>
          <w:p>
            <w:pPr>
              <w:jc w:val="right"/>
              <w:ind w:right="533"/>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56,567</w:t>
            </w:r>
          </w:p>
        </w:tc>
        <w:tc>
          <w:tcPr>
            <w:tcW w:w="3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(3,387)</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(857)</w:t>
            </w:r>
          </w:p>
        </w:tc>
        <w:tc>
          <w:tcPr>
            <w:tcW w:w="18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w w:val="84"/>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52,324</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78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33"/>
              <w:spacing w:after="0"/>
              <w:rPr>
                <w:sz w:val="20"/>
                <w:szCs w:val="20"/>
                <w:color w:val="auto"/>
              </w:rPr>
            </w:pPr>
            <w:r>
              <w:rPr>
                <w:rFonts w:ascii="Arial" w:cs="Arial" w:eastAsia="Arial" w:hAnsi="Arial"/>
                <w:sz w:val="17"/>
                <w:szCs w:val="17"/>
                <w:color w:val="auto"/>
              </w:rPr>
              <w:t>6,168</w:t>
            </w:r>
          </w:p>
        </w:tc>
        <w:tc>
          <w:tcPr>
            <w:tcW w:w="28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6,168</w:t>
            </w: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translation</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Exercise of stock</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option</w:t>
            </w:r>
          </w:p>
        </w:tc>
        <w:tc>
          <w:tcPr>
            <w:tcW w:w="1320" w:type="dxa"/>
            <w:vAlign w:val="bottom"/>
            <w:gridSpan w:val="3"/>
          </w:tcPr>
          <w:p>
            <w:pPr>
              <w:jc w:val="right"/>
              <w:ind w:right="13"/>
              <w:spacing w:after="0"/>
              <w:rPr>
                <w:sz w:val="20"/>
                <w:szCs w:val="20"/>
                <w:color w:val="auto"/>
              </w:rPr>
            </w:pPr>
            <w:r>
              <w:rPr>
                <w:rFonts w:ascii="Arial" w:cs="Arial" w:eastAsia="Arial" w:hAnsi="Arial"/>
                <w:sz w:val="17"/>
                <w:szCs w:val="17"/>
                <w:color w:val="auto"/>
              </w:rPr>
              <w:t>104,627</w:t>
            </w:r>
          </w:p>
        </w:tc>
        <w:tc>
          <w:tcPr>
            <w:tcW w:w="320" w:type="dxa"/>
            <w:vAlign w:val="bottom"/>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7"/>
                <w:szCs w:val="17"/>
                <w:color w:val="auto"/>
              </w:rPr>
              <w:t>172</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Stock-based</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compensation</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1,362</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240" w:type="dxa"/>
            <w:vAlign w:val="bottom"/>
            <w:gridSpan w:val="4"/>
          </w:tcPr>
          <w:p>
            <w:pPr>
              <w:spacing w:after="0"/>
              <w:rPr>
                <w:sz w:val="20"/>
                <w:szCs w:val="20"/>
                <w:color w:val="auto"/>
              </w:rPr>
            </w:pPr>
            <w:r>
              <w:rPr>
                <w:rFonts w:ascii="Arial" w:cs="Arial" w:eastAsia="Arial" w:hAnsi="Arial"/>
                <w:sz w:val="17"/>
                <w:szCs w:val="17"/>
                <w:color w:val="auto"/>
              </w:rPr>
              <w:t>Conversion of class B</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240" w:type="dxa"/>
            <w:vAlign w:val="bottom"/>
            <w:gridSpan w:val="4"/>
          </w:tcPr>
          <w:p>
            <w:pPr>
              <w:ind w:left="140"/>
              <w:spacing w:after="0"/>
              <w:rPr>
                <w:sz w:val="20"/>
                <w:szCs w:val="20"/>
                <w:color w:val="auto"/>
              </w:rPr>
            </w:pPr>
            <w:r>
              <w:rPr>
                <w:rFonts w:ascii="Arial" w:cs="Arial" w:eastAsia="Arial" w:hAnsi="Arial"/>
                <w:sz w:val="17"/>
                <w:szCs w:val="17"/>
                <w:color w:val="auto"/>
              </w:rPr>
              <w:t>common shares to</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w w:val="93"/>
              </w:rPr>
              <w:t>Class A common</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shares</w:t>
            </w:r>
          </w:p>
        </w:tc>
        <w:tc>
          <w:tcPr>
            <w:tcW w:w="13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color w:val="auto"/>
              </w:rPr>
              <w:t>15,000</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(15,000)</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2240" w:type="dxa"/>
            <w:vAlign w:val="bottom"/>
            <w:gridSpan w:val="4"/>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Balance at June 30,</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67"/>
        </w:trPr>
        <w:tc>
          <w:tcPr>
            <w:tcW w:w="20" w:type="dxa"/>
            <w:vAlign w:val="bottom"/>
          </w:tcPr>
          <w:p>
            <w:pPr>
              <w:spacing w:after="0"/>
              <w:rPr>
                <w:sz w:val="23"/>
                <w:szCs w:val="23"/>
                <w:color w:val="auto"/>
              </w:rPr>
            </w:pPr>
          </w:p>
        </w:tc>
        <w:tc>
          <w:tcPr>
            <w:tcW w:w="1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3"/>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14,229,942</w:t>
            </w: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1</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1,883,423</w:t>
            </w:r>
          </w:p>
        </w:tc>
        <w:tc>
          <w:tcPr>
            <w:tcW w:w="80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4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58,101</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2,781</w:t>
            </w:r>
          </w:p>
        </w:tc>
        <w:tc>
          <w:tcPr>
            <w:tcW w:w="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(1,168)</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w w:val="84"/>
              </w:rPr>
              <w:t>$</w:t>
            </w: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59,715</w:t>
            </w:r>
          </w:p>
        </w:tc>
        <w:tc>
          <w:tcPr>
            <w:tcW w:w="100" w:type="dxa"/>
            <w:vAlign w:val="bottom"/>
          </w:tcPr>
          <w:p>
            <w:pPr>
              <w:spacing w:after="0"/>
              <w:rPr>
                <w:sz w:val="23"/>
                <w:szCs w:val="23"/>
                <w:color w:val="auto"/>
              </w:rPr>
            </w:pPr>
          </w:p>
        </w:tc>
      </w:tr>
    </w:tbl>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ectPr>
          <w:pgSz w:w="11900" w:h="16838" w:orient="portrait"/>
          <w:cols w:equalWidth="0" w:num="1">
            <w:col w:w="11340"/>
          </w:cols>
          <w:pgMar w:left="320" w:top="121" w:right="239" w:bottom="1440" w:gutter="0" w:footer="0" w:header="0"/>
        </w:sectPr>
      </w:pP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367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June 30, 2020 and 2019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gridSpan w:val="5"/>
          </w:tcPr>
          <w:p>
            <w:pPr>
              <w:jc w:val="right"/>
              <w:ind w:right="473"/>
              <w:spacing w:after="0"/>
              <w:rPr>
                <w:sz w:val="20"/>
                <w:szCs w:val="20"/>
                <w:color w:val="auto"/>
              </w:rPr>
            </w:pPr>
            <w:r>
              <w:rPr>
                <w:rFonts w:ascii="Arial" w:cs="Arial" w:eastAsia="Arial" w:hAnsi="Arial"/>
                <w:sz w:val="17"/>
                <w:szCs w:val="17"/>
                <w:b w:val="1"/>
                <w:bCs w:val="1"/>
                <w:color w:val="auto"/>
              </w:rPr>
              <w:t>Common</w:t>
            </w:r>
          </w:p>
        </w:tc>
        <w:tc>
          <w:tcPr>
            <w:tcW w:w="128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rPr>
              <w:t>Common</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40" w:type="dxa"/>
            <w:vAlign w:val="bottom"/>
            <w:tcBorders>
              <w:bottom w:val="single" w:sz="8" w:color="auto"/>
            </w:tcBorders>
            <w:gridSpan w:val="5"/>
          </w:tcPr>
          <w:p>
            <w:pPr>
              <w:jc w:val="right"/>
              <w:ind w:right="293"/>
              <w:spacing w:after="0"/>
              <w:rPr>
                <w:sz w:val="20"/>
                <w:szCs w:val="20"/>
                <w:color w:val="auto"/>
              </w:rPr>
            </w:pPr>
            <w:r>
              <w:rPr>
                <w:rFonts w:ascii="Arial" w:cs="Arial" w:eastAsia="Arial" w:hAnsi="Arial"/>
                <w:sz w:val="17"/>
                <w:szCs w:val="17"/>
                <w:b w:val="1"/>
                <w:bCs w:val="1"/>
                <w:color w:val="auto"/>
              </w:rPr>
              <w:t>Stock Class A</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Stock Class B</w:t>
            </w:r>
          </w:p>
        </w:tc>
        <w:tc>
          <w:tcPr>
            <w:tcW w:w="2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gridSpan w:val="3"/>
          </w:tcPr>
          <w:p>
            <w:pPr>
              <w:jc w:val="center"/>
              <w:spacing w:after="0" w:line="190" w:lineRule="exact"/>
              <w:rPr>
                <w:sz w:val="20"/>
                <w:szCs w:val="20"/>
                <w:color w:val="auto"/>
              </w:rPr>
            </w:pPr>
            <w:r>
              <w:rPr>
                <w:rFonts w:ascii="Arial" w:cs="Arial" w:eastAsia="Arial" w:hAnsi="Arial"/>
                <w:sz w:val="17"/>
                <w:szCs w:val="17"/>
                <w:b w:val="1"/>
                <w:bCs w:val="1"/>
                <w:color w:val="auto"/>
                <w:w w:val="91"/>
              </w:rPr>
              <w:t>Accumulated</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gridSpan w:val="2"/>
          </w:tcPr>
          <w:p>
            <w:pPr>
              <w:jc w:val="center"/>
              <w:ind w:left="313"/>
              <w:spacing w:after="0"/>
              <w:rPr>
                <w:sz w:val="20"/>
                <w:szCs w:val="20"/>
                <w:color w:val="auto"/>
              </w:rPr>
            </w:pPr>
            <w:r>
              <w:rPr>
                <w:rFonts w:ascii="Arial" w:cs="Arial" w:eastAsia="Arial" w:hAnsi="Arial"/>
                <w:sz w:val="17"/>
                <w:szCs w:val="17"/>
                <w:b w:val="1"/>
                <w:bCs w:val="1"/>
                <w:color w:val="auto"/>
                <w:w w:val="96"/>
              </w:rPr>
              <w:t>Other</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3"/>
              <w:spacing w:after="0"/>
              <w:rPr>
                <w:sz w:val="20"/>
                <w:szCs w:val="20"/>
                <w:color w:val="auto"/>
              </w:rPr>
            </w:pPr>
            <w:r>
              <w:rPr>
                <w:rFonts w:ascii="Arial" w:cs="Arial" w:eastAsia="Arial" w:hAnsi="Arial"/>
                <w:sz w:val="17"/>
                <w:szCs w:val="17"/>
                <w:b w:val="1"/>
                <w:bCs w:val="1"/>
                <w:color w:val="auto"/>
              </w:rPr>
              <w:t>Total</w:t>
            </w:r>
          </w:p>
        </w:tc>
      </w:tr>
      <w:tr>
        <w:trPr>
          <w:trHeight w:val="209"/>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rPr>
              <w:t>Additional</w:t>
            </w:r>
          </w:p>
        </w:tc>
        <w:tc>
          <w:tcPr>
            <w:tcW w:w="1060" w:type="dxa"/>
            <w:vAlign w:val="bottom"/>
            <w:gridSpan w:val="3"/>
          </w:tcPr>
          <w:p>
            <w:pPr>
              <w:jc w:val="right"/>
              <w:spacing w:after="0"/>
              <w:rPr>
                <w:sz w:val="20"/>
                <w:szCs w:val="20"/>
                <w:color w:val="auto"/>
              </w:rPr>
            </w:pPr>
            <w:r>
              <w:rPr>
                <w:rFonts w:ascii="Arial" w:cs="Arial" w:eastAsia="Arial" w:hAnsi="Arial"/>
                <w:sz w:val="17"/>
                <w:szCs w:val="17"/>
                <w:b w:val="1"/>
                <w:bCs w:val="1"/>
                <w:color w:val="auto"/>
                <w:w w:val="93"/>
              </w:rPr>
              <w:t>Accumulated</w:t>
            </w:r>
          </w:p>
        </w:tc>
        <w:tc>
          <w:tcPr>
            <w:tcW w:w="12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Comprehensive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7"/>
                <w:szCs w:val="17"/>
                <w:b w:val="1"/>
                <w:bCs w:val="1"/>
                <w:color w:val="auto"/>
                <w:w w:val="94"/>
              </w:rPr>
              <w:t>Stockholders’</w:t>
            </w: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Arial" w:cs="Arial" w:eastAsia="Arial" w:hAnsi="Arial"/>
                <w:sz w:val="17"/>
                <w:szCs w:val="17"/>
                <w:b w:val="1"/>
                <w:bCs w:val="1"/>
                <w:color w:val="auto"/>
                <w:w w:val="95"/>
              </w:rPr>
              <w:t>Shares</w:t>
            </w:r>
          </w:p>
        </w:tc>
        <w:tc>
          <w:tcPr>
            <w:tcW w:w="18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b w:val="1"/>
                <w:bCs w:val="1"/>
                <w:color w:val="auto"/>
              </w:rPr>
              <w:t>Amount</w:t>
            </w:r>
          </w:p>
        </w:tc>
        <w:tc>
          <w:tcPr>
            <w:tcW w:w="840" w:type="dxa"/>
            <w:vAlign w:val="bottom"/>
          </w:tcPr>
          <w:p>
            <w:pPr>
              <w:jc w:val="right"/>
              <w:ind w:right="133"/>
              <w:spacing w:after="0"/>
              <w:rPr>
                <w:sz w:val="20"/>
                <w:szCs w:val="20"/>
                <w:color w:val="auto"/>
              </w:rPr>
            </w:pPr>
            <w:r>
              <w:rPr>
                <w:rFonts w:ascii="Arial" w:cs="Arial" w:eastAsia="Arial" w:hAnsi="Arial"/>
                <w:sz w:val="17"/>
                <w:szCs w:val="17"/>
                <w:b w:val="1"/>
                <w:bCs w:val="1"/>
                <w:color w:val="auto"/>
              </w:rPr>
              <w:t>Shares</w:t>
            </w:r>
          </w:p>
        </w:tc>
        <w:tc>
          <w:tcPr>
            <w:tcW w:w="720" w:type="dxa"/>
            <w:vAlign w:val="bottom"/>
            <w:gridSpan w:val="2"/>
          </w:tcPr>
          <w:p>
            <w:pPr>
              <w:ind w:left="40"/>
              <w:spacing w:after="0"/>
              <w:rPr>
                <w:sz w:val="20"/>
                <w:szCs w:val="20"/>
                <w:color w:val="auto"/>
              </w:rPr>
            </w:pPr>
            <w:r>
              <w:rPr>
                <w:rFonts w:ascii="Arial" w:cs="Arial" w:eastAsia="Arial" w:hAnsi="Arial"/>
                <w:sz w:val="17"/>
                <w:szCs w:val="17"/>
                <w:b w:val="1"/>
                <w:bCs w:val="1"/>
                <w:color w:val="auto"/>
              </w:rPr>
              <w:t>Amount</w:t>
            </w:r>
          </w:p>
        </w:tc>
        <w:tc>
          <w:tcPr>
            <w:tcW w:w="128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w w:val="98"/>
              </w:rPr>
              <w:t>Paid-in Capital</w:t>
            </w:r>
          </w:p>
        </w:tc>
        <w:tc>
          <w:tcPr>
            <w:tcW w:w="220" w:type="dxa"/>
            <w:vAlign w:val="bottom"/>
          </w:tcPr>
          <w:p>
            <w:pPr>
              <w:spacing w:after="0"/>
              <w:rPr>
                <w:sz w:val="19"/>
                <w:szCs w:val="19"/>
                <w:color w:val="auto"/>
              </w:rPr>
            </w:pPr>
          </w:p>
        </w:tc>
        <w:tc>
          <w:tcPr>
            <w:tcW w:w="840" w:type="dxa"/>
            <w:vAlign w:val="bottom"/>
            <w:gridSpan w:val="2"/>
          </w:tcPr>
          <w:p>
            <w:pPr>
              <w:jc w:val="right"/>
              <w:ind w:right="153"/>
              <w:spacing w:after="0"/>
              <w:rPr>
                <w:sz w:val="20"/>
                <w:szCs w:val="20"/>
                <w:color w:val="auto"/>
              </w:rPr>
            </w:pPr>
            <w:r>
              <w:rPr>
                <w:rFonts w:ascii="Arial" w:cs="Arial" w:eastAsia="Arial" w:hAnsi="Arial"/>
                <w:sz w:val="17"/>
                <w:szCs w:val="17"/>
                <w:b w:val="1"/>
                <w:bCs w:val="1"/>
                <w:color w:val="auto"/>
                <w:w w:val="91"/>
              </w:rPr>
              <w:t>Surplus</w:t>
            </w:r>
          </w:p>
        </w:tc>
        <w:tc>
          <w:tcPr>
            <w:tcW w:w="880" w:type="dxa"/>
            <w:vAlign w:val="bottom"/>
            <w:gridSpan w:val="2"/>
          </w:tcPr>
          <w:p>
            <w:pPr>
              <w:jc w:val="center"/>
              <w:ind w:left="333"/>
              <w:spacing w:after="0"/>
              <w:rPr>
                <w:sz w:val="20"/>
                <w:szCs w:val="20"/>
                <w:color w:val="auto"/>
              </w:rPr>
            </w:pPr>
            <w:r>
              <w:rPr>
                <w:rFonts w:ascii="Arial" w:cs="Arial" w:eastAsia="Arial" w:hAnsi="Arial"/>
                <w:sz w:val="17"/>
                <w:szCs w:val="17"/>
                <w:b w:val="1"/>
                <w:bCs w:val="1"/>
                <w:color w:val="auto"/>
                <w:w w:val="85"/>
              </w:rPr>
              <w:t>Loss</w:t>
            </w:r>
          </w:p>
        </w:tc>
        <w:tc>
          <w:tcPr>
            <w:tcW w:w="40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7"/>
                <w:szCs w:val="17"/>
                <w:b w:val="1"/>
                <w:bCs w:val="1"/>
                <w:color w:val="auto"/>
                <w:w w:val="92"/>
              </w:rPr>
              <w:t>Non-controlling interests</w:t>
            </w:r>
          </w:p>
        </w:tc>
        <w:tc>
          <w:tcPr>
            <w:tcW w:w="220" w:type="dxa"/>
            <w:vAlign w:val="bottom"/>
          </w:tcPr>
          <w:p>
            <w:pPr>
              <w:spacing w:after="0"/>
              <w:rPr>
                <w:sz w:val="19"/>
                <w:szCs w:val="19"/>
                <w:color w:val="auto"/>
              </w:rPr>
            </w:pPr>
          </w:p>
        </w:tc>
        <w:tc>
          <w:tcPr>
            <w:tcW w:w="920" w:type="dxa"/>
            <w:vAlign w:val="bottom"/>
          </w:tcPr>
          <w:p>
            <w:pPr>
              <w:jc w:val="right"/>
              <w:ind w:right="233"/>
              <w:spacing w:after="0"/>
              <w:rPr>
                <w:sz w:val="20"/>
                <w:szCs w:val="20"/>
                <w:color w:val="auto"/>
              </w:rPr>
            </w:pPr>
            <w:r>
              <w:rPr>
                <w:rFonts w:ascii="Arial" w:cs="Arial" w:eastAsia="Arial" w:hAnsi="Arial"/>
                <w:sz w:val="17"/>
                <w:szCs w:val="17"/>
                <w:b w:val="1"/>
                <w:bCs w:val="1"/>
                <w:color w:val="auto"/>
              </w:rPr>
              <w:t>Equity</w:t>
            </w:r>
          </w:p>
        </w:tc>
      </w:tr>
      <w:tr>
        <w:trPr>
          <w:trHeight w:val="191"/>
        </w:trPr>
        <w:tc>
          <w:tcPr>
            <w:tcW w:w="20" w:type="dxa"/>
            <w:vAlign w:val="bottom"/>
          </w:tcPr>
          <w:p>
            <w:pPr>
              <w:spacing w:after="0"/>
              <w:rPr>
                <w:sz w:val="16"/>
                <w:szCs w:val="16"/>
                <w:color w:val="auto"/>
              </w:rPr>
            </w:pPr>
          </w:p>
        </w:tc>
        <w:tc>
          <w:tcPr>
            <w:tcW w:w="122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Balance at</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March 31,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2020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16,317,346</w:t>
            </w: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1,862,608</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84,351</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17,212</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(2,623)</w:t>
            </w:r>
          </w:p>
        </w:tc>
        <w:tc>
          <w:tcPr>
            <w:tcW w:w="52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98,942</w:t>
            </w:r>
          </w:p>
        </w:tc>
      </w:tr>
      <w:tr>
        <w:trPr>
          <w:trHeight w:val="209"/>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7"/>
                <w:szCs w:val="17"/>
                <w:color w:val="auto"/>
                <w:w w:val="90"/>
              </w:rPr>
              <w:t>Net income (loss)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w w:val="94"/>
              </w:rPr>
              <w:t>Foreign currency</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translation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adjustment</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(792)</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7"/>
                <w:szCs w:val="17"/>
                <w:color w:val="auto"/>
                <w:w w:val="93"/>
              </w:rPr>
              <w:t>Exercise of stock</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7"/>
                <w:szCs w:val="17"/>
                <w:color w:val="auto"/>
              </w:rPr>
              <w:t>options</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115,425</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698</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698</w:t>
            </w:r>
          </w:p>
        </w:tc>
      </w:tr>
      <w:tr>
        <w:trPr>
          <w:trHeight w:val="197"/>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Stock-based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compensation</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7"/>
                <w:szCs w:val="17"/>
                <w:color w:val="auto"/>
              </w:rPr>
              <w:t>Conversion of</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7"/>
                <w:szCs w:val="17"/>
                <w:color w:val="auto"/>
              </w:rPr>
              <w:t>class B</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7"/>
                <w:szCs w:val="17"/>
                <w:color w:val="auto"/>
                <w:w w:val="90"/>
              </w:rPr>
              <w:t>common shares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7"/>
                <w:szCs w:val="17"/>
                <w:color w:val="auto"/>
              </w:rPr>
              <w:t>to Class A</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7"/>
                <w:szCs w:val="17"/>
                <w:color w:val="auto"/>
                <w:w w:val="90"/>
              </w:rPr>
              <w:t>common shares</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60,002</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(60,002)</w:t>
            </w:r>
          </w:p>
        </w:tc>
        <w:tc>
          <w:tcPr>
            <w:tcW w:w="440" w:type="dxa"/>
            <w:vAlign w:val="bottom"/>
          </w:tcPr>
          <w:p>
            <w:pPr>
              <w:spacing w:after="0"/>
              <w:rPr>
                <w:sz w:val="19"/>
                <w:szCs w:val="19"/>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Share</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cancellation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(note 11)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(242,681)</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(9,715)</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(9,715)</w:t>
            </w: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7"/>
                <w:szCs w:val="17"/>
                <w:color w:val="auto"/>
              </w:rPr>
              <w:t>Reclassification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7"/>
                <w:szCs w:val="17"/>
                <w:color w:val="auto"/>
              </w:rPr>
              <w:t>of redeemable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7"/>
                <w:szCs w:val="17"/>
                <w:color w:val="auto"/>
                <w:w w:val="98"/>
              </w:rPr>
              <w:t>non-controlling</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interest</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59,958</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59,958</w:t>
            </w:r>
          </w:p>
        </w:tc>
      </w:tr>
      <w:tr>
        <w:trPr>
          <w:trHeight w:val="190"/>
        </w:trPr>
        <w:tc>
          <w:tcPr>
            <w:tcW w:w="20" w:type="dxa"/>
            <w:vAlign w:val="bottom"/>
          </w:tcPr>
          <w:p>
            <w:pPr>
              <w:spacing w:after="0"/>
              <w:rPr>
                <w:sz w:val="16"/>
                <w:szCs w:val="16"/>
                <w:color w:val="auto"/>
              </w:rPr>
            </w:pPr>
          </w:p>
        </w:tc>
        <w:tc>
          <w:tcPr>
            <w:tcW w:w="122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w w:val="92"/>
              </w:rPr>
              <w:t>Balance at June</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67"/>
        </w:trPr>
        <w:tc>
          <w:tcPr>
            <w:tcW w:w="20" w:type="dxa"/>
            <w:vAlign w:val="bottom"/>
          </w:tcPr>
          <w:p>
            <w:pPr>
              <w:spacing w:after="0"/>
              <w:rPr>
                <w:sz w:val="23"/>
                <w:szCs w:val="23"/>
                <w:color w:val="auto"/>
              </w:rPr>
            </w:pPr>
          </w:p>
        </w:tc>
        <w:tc>
          <w:tcPr>
            <w:tcW w:w="1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30, 2020</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16,250,092</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1,802,606</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76,189</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17,131</w:t>
            </w:r>
          </w:p>
        </w:tc>
        <w:tc>
          <w:tcPr>
            <w:tcW w:w="6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(3,415)</w:t>
            </w:r>
          </w:p>
        </w:tc>
        <w:tc>
          <w:tcPr>
            <w:tcW w:w="5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61,078</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150,985</w:t>
            </w:r>
          </w:p>
        </w:tc>
      </w:tr>
      <w:tr>
        <w:trPr>
          <w:trHeight w:val="41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413"/>
              <w:spacing w:after="0"/>
              <w:rPr>
                <w:sz w:val="20"/>
                <w:szCs w:val="20"/>
                <w:color w:val="auto"/>
              </w:rPr>
            </w:pPr>
            <w:r>
              <w:rPr>
                <w:rFonts w:ascii="Arial" w:cs="Arial" w:eastAsia="Arial" w:hAnsi="Arial"/>
                <w:sz w:val="17"/>
                <w:szCs w:val="17"/>
                <w:b w:val="1"/>
                <w:bCs w:val="1"/>
                <w:color w:val="auto"/>
              </w:rPr>
              <w:t>Common</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333"/>
              <w:spacing w:after="0"/>
              <w:rPr>
                <w:sz w:val="20"/>
                <w:szCs w:val="20"/>
                <w:color w:val="auto"/>
              </w:rPr>
            </w:pPr>
            <w:r>
              <w:rPr>
                <w:rFonts w:ascii="Arial" w:cs="Arial" w:eastAsia="Arial" w:hAnsi="Arial"/>
                <w:sz w:val="17"/>
                <w:szCs w:val="17"/>
                <w:b w:val="1"/>
                <w:bCs w:val="1"/>
                <w:color w:val="auto"/>
              </w:rPr>
              <w:t>Common</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7"/>
                <w:szCs w:val="17"/>
                <w:b w:val="1"/>
                <w:bCs w:val="1"/>
                <w:color w:val="auto"/>
                <w:w w:val="95"/>
              </w:rPr>
              <w:t>Stock Class A</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7"/>
                <w:szCs w:val="17"/>
                <w:b w:val="1"/>
                <w:bCs w:val="1"/>
                <w:color w:val="auto"/>
                <w:w w:val="88"/>
              </w:rPr>
              <w:t>Stock Class B</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gridSpan w:val="2"/>
          </w:tcPr>
          <w:p>
            <w:pPr>
              <w:jc w:val="center"/>
              <w:ind w:right="13"/>
              <w:spacing w:after="0" w:line="190" w:lineRule="exact"/>
              <w:rPr>
                <w:sz w:val="20"/>
                <w:szCs w:val="20"/>
                <w:color w:val="auto"/>
              </w:rPr>
            </w:pPr>
            <w:r>
              <w:rPr>
                <w:rFonts w:ascii="Arial" w:cs="Arial" w:eastAsia="Arial" w:hAnsi="Arial"/>
                <w:sz w:val="17"/>
                <w:szCs w:val="17"/>
                <w:b w:val="1"/>
                <w:bCs w:val="1"/>
                <w:color w:val="auto"/>
                <w:w w:val="93"/>
              </w:rPr>
              <w:t>Accumulated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Arial" w:cs="Arial" w:eastAsia="Arial" w:hAnsi="Arial"/>
                <w:sz w:val="17"/>
                <w:szCs w:val="17"/>
                <w:b w:val="1"/>
                <w:bCs w:val="1"/>
                <w:color w:val="auto"/>
              </w:rPr>
              <w:t>Accumulated</w:t>
            </w:r>
          </w:p>
        </w:tc>
        <w:tc>
          <w:tcPr>
            <w:tcW w:w="300" w:type="dxa"/>
            <w:vAlign w:val="bottom"/>
          </w:tcPr>
          <w:p>
            <w:pPr>
              <w:spacing w:after="0"/>
              <w:rPr>
                <w:sz w:val="18"/>
                <w:szCs w:val="18"/>
                <w:color w:val="auto"/>
              </w:rPr>
            </w:pPr>
          </w:p>
        </w:tc>
        <w:tc>
          <w:tcPr>
            <w:tcW w:w="1120" w:type="dxa"/>
            <w:vAlign w:val="bottom"/>
          </w:tcPr>
          <w:p>
            <w:pPr>
              <w:jc w:val="center"/>
              <w:ind w:right="313"/>
              <w:spacing w:after="0"/>
              <w:rPr>
                <w:sz w:val="20"/>
                <w:szCs w:val="20"/>
                <w:color w:val="auto"/>
              </w:rPr>
            </w:pPr>
            <w:r>
              <w:rPr>
                <w:rFonts w:ascii="Arial" w:cs="Arial" w:eastAsia="Arial" w:hAnsi="Arial"/>
                <w:sz w:val="17"/>
                <w:szCs w:val="17"/>
                <w:b w:val="1"/>
                <w:bCs w:val="1"/>
                <w:color w:val="auto"/>
                <w:w w:val="96"/>
              </w:rPr>
              <w:t>Other</w:t>
            </w:r>
          </w:p>
        </w:tc>
        <w:tc>
          <w:tcPr>
            <w:tcW w:w="220" w:type="dxa"/>
            <w:vAlign w:val="bottom"/>
          </w:tcPr>
          <w:p>
            <w:pPr>
              <w:spacing w:after="0"/>
              <w:rPr>
                <w:sz w:val="18"/>
                <w:szCs w:val="18"/>
                <w:color w:val="auto"/>
              </w:rPr>
            </w:pPr>
          </w:p>
        </w:tc>
        <w:tc>
          <w:tcPr>
            <w:tcW w:w="920" w:type="dxa"/>
            <w:vAlign w:val="bottom"/>
          </w:tcPr>
          <w:p>
            <w:pPr>
              <w:jc w:val="right"/>
              <w:ind w:right="333"/>
              <w:spacing w:after="0"/>
              <w:rPr>
                <w:sz w:val="20"/>
                <w:szCs w:val="20"/>
                <w:color w:val="auto"/>
              </w:rPr>
            </w:pPr>
            <w:r>
              <w:rPr>
                <w:rFonts w:ascii="Arial" w:cs="Arial" w:eastAsia="Arial" w:hAnsi="Arial"/>
                <w:sz w:val="17"/>
                <w:szCs w:val="17"/>
                <w:b w:val="1"/>
                <w:bCs w:val="1"/>
                <w:color w:val="auto"/>
              </w:rPr>
              <w:t>Total</w:t>
            </w:r>
          </w:p>
        </w:tc>
      </w:tr>
      <w:tr>
        <w:trPr>
          <w:trHeight w:val="209"/>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13"/>
              <w:spacing w:after="0"/>
              <w:rPr>
                <w:sz w:val="20"/>
                <w:szCs w:val="20"/>
                <w:color w:val="auto"/>
              </w:rPr>
            </w:pPr>
            <w:r>
              <w:rPr>
                <w:rFonts w:ascii="Arial" w:cs="Arial" w:eastAsia="Arial" w:hAnsi="Arial"/>
                <w:sz w:val="17"/>
                <w:szCs w:val="17"/>
                <w:b w:val="1"/>
                <w:bCs w:val="1"/>
                <w:color w:val="auto"/>
              </w:rPr>
              <w:t>Additional</w:t>
            </w:r>
          </w:p>
        </w:tc>
        <w:tc>
          <w:tcPr>
            <w:tcW w:w="280" w:type="dxa"/>
            <w:vAlign w:val="bottom"/>
          </w:tcPr>
          <w:p>
            <w:pPr>
              <w:spacing w:after="0"/>
              <w:rPr>
                <w:sz w:val="18"/>
                <w:szCs w:val="18"/>
                <w:color w:val="auto"/>
              </w:rPr>
            </w:pPr>
          </w:p>
        </w:tc>
        <w:tc>
          <w:tcPr>
            <w:tcW w:w="920" w:type="dxa"/>
            <w:vAlign w:val="bottom"/>
            <w:gridSpan w:val="2"/>
          </w:tcPr>
          <w:p>
            <w:pPr>
              <w:jc w:val="right"/>
              <w:ind w:right="233"/>
              <w:spacing w:after="0"/>
              <w:rPr>
                <w:sz w:val="20"/>
                <w:szCs w:val="20"/>
                <w:color w:val="auto"/>
              </w:rPr>
            </w:pPr>
            <w:r>
              <w:rPr>
                <w:rFonts w:ascii="Arial" w:cs="Arial" w:eastAsia="Arial" w:hAnsi="Arial"/>
                <w:sz w:val="17"/>
                <w:szCs w:val="17"/>
                <w:b w:val="1"/>
                <w:bCs w:val="1"/>
                <w:color w:val="auto"/>
                <w:w w:val="91"/>
              </w:rPr>
              <w:t>Surplus</w:t>
            </w:r>
          </w:p>
        </w:tc>
        <w:tc>
          <w:tcPr>
            <w:tcW w:w="1420" w:type="dxa"/>
            <w:vAlign w:val="bottom"/>
            <w:gridSpan w:val="2"/>
          </w:tcPr>
          <w:p>
            <w:pPr>
              <w:jc w:val="center"/>
              <w:ind w:right="13"/>
              <w:spacing w:after="0"/>
              <w:rPr>
                <w:sz w:val="20"/>
                <w:szCs w:val="20"/>
                <w:color w:val="auto"/>
              </w:rPr>
            </w:pPr>
            <w:r>
              <w:rPr>
                <w:rFonts w:ascii="Arial" w:cs="Arial" w:eastAsia="Arial" w:hAnsi="Arial"/>
                <w:sz w:val="17"/>
                <w:szCs w:val="17"/>
                <w:b w:val="1"/>
                <w:bCs w:val="1"/>
                <w:color w:val="auto"/>
                <w:w w:val="90"/>
              </w:rPr>
              <w:t>Comprehensive</w:t>
            </w: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w w:val="97"/>
              </w:rPr>
              <w:t>Stockholders’</w:t>
            </w: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w w:val="88"/>
              </w:rPr>
              <w:t>Shares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Amount</w:t>
            </w:r>
          </w:p>
        </w:tc>
        <w:tc>
          <w:tcPr>
            <w:tcW w:w="4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7"/>
                <w:szCs w:val="17"/>
                <w:b w:val="1"/>
                <w:bCs w:val="1"/>
                <w:color w:val="auto"/>
              </w:rPr>
              <w:t>Shares</w:t>
            </w:r>
          </w:p>
        </w:tc>
        <w:tc>
          <w:tcPr>
            <w:tcW w:w="940" w:type="dxa"/>
            <w:vAlign w:val="bottom"/>
            <w:gridSpan w:val="2"/>
          </w:tcPr>
          <w:p>
            <w:pPr>
              <w:jc w:val="right"/>
              <w:ind w:right="53"/>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19"/>
                <w:szCs w:val="19"/>
                <w:color w:val="auto"/>
              </w:rPr>
            </w:pPr>
          </w:p>
        </w:tc>
        <w:tc>
          <w:tcPr>
            <w:tcW w:w="1360" w:type="dxa"/>
            <w:vAlign w:val="bottom"/>
            <w:gridSpan w:val="2"/>
          </w:tcPr>
          <w:p>
            <w:pPr>
              <w:jc w:val="right"/>
              <w:ind w:right="33"/>
              <w:spacing w:after="0"/>
              <w:rPr>
                <w:sz w:val="20"/>
                <w:szCs w:val="20"/>
                <w:color w:val="auto"/>
              </w:rPr>
            </w:pPr>
            <w:r>
              <w:rPr>
                <w:rFonts w:ascii="Arial" w:cs="Arial" w:eastAsia="Arial" w:hAnsi="Arial"/>
                <w:sz w:val="17"/>
                <w:szCs w:val="17"/>
                <w:b w:val="1"/>
                <w:bCs w:val="1"/>
                <w:color w:val="auto"/>
              </w:rPr>
              <w:t>Paid-in Capital</w:t>
            </w:r>
          </w:p>
        </w:tc>
        <w:tc>
          <w:tcPr>
            <w:tcW w:w="280" w:type="dxa"/>
            <w:vAlign w:val="bottom"/>
          </w:tcPr>
          <w:p>
            <w:pPr>
              <w:spacing w:after="0"/>
              <w:rPr>
                <w:sz w:val="19"/>
                <w:szCs w:val="19"/>
                <w:color w:val="auto"/>
              </w:rPr>
            </w:pPr>
          </w:p>
        </w:tc>
        <w:tc>
          <w:tcPr>
            <w:tcW w:w="920" w:type="dxa"/>
            <w:vAlign w:val="bottom"/>
            <w:gridSpan w:val="2"/>
          </w:tcPr>
          <w:p>
            <w:pPr>
              <w:jc w:val="right"/>
              <w:ind w:right="233"/>
              <w:spacing w:after="0"/>
              <w:rPr>
                <w:sz w:val="20"/>
                <w:szCs w:val="20"/>
                <w:color w:val="auto"/>
              </w:rPr>
            </w:pPr>
            <w:r>
              <w:rPr>
                <w:rFonts w:ascii="Arial" w:cs="Arial" w:eastAsia="Arial" w:hAnsi="Arial"/>
                <w:sz w:val="17"/>
                <w:szCs w:val="17"/>
                <w:b w:val="1"/>
                <w:bCs w:val="1"/>
                <w:color w:val="auto"/>
                <w:w w:val="91"/>
              </w:rPr>
              <w:t>(Deficit)</w:t>
            </w:r>
          </w:p>
        </w:tc>
        <w:tc>
          <w:tcPr>
            <w:tcW w:w="300" w:type="dxa"/>
            <w:vAlign w:val="bottom"/>
          </w:tcPr>
          <w:p>
            <w:pPr>
              <w:spacing w:after="0"/>
              <w:rPr>
                <w:sz w:val="19"/>
                <w:szCs w:val="19"/>
                <w:color w:val="auto"/>
              </w:rPr>
            </w:pPr>
          </w:p>
        </w:tc>
        <w:tc>
          <w:tcPr>
            <w:tcW w:w="1120" w:type="dxa"/>
            <w:vAlign w:val="bottom"/>
          </w:tcPr>
          <w:p>
            <w:pPr>
              <w:jc w:val="center"/>
              <w:ind w:right="333"/>
              <w:spacing w:after="0"/>
              <w:rPr>
                <w:sz w:val="20"/>
                <w:szCs w:val="20"/>
                <w:color w:val="auto"/>
              </w:rPr>
            </w:pPr>
            <w:r>
              <w:rPr>
                <w:rFonts w:ascii="Arial" w:cs="Arial" w:eastAsia="Arial" w:hAnsi="Arial"/>
                <w:sz w:val="17"/>
                <w:szCs w:val="17"/>
                <w:b w:val="1"/>
                <w:bCs w:val="1"/>
                <w:color w:val="auto"/>
                <w:w w:val="85"/>
              </w:rPr>
              <w:t>Loss</w:t>
            </w:r>
          </w:p>
        </w:tc>
        <w:tc>
          <w:tcPr>
            <w:tcW w:w="220" w:type="dxa"/>
            <w:vAlign w:val="bottom"/>
          </w:tcPr>
          <w:p>
            <w:pPr>
              <w:spacing w:after="0"/>
              <w:rPr>
                <w:sz w:val="19"/>
                <w:szCs w:val="19"/>
                <w:color w:val="auto"/>
              </w:rPr>
            </w:pPr>
          </w:p>
        </w:tc>
        <w:tc>
          <w:tcPr>
            <w:tcW w:w="920" w:type="dxa"/>
            <w:vAlign w:val="bottom"/>
          </w:tcPr>
          <w:p>
            <w:pPr>
              <w:jc w:val="right"/>
              <w:ind w:right="273"/>
              <w:spacing w:after="0"/>
              <w:rPr>
                <w:sz w:val="20"/>
                <w:szCs w:val="20"/>
                <w:color w:val="auto"/>
              </w:rPr>
            </w:pPr>
            <w:r>
              <w:rPr>
                <w:rFonts w:ascii="Arial" w:cs="Arial" w:eastAsia="Arial" w:hAnsi="Arial"/>
                <w:sz w:val="17"/>
                <w:szCs w:val="17"/>
                <w:b w:val="1"/>
                <w:bCs w:val="1"/>
                <w:color w:val="auto"/>
              </w:rPr>
              <w:t>Equity</w:t>
            </w:r>
          </w:p>
        </w:tc>
      </w:tr>
      <w:tr>
        <w:trPr>
          <w:trHeight w:val="191"/>
        </w:trPr>
        <w:tc>
          <w:tcPr>
            <w:tcW w:w="20" w:type="dxa"/>
            <w:vAlign w:val="bottom"/>
          </w:tcPr>
          <w:p>
            <w:pPr>
              <w:spacing w:after="0"/>
              <w:rPr>
                <w:sz w:val="16"/>
                <w:szCs w:val="16"/>
                <w:color w:val="auto"/>
              </w:rPr>
            </w:pPr>
          </w:p>
        </w:tc>
        <w:tc>
          <w:tcPr>
            <w:tcW w:w="2000" w:type="dxa"/>
            <w:vAlign w:val="bottom"/>
            <w:gridSpan w:val="3"/>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Balance at March 31,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2019</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14,176,690</w:t>
            </w:r>
          </w:p>
        </w:tc>
        <w:tc>
          <w:tcPr>
            <w:tcW w:w="840" w:type="dxa"/>
            <w:vAlign w:val="bottom"/>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1</w:t>
            </w:r>
          </w:p>
        </w:tc>
        <w:tc>
          <w:tcPr>
            <w:tcW w:w="8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9"/>
              </w:rPr>
              <w:t>1,898,423</w:t>
            </w:r>
          </w:p>
        </w:tc>
        <w:tc>
          <w:tcPr>
            <w:tcW w:w="720" w:type="dxa"/>
            <w:vAlign w:val="bottom"/>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shd w:val="clear" w:color="auto" w:fill="CCEEFF"/>
          </w:tcPr>
          <w:p>
            <w:pPr>
              <w:jc w:val="right"/>
              <w:ind w:right="493"/>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8"/>
              </w:rPr>
              <w:t>57,371</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(1,530)</w:t>
            </w:r>
          </w:p>
        </w:tc>
        <w:tc>
          <w:tcPr>
            <w:tcW w:w="30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(200)</w:t>
            </w: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55,642</w:t>
            </w:r>
          </w:p>
        </w:tc>
      </w:tr>
      <w:tr>
        <w:trPr>
          <w:trHeight w:val="209"/>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7"/>
                <w:szCs w:val="17"/>
                <w:color w:val="auto"/>
              </w:rPr>
              <w:t>Net income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w w:val="89"/>
              </w:rPr>
              <w:t>4,311</w:t>
            </w:r>
          </w:p>
        </w:tc>
        <w:tc>
          <w:tcPr>
            <w:tcW w:w="30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4,311</w:t>
            </w: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w w:val="94"/>
              </w:rPr>
              <w:t>Foreign currency</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20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translation adjustment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(968)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r>
      <w:tr>
        <w:trPr>
          <w:trHeight w:val="209"/>
        </w:trPr>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7"/>
                <w:szCs w:val="17"/>
                <w:color w:val="auto"/>
              </w:rPr>
              <w:t>Exercise of stock option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38,252</w:t>
            </w:r>
          </w:p>
        </w:tc>
        <w:tc>
          <w:tcPr>
            <w:tcW w:w="840" w:type="dxa"/>
            <w:vAlign w:val="bottom"/>
          </w:tcPr>
          <w:p>
            <w:pPr>
              <w:spacing w:after="0"/>
              <w:rPr>
                <w:sz w:val="18"/>
                <w:szCs w:val="18"/>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112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6"/>
              </w:rPr>
              <w:t>Stock-based compensation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618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618</w:t>
            </w:r>
          </w:p>
        </w:tc>
      </w:tr>
      <w:tr>
        <w:trPr>
          <w:trHeight w:val="196"/>
        </w:trPr>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Arial" w:cs="Arial" w:eastAsia="Arial" w:hAnsi="Arial"/>
                <w:sz w:val="17"/>
                <w:szCs w:val="17"/>
                <w:color w:val="auto"/>
              </w:rPr>
              <w:t>Conversion of class B</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000" w:type="dxa"/>
            <w:vAlign w:val="bottom"/>
            <w:gridSpan w:val="3"/>
          </w:tcPr>
          <w:p>
            <w:pPr>
              <w:ind w:left="100"/>
              <w:spacing w:after="0"/>
              <w:rPr>
                <w:sz w:val="20"/>
                <w:szCs w:val="20"/>
                <w:color w:val="auto"/>
              </w:rPr>
            </w:pPr>
            <w:r>
              <w:rPr>
                <w:rFonts w:ascii="Arial" w:cs="Arial" w:eastAsia="Arial" w:hAnsi="Arial"/>
                <w:sz w:val="17"/>
                <w:szCs w:val="17"/>
                <w:color w:val="auto"/>
              </w:rPr>
              <w:t>common shares to Class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20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color w:val="auto"/>
              </w:rPr>
              <w:t>A common shares</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15,000</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(15,000)</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r>
      <w:tr>
        <w:trPr>
          <w:trHeight w:val="249"/>
        </w:trPr>
        <w:tc>
          <w:tcPr>
            <w:tcW w:w="20" w:type="dxa"/>
            <w:vAlign w:val="bottom"/>
          </w:tcPr>
          <w:p>
            <w:pPr>
              <w:spacing w:after="0"/>
              <w:rPr>
                <w:sz w:val="21"/>
                <w:szCs w:val="21"/>
                <w:color w:val="auto"/>
              </w:rPr>
            </w:pPr>
          </w:p>
        </w:tc>
        <w:tc>
          <w:tcPr>
            <w:tcW w:w="20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b w:val="1"/>
                <w:bCs w:val="1"/>
                <w:color w:val="auto"/>
                <w:w w:val="98"/>
              </w:rPr>
              <w:t>Balance at June 30, 2019</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14,229,942</w:t>
            </w:r>
          </w:p>
        </w:tc>
        <w:tc>
          <w:tcPr>
            <w:tcW w:w="8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1</w:t>
            </w:r>
          </w:p>
        </w:tc>
        <w:tc>
          <w:tcPr>
            <w:tcW w:w="840" w:type="dxa"/>
            <w:vAlign w:val="bottom"/>
            <w:tcBorders>
              <w:bottom w:val="single" w:sz="8" w:color="auto"/>
            </w:tcBorders>
            <w:gridSpan w:val="2"/>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9"/>
              </w:rPr>
              <w:t>1,883,423</w:t>
            </w:r>
          </w:p>
        </w:tc>
        <w:tc>
          <w:tcPr>
            <w:tcW w:w="7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gridSpan w:val="2"/>
            <w:shd w:val="clear" w:color="auto" w:fill="CCEEFF"/>
          </w:tcPr>
          <w:p>
            <w:pPr>
              <w:jc w:val="right"/>
              <w:ind w:right="493"/>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8"/>
              </w:rPr>
              <w:t>58,101</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9"/>
              </w:rPr>
              <w:t>2,781</w:t>
            </w:r>
          </w:p>
        </w:tc>
        <w:tc>
          <w:tcPr>
            <w:tcW w:w="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(1,168)</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59,715</w:t>
            </w: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660" w:type="dxa"/>
            <w:vAlign w:val="bottom"/>
          </w:tcPr>
          <w:p>
            <w:pPr>
              <w:ind w:left="5200"/>
              <w:spacing w:after="0"/>
              <w:rPr>
                <w:sz w:val="20"/>
                <w:szCs w:val="20"/>
                <w:color w:val="auto"/>
              </w:rPr>
            </w:pPr>
            <w:r>
              <w:rPr>
                <w:rFonts w:ascii="Arial" w:cs="Arial" w:eastAsia="Arial" w:hAnsi="Arial"/>
                <w:sz w:val="17"/>
                <w:szCs w:val="17"/>
                <w:i w:val="1"/>
                <w:iCs w:val="1"/>
                <w:color w:val="auto"/>
              </w:rPr>
              <w:t>(unaudited)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7"/>
                <w:szCs w:val="17"/>
                <w:b w:val="1"/>
                <w:bCs w:val="1"/>
                <w:color w:val="auto"/>
                <w:w w:val="94"/>
              </w:rPr>
              <w:t>Six Months Ended 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2,459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Adjustments to reconcile net income from operations to net cash used in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7"/>
                <w:szCs w:val="17"/>
                <w:color w:val="auto"/>
              </w:rPr>
              <w:t>Loss on disposals of property, plant and equipment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Equity income in net income of affiliates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(507)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00"/>
              <w:spacing w:after="0"/>
              <w:rPr>
                <w:sz w:val="20"/>
                <w:szCs w:val="20"/>
                <w:color w:val="auto"/>
              </w:rPr>
            </w:pPr>
            <w:r>
              <w:rPr>
                <w:rFonts w:ascii="Arial" w:cs="Arial" w:eastAsia="Arial" w:hAnsi="Arial"/>
                <w:sz w:val="17"/>
                <w:szCs w:val="17"/>
                <w:color w:val="auto"/>
              </w:rPr>
              <w:t>Change in fair value of financial liability</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5,431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changes in operating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(28,474)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(6,837)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receivables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(3,271)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Inventory</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(5,630)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(6,783)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(1,176)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Other long-term assets</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(836)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14,954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Advances from customers</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(283)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(2,703)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 payable</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(1,419)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Other payables and accrued expenses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3,537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Other long-term liabilities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2,461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Net cash used in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(10,651)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Purchase of property and equipment</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(1,529)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of intangible assets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Purchase of long-term investments</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(14,130)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Prepayment for land-use-right and property</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(15,438)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Investments in unconsolidated affiliates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(31,152)</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Proceeds from short-term borrowings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25,807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Repayments of short-term borrowings</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(13,563)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Repayments of notes payable</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(1,820)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Proceeds from stock option exercise to common stock</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ind w:left="620"/>
              <w:spacing w:after="0"/>
              <w:rPr>
                <w:sz w:val="20"/>
                <w:szCs w:val="20"/>
                <w:color w:val="auto"/>
              </w:rPr>
            </w:pPr>
            <w:r>
              <w:rPr>
                <w:rFonts w:ascii="Arial" w:cs="Arial" w:eastAsia="Arial" w:hAnsi="Arial"/>
                <w:sz w:val="17"/>
                <w:szCs w:val="17"/>
                <w:b w:val="1"/>
                <w:bCs w:val="1"/>
                <w:color w:val="auto"/>
              </w:rPr>
              <w:t>Net cash provided by financing activities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11,297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Effect of exchange rate changes on cash, cash equivalents and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(956)</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(31,462)</w:t>
            </w: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117,859</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86,397</w:t>
            </w:r>
          </w:p>
        </w:tc>
        <w:tc>
          <w:tcPr>
            <w:tcW w:w="2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27,578</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Cash paid for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4,104</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86,397</w:t>
            </w:r>
          </w:p>
        </w:tc>
        <w:tc>
          <w:tcPr>
            <w:tcW w:w="2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27,578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Cash, cash equivalents and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86,397</w:t>
            </w:r>
          </w:p>
        </w:tc>
        <w:tc>
          <w:tcPr>
            <w:tcW w:w="2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27,578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financing activities: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Warrant conversion to 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399</w:t>
            </w:r>
          </w:p>
        </w:tc>
        <w:tc>
          <w:tcPr>
            <w:tcW w:w="2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Share cancellation (note 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367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2006 the Company established its operational center in Shanghai in the People’s Republic of China (the “PRC”), where it operates through ACM’s subsidiary ACM Research (Shanghai), Inc. (“ACM Shanghai”). ACM Shanghai was formed initially in 2005 to help establish and build relationships with integrated circuit manufacturers in the PRC, and the Company initially financed its Shanghai operations in part through sales of non-controlling equity interests in ACM Shanghai.</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March 2019 ACM Shanghai formed a wholly owned subsidiary in the PRC, Shengwei Research (Shanghai), Inc. (“ACM Shengwei”), to manage activities related to addition of future long-term production capacity.</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June 2019 CleanChip formed a wholly owned subsidiary in California, ACM Research (CA), Inc. (“ACM California”), to provide procurement services on behalf of ACM Shanghai.</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June 2019 ACM announced plans to complete over the next three years a listing (the “STAR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June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 (Note 14).</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preparation for the STAR IPO, the Company completed a reorganization in December 2019 that included the sale of all of the shares of CleanChip by ACM to ACM Shanghai for $3,500. The reorganization and sale had no impact on the Company’s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direct or indirect interests in the following subsidiaries: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360" w:type="dxa"/>
            <w:vAlign w:val="bottom"/>
            <w:vMerge w:val="restart"/>
          </w:tcPr>
          <w:p>
            <w:pPr>
              <w:ind w:left="540"/>
              <w:spacing w:after="0"/>
              <w:rPr>
                <w:sz w:val="20"/>
                <w:szCs w:val="20"/>
                <w:color w:val="auto"/>
              </w:rPr>
            </w:pPr>
            <w:r>
              <w:rPr>
                <w:rFonts w:ascii="Arial" w:cs="Arial" w:eastAsia="Arial" w:hAnsi="Arial"/>
                <w:sz w:val="17"/>
                <w:szCs w:val="17"/>
                <w:b w:val="1"/>
                <w:bCs w:val="1"/>
                <w:color w:val="auto"/>
              </w:rPr>
              <w:t>Place and date of</w:t>
            </w:r>
          </w:p>
        </w:tc>
        <w:tc>
          <w:tcPr>
            <w:tcW w:w="3680" w:type="dxa"/>
            <w:vAlign w:val="bottom"/>
            <w:gridSpan w:val="2"/>
          </w:tcPr>
          <w:p>
            <w:pPr>
              <w:jc w:val="right"/>
              <w:ind w:right="393"/>
              <w:spacing w:after="0"/>
              <w:rPr>
                <w:sz w:val="20"/>
                <w:szCs w:val="20"/>
                <w:color w:val="auto"/>
              </w:rPr>
            </w:pPr>
            <w:r>
              <w:rPr>
                <w:rFonts w:ascii="Arial" w:cs="Arial" w:eastAsia="Arial" w:hAnsi="Arial"/>
                <w:sz w:val="17"/>
                <w:szCs w:val="17"/>
                <w:b w:val="1"/>
                <w:bCs w:val="1"/>
                <w:color w:val="auto"/>
              </w:rPr>
              <w:t>Effective interest held as at</w:t>
            </w:r>
          </w:p>
        </w:tc>
        <w:tc>
          <w:tcPr>
            <w:tcW w:w="0" w:type="dxa"/>
            <w:vAlign w:val="bottom"/>
          </w:tcPr>
          <w:p>
            <w:pPr>
              <w:spacing w:after="0"/>
              <w:rPr>
                <w:sz w:val="1"/>
                <w:szCs w:val="1"/>
                <w:color w:val="auto"/>
              </w:rPr>
            </w:pPr>
          </w:p>
        </w:tc>
      </w:tr>
      <w:tr>
        <w:trPr>
          <w:trHeight w:val="191"/>
        </w:trPr>
        <w:tc>
          <w:tcPr>
            <w:tcW w:w="30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Name of subsidiaries</w:t>
            </w:r>
          </w:p>
        </w:tc>
        <w:tc>
          <w:tcPr>
            <w:tcW w:w="3360" w:type="dxa"/>
            <w:vAlign w:val="bottom"/>
            <w:vMerge w:val="continue"/>
          </w:tcPr>
          <w:p>
            <w:pPr>
              <w:spacing w:after="0"/>
              <w:rPr>
                <w:sz w:val="16"/>
                <w:szCs w:val="16"/>
                <w:color w:val="auto"/>
              </w:rPr>
            </w:pPr>
          </w:p>
        </w:tc>
        <w:tc>
          <w:tcPr>
            <w:tcW w:w="3680" w:type="dxa"/>
            <w:vAlign w:val="bottom"/>
            <w:gridSpan w:val="2"/>
            <w:vMerge w:val="restart"/>
          </w:tcPr>
          <w:p>
            <w:pPr>
              <w:jc w:val="right"/>
              <w:ind w:right="53"/>
              <w:spacing w:after="0"/>
              <w:rPr>
                <w:sz w:val="20"/>
                <w:szCs w:val="20"/>
                <w:color w:val="auto"/>
              </w:rPr>
            </w:pPr>
            <w:r>
              <w:rPr>
                <w:rFonts w:ascii="Arial" w:cs="Arial" w:eastAsia="Arial" w:hAnsi="Arial"/>
                <w:sz w:val="17"/>
                <w:szCs w:val="17"/>
                <w:b w:val="1"/>
                <w:bCs w:val="1"/>
                <w:color w:val="auto"/>
              </w:rPr>
              <w:t>June 30, 2020   December 31, 2019</w:t>
            </w:r>
          </w:p>
        </w:tc>
        <w:tc>
          <w:tcPr>
            <w:tcW w:w="0" w:type="dxa"/>
            <w:vAlign w:val="bottom"/>
          </w:tcPr>
          <w:p>
            <w:pPr>
              <w:spacing w:after="0"/>
              <w:rPr>
                <w:sz w:val="1"/>
                <w:szCs w:val="1"/>
                <w:color w:val="auto"/>
              </w:rPr>
            </w:pPr>
          </w:p>
        </w:tc>
      </w:tr>
      <w:tr>
        <w:trPr>
          <w:trHeight w:val="123"/>
        </w:trPr>
        <w:tc>
          <w:tcPr>
            <w:tcW w:w="3060" w:type="dxa"/>
            <w:vAlign w:val="bottom"/>
            <w:gridSpan w:val="2"/>
            <w:vMerge w:val="continue"/>
          </w:tcPr>
          <w:p>
            <w:pPr>
              <w:spacing w:after="0"/>
              <w:rPr>
                <w:sz w:val="10"/>
                <w:szCs w:val="10"/>
                <w:color w:val="auto"/>
              </w:rPr>
            </w:pPr>
          </w:p>
        </w:tc>
        <w:tc>
          <w:tcPr>
            <w:tcW w:w="3360" w:type="dxa"/>
            <w:vAlign w:val="bottom"/>
            <w:vMerge w:val="restart"/>
          </w:tcPr>
          <w:p>
            <w:pPr>
              <w:ind w:left="540"/>
              <w:spacing w:after="0"/>
              <w:rPr>
                <w:sz w:val="20"/>
                <w:szCs w:val="20"/>
                <w:color w:val="auto"/>
              </w:rPr>
            </w:pPr>
            <w:r>
              <w:rPr>
                <w:rFonts w:ascii="Arial" w:cs="Arial" w:eastAsia="Arial" w:hAnsi="Arial"/>
                <w:sz w:val="17"/>
                <w:szCs w:val="17"/>
                <w:b w:val="1"/>
                <w:bCs w:val="1"/>
                <w:color w:val="auto"/>
              </w:rPr>
              <w:t>incorporation</w:t>
            </w:r>
          </w:p>
        </w:tc>
        <w:tc>
          <w:tcPr>
            <w:tcW w:w="3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vMerge w:val="continue"/>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ACM Research (Shanghai), Inc.</w:t>
            </w:r>
          </w:p>
        </w:tc>
        <w:tc>
          <w:tcPr>
            <w:tcW w:w="33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China, May 2005</w:t>
            </w:r>
          </w:p>
        </w:tc>
        <w:tc>
          <w:tcPr>
            <w:tcW w:w="258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91.7%</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ACM Research (Wuxi), Inc.</w:t>
            </w:r>
          </w:p>
        </w:tc>
        <w:tc>
          <w:tcPr>
            <w:tcW w:w="3360" w:type="dxa"/>
            <w:vAlign w:val="bottom"/>
          </w:tcPr>
          <w:p>
            <w:pPr>
              <w:ind w:left="540"/>
              <w:spacing w:after="0"/>
              <w:rPr>
                <w:sz w:val="20"/>
                <w:szCs w:val="20"/>
                <w:color w:val="auto"/>
              </w:rPr>
            </w:pPr>
            <w:r>
              <w:rPr>
                <w:rFonts w:ascii="Arial" w:cs="Arial" w:eastAsia="Arial" w:hAnsi="Arial"/>
                <w:sz w:val="17"/>
                <w:szCs w:val="17"/>
                <w:color w:val="auto"/>
              </w:rPr>
              <w:t>China, July 2011</w:t>
            </w:r>
          </w:p>
        </w:tc>
        <w:tc>
          <w:tcPr>
            <w:tcW w:w="2580" w:type="dxa"/>
            <w:vAlign w:val="bottom"/>
          </w:tcPr>
          <w:p>
            <w:pPr>
              <w:jc w:val="right"/>
              <w:ind w:right="453"/>
              <w:spacing w:after="0"/>
              <w:rPr>
                <w:sz w:val="20"/>
                <w:szCs w:val="20"/>
                <w:color w:val="auto"/>
              </w:rPr>
            </w:pPr>
            <w:r>
              <w:rPr>
                <w:rFonts w:ascii="Arial" w:cs="Arial" w:eastAsia="Arial" w:hAnsi="Arial"/>
                <w:sz w:val="17"/>
                <w:szCs w:val="17"/>
                <w:color w:val="auto"/>
              </w:rPr>
              <w:t>91.7%</w:t>
            </w:r>
          </w:p>
        </w:tc>
        <w:tc>
          <w:tcPr>
            <w:tcW w:w="1100" w:type="dxa"/>
            <w:vAlign w:val="bottom"/>
          </w:tcPr>
          <w:p>
            <w:pPr>
              <w:jc w:val="right"/>
              <w:spacing w:after="0"/>
              <w:rPr>
                <w:sz w:val="20"/>
                <w:szCs w:val="20"/>
                <w:color w:val="auto"/>
              </w:rPr>
            </w:pPr>
            <w:r>
              <w:rPr>
                <w:rFonts w:ascii="Arial" w:cs="Arial" w:eastAsia="Arial" w:hAnsi="Arial"/>
                <w:sz w:val="17"/>
                <w:szCs w:val="17"/>
                <w:color w:val="0D0D0D"/>
              </w:rPr>
              <w:t>91.7%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CleanChip Technologies Limited</w:t>
            </w:r>
          </w:p>
        </w:tc>
        <w:tc>
          <w:tcPr>
            <w:tcW w:w="33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Hong Kong, June 2017</w:t>
            </w:r>
          </w:p>
        </w:tc>
        <w:tc>
          <w:tcPr>
            <w:tcW w:w="258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91.7%</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ACM Research Korea CO., LTD.</w:t>
            </w:r>
          </w:p>
        </w:tc>
        <w:tc>
          <w:tcPr>
            <w:tcW w:w="3360" w:type="dxa"/>
            <w:vAlign w:val="bottom"/>
          </w:tcPr>
          <w:p>
            <w:pPr>
              <w:ind w:left="540"/>
              <w:spacing w:after="0"/>
              <w:rPr>
                <w:sz w:val="20"/>
                <w:szCs w:val="20"/>
                <w:color w:val="auto"/>
              </w:rPr>
            </w:pPr>
            <w:r>
              <w:rPr>
                <w:rFonts w:ascii="Arial" w:cs="Arial" w:eastAsia="Arial" w:hAnsi="Arial"/>
                <w:sz w:val="17"/>
                <w:szCs w:val="17"/>
                <w:color w:val="auto"/>
              </w:rPr>
              <w:t>Korea, December 2017</w:t>
            </w:r>
          </w:p>
        </w:tc>
        <w:tc>
          <w:tcPr>
            <w:tcW w:w="2580" w:type="dxa"/>
            <w:vAlign w:val="bottom"/>
          </w:tcPr>
          <w:p>
            <w:pPr>
              <w:jc w:val="right"/>
              <w:ind w:right="453"/>
              <w:spacing w:after="0"/>
              <w:rPr>
                <w:sz w:val="20"/>
                <w:szCs w:val="20"/>
                <w:color w:val="auto"/>
              </w:rPr>
            </w:pPr>
            <w:r>
              <w:rPr>
                <w:rFonts w:ascii="Arial" w:cs="Arial" w:eastAsia="Arial" w:hAnsi="Arial"/>
                <w:sz w:val="17"/>
                <w:szCs w:val="17"/>
                <w:color w:val="auto"/>
              </w:rPr>
              <w:t>91.7%</w:t>
            </w:r>
          </w:p>
        </w:tc>
        <w:tc>
          <w:tcPr>
            <w:tcW w:w="1100" w:type="dxa"/>
            <w:vAlign w:val="bottom"/>
          </w:tcPr>
          <w:p>
            <w:pPr>
              <w:jc w:val="right"/>
              <w:spacing w:after="0"/>
              <w:rPr>
                <w:sz w:val="20"/>
                <w:szCs w:val="20"/>
                <w:color w:val="auto"/>
              </w:rPr>
            </w:pPr>
            <w:r>
              <w:rPr>
                <w:rFonts w:ascii="Arial" w:cs="Arial" w:eastAsia="Arial" w:hAnsi="Arial"/>
                <w:sz w:val="17"/>
                <w:szCs w:val="17"/>
                <w:color w:val="0D0D0D"/>
              </w:rPr>
              <w:t>91.7%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Shengwei Research (Shanghai), Inc.</w:t>
            </w:r>
          </w:p>
        </w:tc>
        <w:tc>
          <w:tcPr>
            <w:tcW w:w="33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China, March 2019</w:t>
            </w:r>
          </w:p>
        </w:tc>
        <w:tc>
          <w:tcPr>
            <w:tcW w:w="258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91.7%</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ACM Research (CA), Inc.</w:t>
            </w:r>
          </w:p>
        </w:tc>
        <w:tc>
          <w:tcPr>
            <w:tcW w:w="3360" w:type="dxa"/>
            <w:vAlign w:val="bottom"/>
          </w:tcPr>
          <w:p>
            <w:pPr>
              <w:ind w:left="540"/>
              <w:spacing w:after="0"/>
              <w:rPr>
                <w:sz w:val="20"/>
                <w:szCs w:val="20"/>
                <w:color w:val="auto"/>
              </w:rPr>
            </w:pPr>
            <w:r>
              <w:rPr>
                <w:rFonts w:ascii="Arial" w:cs="Arial" w:eastAsia="Arial" w:hAnsi="Arial"/>
                <w:sz w:val="17"/>
                <w:szCs w:val="17"/>
                <w:color w:val="auto"/>
              </w:rPr>
              <w:t>USA, June 2019</w:t>
            </w:r>
          </w:p>
        </w:tc>
        <w:tc>
          <w:tcPr>
            <w:tcW w:w="2580" w:type="dxa"/>
            <w:vAlign w:val="bottom"/>
          </w:tcPr>
          <w:p>
            <w:pPr>
              <w:jc w:val="right"/>
              <w:ind w:right="453"/>
              <w:spacing w:after="0"/>
              <w:rPr>
                <w:sz w:val="20"/>
                <w:szCs w:val="20"/>
                <w:color w:val="auto"/>
              </w:rPr>
            </w:pPr>
            <w:r>
              <w:rPr>
                <w:rFonts w:ascii="Arial" w:cs="Arial" w:eastAsia="Arial" w:hAnsi="Arial"/>
                <w:sz w:val="17"/>
                <w:szCs w:val="17"/>
                <w:color w:val="auto"/>
              </w:rPr>
              <w:t>91.7%</w:t>
            </w:r>
          </w:p>
        </w:tc>
        <w:tc>
          <w:tcPr>
            <w:tcW w:w="1100" w:type="dxa"/>
            <w:vAlign w:val="bottom"/>
          </w:tcPr>
          <w:p>
            <w:pPr>
              <w:jc w:val="right"/>
              <w:spacing w:after="0"/>
              <w:rPr>
                <w:sz w:val="20"/>
                <w:szCs w:val="20"/>
                <w:color w:val="auto"/>
              </w:rPr>
            </w:pPr>
            <w:r>
              <w:rPr>
                <w:rFonts w:ascii="Arial" w:cs="Arial" w:eastAsia="Arial" w:hAnsi="Arial"/>
                <w:sz w:val="17"/>
                <w:szCs w:val="17"/>
                <w:color w:val="0D0D0D"/>
              </w:rPr>
              <w:t>91.7%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ACM Research (Cayman), Inc.</w:t>
            </w:r>
          </w:p>
        </w:tc>
        <w:tc>
          <w:tcPr>
            <w:tcW w:w="33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Cayman Islands, April 2019</w:t>
            </w:r>
          </w:p>
        </w:tc>
        <w:tc>
          <w:tcPr>
            <w:tcW w:w="258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100.0%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 and Principles of Consolidation</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consolidated financial statements include the accounts of ACM and its subsidiaries, including ACM Shanghai and its subsidiaries, which include ACM Wuxi, ACM Shengwei and CleanChip (the subsidiaries of which include ACM California and ACM Korea). ACM’s subsidiaries are those entities in which ACM, directly and indirectly, controls more than one half of the voting power. All significant intercompany transactions and balances have been eliminated upon consolidation.</w:t>
      </w:r>
    </w:p>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for reporting on Form 10-Q. Accordingly, they do not include all the information and footnotes required by GAAP for complete financial statements. The unaudited condensed consolidated financial statements herein should be read in conjunction with the historical consolidated financial statements of the Company for the year ended December 31, 2019 included in ACM’s Annual Report on Form 10-K for the year ended December 31, 2019.</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accompanying condensed consolidated balance sheet as of June 30, 2020, condensed consolidated statements of operations and comprehensive income for the three and six months ended June 30, 2020 and 2019, condensed consolidated statements of changes in stockholders’ equity for the three and six months ended June 30, 2020 and 2019, and condensed consolidated statements of cash flows for the six months ended June 30, 2020 and 2019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June 30, 2020 and the results of operations for the three and six months ended June 30, 2020 are not necessarily indicative of the results to be expected for any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COVID-19 Assessment</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outbreak of COVID-19, the coronavirus, has grown both in the United States and globally, and related government and private sector responsive actions have adversely affected the Company’s business operations. In December 2019 a series of emergency quarantine measures taken by the PRC government disrupted domestic business activities during the weeks after the initial outbreak of COVID-19. Since that time, an increasing number of countries, including the United States, have imposed restrictions on travel to and from the PRC and elsewhere, as well as general movement restrictions, business closures and other measures imposed to slow the spread of COVID-19. The situation continues to develop, however, and it is impossible to predict the effect and ultimate impact of the COVID-19 outbreak on the Company’s business operations and results. While the quarantine, social distancing and other regulatory measures instituted or recommended in response to COVID-19 are expected to be temporary, the duration of the business disruptions, and related financial impact, cannot be estimated at this time. The COVID-19 outbreak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 Through June 30, 2020 the Company did not experience significant negative impact of COVID-19 on its operations, capital and financial resources, including overall liquidity position.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valuation of financial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believes that the estimates, judgments and assumptions are reasonable, based on information available at the time they are made. Actual results could differ materially from those estimates.</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gridSpan w:val="3"/>
          </w:tcPr>
          <w:p>
            <w:pPr>
              <w:spacing w:after="0"/>
              <w:rPr>
                <w:sz w:val="20"/>
                <w:szCs w:val="20"/>
                <w:color w:val="auto"/>
              </w:rPr>
            </w:pPr>
            <w:r>
              <w:rPr>
                <w:rFonts w:ascii="Arial" w:cs="Arial" w:eastAsia="Arial" w:hAnsi="Arial"/>
                <w:sz w:val="17"/>
                <w:szCs w:val="17"/>
                <w:color w:val="auto"/>
              </w:rPr>
              <w:t>Basic and Diluted Net Income per Common Share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gridSpan w:val="2"/>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680" w:type="dxa"/>
            <w:vAlign w:val="bottom"/>
            <w:gridSpan w:val="3"/>
          </w:tcPr>
          <w:p>
            <w:pPr>
              <w:spacing w:after="0"/>
              <w:rPr>
                <w:sz w:val="20"/>
                <w:szCs w:val="20"/>
                <w:color w:val="auto"/>
              </w:rPr>
            </w:pPr>
            <w:r>
              <w:rPr>
                <w:rFonts w:ascii="Arial" w:cs="Arial" w:eastAsia="Arial" w:hAnsi="Arial"/>
                <w:sz w:val="17"/>
                <w:szCs w:val="17"/>
                <w:color w:val="auto"/>
              </w:rPr>
              <w:t>Basic and diluted net income per common share is calculated as follows: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00" w:type="dxa"/>
            <w:vAlign w:val="bottom"/>
            <w:gridSpan w:val="7"/>
          </w:tcPr>
          <w:p>
            <w:pPr>
              <w:spacing w:after="0"/>
              <w:rPr>
                <w:sz w:val="20"/>
                <w:szCs w:val="20"/>
                <w:color w:val="auto"/>
              </w:rPr>
            </w:pPr>
            <w:r>
              <w:rPr>
                <w:rFonts w:ascii="Arial" w:cs="Arial" w:eastAsia="Arial" w:hAnsi="Arial"/>
                <w:sz w:val="17"/>
                <w:szCs w:val="17"/>
                <w:b w:val="1"/>
                <w:bCs w:val="1"/>
                <w:color w:val="auto"/>
                <w:w w:val="94"/>
              </w:rPr>
              <w:t>Three Months Ended June 30,</w:t>
            </w:r>
          </w:p>
        </w:tc>
        <w:tc>
          <w:tcPr>
            <w:tcW w:w="2140" w:type="dxa"/>
            <w:vAlign w:val="bottom"/>
            <w:gridSpan w:val="7"/>
          </w:tcPr>
          <w:p>
            <w:pPr>
              <w:ind w:left="40"/>
              <w:spacing w:after="0"/>
              <w:rPr>
                <w:sz w:val="20"/>
                <w:szCs w:val="20"/>
                <w:color w:val="auto"/>
              </w:rPr>
            </w:pPr>
            <w:r>
              <w:rPr>
                <w:rFonts w:ascii="Arial" w:cs="Arial" w:eastAsia="Arial" w:hAnsi="Arial"/>
                <w:sz w:val="17"/>
                <w:szCs w:val="17"/>
                <w:b w:val="1"/>
                <w:bCs w:val="1"/>
                <w:color w:val="auto"/>
                <w:w w:val="94"/>
              </w:rPr>
              <w:t>Six Months Ended June 30,</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gridSpan w:val="3"/>
          </w:tcPr>
          <w:p>
            <w:pPr>
              <w:ind w:left="1140"/>
              <w:spacing w:after="0"/>
              <w:rPr>
                <w:sz w:val="20"/>
                <w:szCs w:val="20"/>
                <w:color w:val="auto"/>
              </w:rPr>
            </w:pPr>
            <w:r>
              <w:rPr>
                <w:rFonts w:ascii="Arial" w:cs="Arial" w:eastAsia="Arial" w:hAnsi="Arial"/>
                <w:sz w:val="17"/>
                <w:szCs w:val="17"/>
                <w:color w:val="auto"/>
              </w:rPr>
              <w:t>Numerator: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4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non-controlling interests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7"/>
                <w:szCs w:val="17"/>
                <w:color w:val="auto"/>
              </w:rPr>
              <w:t>redeemable non-controlling interests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Net income (loss) available to common stockholders, basic and</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4,311</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140" w:type="dxa"/>
            <w:vAlign w:val="bottom"/>
            <w:vMerge w:val="restart"/>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basic</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18,050,841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16,090,937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18,085,602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16,067,924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540" w:type="dxa"/>
            <w:vAlign w:val="bottom"/>
            <w:gridSpan w:val="2"/>
          </w:tcPr>
          <w:p>
            <w:pPr>
              <w:ind w:left="120"/>
              <w:spacing w:after="0"/>
              <w:rPr>
                <w:sz w:val="20"/>
                <w:szCs w:val="20"/>
                <w:color w:val="auto"/>
              </w:rPr>
            </w:pPr>
            <w:r>
              <w:rPr>
                <w:rFonts w:ascii="Arial" w:cs="Arial" w:eastAsia="Arial" w:hAnsi="Arial"/>
                <w:sz w:val="17"/>
                <w:szCs w:val="17"/>
                <w:color w:val="auto"/>
              </w:rPr>
              <w:t>Effect of dilutive securities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3,465,334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3,111,601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Weighted average shares outstanding, diluted</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21,516,175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18,604,347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21,197,203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18,455,534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14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 per common share: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540" w:type="dxa"/>
            <w:vAlign w:val="bottom"/>
            <w:gridSpan w:val="2"/>
          </w:tcPr>
          <w:p>
            <w:pPr>
              <w:ind w:left="12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(0.00)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0.09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140" w:type="dxa"/>
            <w:vAlign w:val="bottom"/>
          </w:tcPr>
          <w:p>
            <w:pPr>
              <w:spacing w:after="0"/>
              <w:rPr>
                <w:sz w:val="20"/>
                <w:szCs w:val="20"/>
                <w:color w:val="auto"/>
              </w:rPr>
            </w:pPr>
          </w:p>
        </w:tc>
        <w:tc>
          <w:tcPr>
            <w:tcW w:w="4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and six months ended June 30, 2020 and 2019, the net income per common share attributable to each class is the same under the “two-class” method. As such, the two classes of common stock have been presented on a combined basis in the condensed consolidated statements of operations and comprehensive income and in the above computation of net income per common share.</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Diluted net income per common share reflects the potential dilution from securities that could share in ACM’s earnings. ACM’s potential dilutive securities consist of warrants and stock options for the three and six months ended June 30, 2020 and 2019.</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 of Credit Risk</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is potentially subject to concentrations of credit risks in its accounts receivable. For the six months ended June 30, 2020 and 2019, the Company’s three largest customers accounted for 92.4% and 72.1%, respectively, of revenue. For the three months ended June 30, 2020 and 2019, the Company’s three largest customers accounted for 91.0% and 89.9%, respectively, of revenue. As of June 30, 2020 and December 31, 2019, the Company’s three largest customers accounted for 83.9% and 67.7%, respectively, of the Company’s accounts receivables. The Company believes that the receivable balances from these largest customers do not represent a significant credit risk based on past collection experience.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In August 2018, the Financial Accounting Standards Board (the “FASB”) issued Accounting Standards Update (“ASU”) 2018-13, </w:t>
      </w:r>
      <w:r>
        <w:rPr>
          <w:rFonts w:ascii="Arial" w:cs="Arial" w:eastAsia="Arial" w:hAnsi="Arial"/>
          <w:sz w:val="15"/>
          <w:szCs w:val="15"/>
          <w:i w:val="1"/>
          <w:iCs w:val="1"/>
          <w:color w:val="auto"/>
        </w:rPr>
        <w:t>Fair Value Measurement</w:t>
      </w:r>
      <w:r>
        <w:rPr>
          <w:rFonts w:ascii="Arial" w:cs="Arial" w:eastAsia="Arial" w:hAnsi="Arial"/>
          <w:sz w:val="15"/>
          <w:szCs w:val="15"/>
          <w:color w:val="auto"/>
        </w:rPr>
        <w:t xml:space="preserve"> </w:t>
      </w:r>
      <w:r>
        <w:rPr>
          <w:rFonts w:ascii="Arial" w:cs="Arial" w:eastAsia="Arial" w:hAnsi="Arial"/>
          <w:sz w:val="15"/>
          <w:szCs w:val="15"/>
          <w:i w:val="1"/>
          <w:iCs w:val="1"/>
          <w:color w:val="auto"/>
        </w:rPr>
        <w:t>(Topic 820)</w:t>
      </w:r>
      <w:r>
        <w:rPr>
          <w:rFonts w:ascii="Arial" w:cs="Arial" w:eastAsia="Arial" w:hAnsi="Arial"/>
          <w:sz w:val="15"/>
          <w:szCs w:val="15"/>
          <w:color w:val="auto"/>
        </w:rPr>
        <w:t>, which eliminates, adds and modifies certain disclosure requirements for fair value measurements. The modified standard eliminates the requirement</w:t>
      </w:r>
      <w:r>
        <w:rPr>
          <w:rFonts w:ascii="Arial" w:cs="Arial" w:eastAsia="Arial" w:hAnsi="Arial"/>
          <w:sz w:val="15"/>
          <w:szCs w:val="15"/>
          <w:i w:val="1"/>
          <w:iCs w:val="1"/>
          <w:color w:val="auto"/>
        </w:rPr>
        <w:t xml:space="preserve"> </w:t>
      </w:r>
      <w:r>
        <w:rPr>
          <w:rFonts w:ascii="Arial" w:cs="Arial" w:eastAsia="Arial" w:hAnsi="Arial"/>
          <w:sz w:val="15"/>
          <w:szCs w:val="15"/>
          <w:color w:val="auto"/>
        </w:rPr>
        <w:t>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The adoption of ASU 2018-13 did not have a material impact on the Company’s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 replaced the pre-existing incurred loss impairment methodology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In October 2019, the FASB issued ASU 2019-10, </w:t>
      </w:r>
      <w:r>
        <w:rPr>
          <w:rFonts w:ascii="Arial" w:cs="Arial" w:eastAsia="Arial" w:hAnsi="Arial"/>
          <w:sz w:val="16"/>
          <w:szCs w:val="16"/>
          <w:i w:val="1"/>
          <w:iCs w:val="1"/>
          <w:color w:val="auto"/>
        </w:rPr>
        <w:t>Financial Instruments – Credit Losses (Topic 326), Derivatives and Hedging (Topic 815)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Leases (Topic 842), </w:t>
      </w:r>
      <w:r>
        <w:rPr>
          <w:rFonts w:ascii="Arial" w:cs="Arial" w:eastAsia="Arial" w:hAnsi="Arial"/>
          <w:sz w:val="16"/>
          <w:szCs w:val="16"/>
          <w:color w:val="auto"/>
        </w:rPr>
        <w:t>which defers the effective date for public filers that are considered small reporting companies as defined by the Securities and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to fiscal years beginning after December 15, 2022, including interim periods within those fiscal years. Since the Company is a smaller reporting company, implementation is not needed until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will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ASU are effective for fiscal years, and interim periods within those fiscal years, beginning after December 15, 2020. For all other entities, the amendments are effective for fiscal years beginning after December 15, 2021, and interim periods within fiscal years beginning after December 15, 2022. The Company is evaluating the impact of the adoption of ASU 2019-12, but does not expect it to have a material impact on income taxes as reported in its consolidated financial statements.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20" w:type="dxa"/>
            <w:vAlign w:val="bottom"/>
            <w:gridSpan w:val="2"/>
          </w:tcPr>
          <w:p>
            <w:pPr>
              <w:spacing w:after="0"/>
              <w:rPr>
                <w:sz w:val="20"/>
                <w:szCs w:val="20"/>
                <w:color w:val="auto"/>
              </w:rPr>
            </w:pPr>
            <w:r>
              <w:rPr>
                <w:rFonts w:ascii="Arial" w:cs="Arial" w:eastAsia="Arial" w:hAnsi="Arial"/>
                <w:sz w:val="17"/>
                <w:szCs w:val="17"/>
                <w:b w:val="1"/>
                <w:bCs w:val="1"/>
                <w:color w:val="auto"/>
              </w:rPr>
              <w:t>NOTE 3 – ACCOUNTS RECEIVABLE</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7520" w:type="dxa"/>
            <w:vAlign w:val="bottom"/>
            <w:gridSpan w:val="2"/>
          </w:tcPr>
          <w:p>
            <w:pPr>
              <w:spacing w:after="0"/>
              <w:rPr>
                <w:sz w:val="20"/>
                <w:szCs w:val="20"/>
                <w:color w:val="auto"/>
              </w:rPr>
            </w:pPr>
            <w:r>
              <w:rPr>
                <w:rFonts w:ascii="Arial" w:cs="Arial" w:eastAsia="Arial" w:hAnsi="Arial"/>
                <w:sz w:val="17"/>
                <w:szCs w:val="17"/>
                <w:color w:val="auto"/>
              </w:rPr>
              <w:t>At June 30, 2020 and December 31, 2019, accounts receivable consisted of the following:</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17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4"/>
          </w:tcPr>
          <w:p>
            <w:pPr>
              <w:ind w:left="140"/>
              <w:spacing w:after="0"/>
              <w:rPr>
                <w:sz w:val="20"/>
                <w:szCs w:val="20"/>
                <w:color w:val="auto"/>
              </w:rPr>
            </w:pPr>
            <w:r>
              <w:rPr>
                <w:rFonts w:ascii="Arial" w:cs="Arial" w:eastAsia="Arial" w:hAnsi="Arial"/>
                <w:sz w:val="17"/>
                <w:szCs w:val="17"/>
                <w:b w:val="1"/>
                <w:bCs w:val="1"/>
                <w:color w:val="auto"/>
                <w:w w:val="97"/>
              </w:rPr>
              <w:t>December 31,</w:t>
            </w:r>
          </w:p>
        </w:tc>
      </w:tr>
      <w:tr>
        <w:trPr>
          <w:trHeight w:val="233"/>
        </w:trPr>
        <w:tc>
          <w:tcPr>
            <w:tcW w:w="17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31,091</w:t>
            </w:r>
          </w:p>
        </w:tc>
        <w:tc>
          <w:tcPr>
            <w:tcW w:w="80" w:type="dxa"/>
            <w:vAlign w:val="bottom"/>
            <w:shd w:val="clear" w:color="auto" w:fill="CCEEFF"/>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58,903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31,091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No allowance for doubtful accounts was considered necessary at June 30, 2020 and December 31, 2019. At June 30, 2020 and December 31, 2019, accounts receivable of $0 and $1,433, respectively, were pledged as collateral for borrowings from financial institutions.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60" w:type="dxa"/>
            <w:vAlign w:val="bottom"/>
            <w:gridSpan w:val="2"/>
          </w:tcPr>
          <w:p>
            <w:pPr>
              <w:spacing w:after="0"/>
              <w:rPr>
                <w:sz w:val="20"/>
                <w:szCs w:val="20"/>
                <w:color w:val="auto"/>
              </w:rPr>
            </w:pPr>
            <w:r>
              <w:rPr>
                <w:rFonts w:ascii="Arial" w:cs="Arial" w:eastAsia="Arial" w:hAnsi="Arial"/>
                <w:sz w:val="17"/>
                <w:szCs w:val="17"/>
                <w:b w:val="1"/>
                <w:bCs w:val="1"/>
                <w:color w:val="auto"/>
              </w:rPr>
              <w:t>NOTE 4 – INVENTORIES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360" w:type="dxa"/>
            <w:vAlign w:val="bottom"/>
            <w:gridSpan w:val="2"/>
          </w:tcPr>
          <w:p>
            <w:pPr>
              <w:spacing w:after="0"/>
              <w:rPr>
                <w:sz w:val="20"/>
                <w:szCs w:val="20"/>
                <w:color w:val="auto"/>
              </w:rPr>
            </w:pPr>
            <w:r>
              <w:rPr>
                <w:rFonts w:ascii="Arial" w:cs="Arial" w:eastAsia="Arial" w:hAnsi="Arial"/>
                <w:sz w:val="17"/>
                <w:szCs w:val="17"/>
                <w:color w:val="auto"/>
              </w:rPr>
              <w:t>At June 30, 2020 and December 31, 2019, inventory consisted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Arial" w:cs="Arial" w:eastAsia="Arial" w:hAnsi="Arial"/>
                <w:sz w:val="17"/>
                <w:szCs w:val="17"/>
                <w:b w:val="1"/>
                <w:bCs w:val="1"/>
                <w:color w:val="auto"/>
                <w:w w:val="96"/>
              </w:rPr>
              <w:t>June 30,</w:t>
            </w:r>
          </w:p>
        </w:tc>
        <w:tc>
          <w:tcPr>
            <w:tcW w:w="1300" w:type="dxa"/>
            <w:vAlign w:val="bottom"/>
            <w:gridSpan w:val="4"/>
          </w:tcPr>
          <w:p>
            <w:pPr>
              <w:ind w:left="200"/>
              <w:spacing w:after="0"/>
              <w:rPr>
                <w:sz w:val="20"/>
                <w:szCs w:val="20"/>
                <w:color w:val="auto"/>
              </w:rPr>
            </w:pPr>
            <w:r>
              <w:rPr>
                <w:rFonts w:ascii="Arial" w:cs="Arial" w:eastAsia="Arial" w:hAnsi="Arial"/>
                <w:sz w:val="17"/>
                <w:szCs w:val="17"/>
                <w:b w:val="1"/>
                <w:bCs w:val="1"/>
                <w:color w:val="auto"/>
                <w:w w:val="97"/>
              </w:rPr>
              <w:t>December 31,</w:t>
            </w:r>
          </w:p>
        </w:tc>
      </w:tr>
      <w:tr>
        <w:trPr>
          <w:trHeight w:val="233"/>
        </w:trPr>
        <w:tc>
          <w:tcPr>
            <w:tcW w:w="5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15,105</w:t>
            </w:r>
          </w:p>
        </w:tc>
        <w:tc>
          <w:tcPr>
            <w:tcW w:w="80" w:type="dxa"/>
            <w:vAlign w:val="bottom"/>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Work in process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14,203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10,407</w:t>
            </w:r>
          </w:p>
        </w:tc>
        <w:tc>
          <w:tcPr>
            <w:tcW w:w="8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Total inventory</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49,772</w:t>
            </w:r>
          </w:p>
        </w:tc>
        <w:tc>
          <w:tcPr>
            <w:tcW w:w="4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44,796</w:t>
            </w:r>
          </w:p>
        </w:tc>
        <w:tc>
          <w:tcPr>
            <w:tcW w:w="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System shipments of first-tools to an existing or prospective customer, for which ownership does not transfer until customer acceptance, are classified as finished goods inventory and carried at cost until ownership is transferred.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60" w:type="dxa"/>
            <w:vAlign w:val="bottom"/>
            <w:gridSpan w:val="2"/>
          </w:tcPr>
          <w:p>
            <w:pPr>
              <w:spacing w:after="0"/>
              <w:rPr>
                <w:sz w:val="20"/>
                <w:szCs w:val="20"/>
                <w:color w:val="auto"/>
              </w:rPr>
            </w:pPr>
            <w:r>
              <w:rPr>
                <w:rFonts w:ascii="Arial" w:cs="Arial" w:eastAsia="Arial" w:hAnsi="Arial"/>
                <w:sz w:val="17"/>
                <w:szCs w:val="17"/>
                <w:b w:val="1"/>
                <w:bCs w:val="1"/>
                <w:color w:val="auto"/>
              </w:rPr>
              <w:t>NOTE 5 – PROPERTY, PLANT AND EQUIPMENT, 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8360" w:type="dxa"/>
            <w:vAlign w:val="bottom"/>
            <w:gridSpan w:val="2"/>
          </w:tcPr>
          <w:p>
            <w:pPr>
              <w:spacing w:after="0"/>
              <w:rPr>
                <w:sz w:val="20"/>
                <w:szCs w:val="20"/>
                <w:color w:val="auto"/>
              </w:rPr>
            </w:pPr>
            <w:r>
              <w:rPr>
                <w:rFonts w:ascii="Arial" w:cs="Arial" w:eastAsia="Arial" w:hAnsi="Arial"/>
                <w:sz w:val="17"/>
                <w:szCs w:val="17"/>
                <w:color w:val="auto"/>
              </w:rPr>
              <w:t>At June 30, 2020 and December 31, 2019, property, plant and equipment consisted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5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6"/>
              </w:rPr>
              <w:t>June 30,</w:t>
            </w:r>
          </w:p>
        </w:tc>
        <w:tc>
          <w:tcPr>
            <w:tcW w:w="1160" w:type="dxa"/>
            <w:vAlign w:val="bottom"/>
            <w:gridSpan w:val="4"/>
          </w:tcPr>
          <w:p>
            <w:pPr>
              <w:ind w:left="60"/>
              <w:spacing w:after="0"/>
              <w:rPr>
                <w:sz w:val="20"/>
                <w:szCs w:val="20"/>
                <w:color w:val="auto"/>
              </w:rPr>
            </w:pPr>
            <w:r>
              <w:rPr>
                <w:rFonts w:ascii="Arial" w:cs="Arial" w:eastAsia="Arial" w:hAnsi="Arial"/>
                <w:sz w:val="17"/>
                <w:szCs w:val="17"/>
                <w:b w:val="1"/>
                <w:bCs w:val="1"/>
                <w:color w:val="auto"/>
                <w:w w:val="97"/>
              </w:rPr>
              <w:t>December 31,</w:t>
            </w:r>
          </w:p>
        </w:tc>
      </w:tr>
      <w:tr>
        <w:trPr>
          <w:trHeight w:val="233"/>
        </w:trPr>
        <w:tc>
          <w:tcPr>
            <w:tcW w:w="5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Manufacturing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3,902</w:t>
            </w:r>
          </w:p>
        </w:tc>
        <w:tc>
          <w:tcPr>
            <w:tcW w:w="80" w:type="dxa"/>
            <w:vAlign w:val="bottom"/>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Office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762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627</w:t>
            </w:r>
          </w:p>
        </w:tc>
        <w:tc>
          <w:tcPr>
            <w:tcW w:w="8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shd w:val="clear" w:color="auto" w:fill="CCEEFF"/>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Leasehold improvement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1,442</w:t>
            </w:r>
          </w:p>
        </w:tc>
        <w:tc>
          <w:tcPr>
            <w:tcW w:w="8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6,095</w:t>
            </w:r>
          </w:p>
        </w:tc>
        <w:tc>
          <w:tcPr>
            <w:tcW w:w="80" w:type="dxa"/>
            <w:vAlign w:val="bottom"/>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Less: Total accumulated 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(3,447)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(3,077)</w:t>
            </w:r>
          </w:p>
        </w:tc>
      </w:tr>
      <w:tr>
        <w:trPr>
          <w:trHeight w:val="215"/>
        </w:trPr>
        <w:tc>
          <w:tcPr>
            <w:tcW w:w="58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Total property, plant and equipment, net</w:t>
            </w:r>
          </w:p>
        </w:tc>
        <w:tc>
          <w:tcPr>
            <w:tcW w:w="140" w:type="dxa"/>
            <w:vAlign w:val="bottom"/>
            <w:gridSpan w:val="2"/>
          </w:tcPr>
          <w:p>
            <w:pPr>
              <w:jc w:val="right"/>
              <w:spacing w:after="0"/>
              <w:rPr>
                <w:sz w:val="20"/>
                <w:szCs w:val="20"/>
                <w:color w:val="auto"/>
              </w:rPr>
            </w:pPr>
            <w:r>
              <w:rPr>
                <w:rFonts w:ascii="Arial" w:cs="Arial" w:eastAsia="Arial" w:hAnsi="Arial"/>
                <w:sz w:val="17"/>
                <w:szCs w:val="17"/>
                <w:color w:val="0D0D0D"/>
                <w:w w:val="84"/>
              </w:rPr>
              <w:t>$</w:t>
            </w:r>
          </w:p>
        </w:tc>
        <w:tc>
          <w:tcPr>
            <w:tcW w:w="880" w:type="dxa"/>
            <w:vAlign w:val="bottom"/>
          </w:tcPr>
          <w:p>
            <w:pPr>
              <w:jc w:val="right"/>
              <w:spacing w:after="0"/>
              <w:rPr>
                <w:sz w:val="20"/>
                <w:szCs w:val="20"/>
                <w:color w:val="auto"/>
              </w:rPr>
            </w:pPr>
            <w:r>
              <w:rPr>
                <w:rFonts w:ascii="Arial" w:cs="Arial" w:eastAsia="Arial" w:hAnsi="Arial"/>
                <w:sz w:val="17"/>
                <w:szCs w:val="17"/>
                <w:color w:val="0D0D0D"/>
              </w:rPr>
              <w:t>3,956</w:t>
            </w:r>
          </w:p>
        </w:tc>
        <w:tc>
          <w:tcPr>
            <w:tcW w:w="14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3,619</w:t>
            </w:r>
          </w:p>
        </w:tc>
        <w:tc>
          <w:tcPr>
            <w:tcW w:w="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Depreciation expense was $189 and $177 for the three months ended June 30, 2020 and 2019, respectively, and $374 and $352 for the six months ended June 30, 2020 and 2019, respectively.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NOTE 6 – SHORT-TERM BORROWINGS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8680" w:type="dxa"/>
            <w:vAlign w:val="bottom"/>
            <w:gridSpan w:val="2"/>
          </w:tcPr>
          <w:p>
            <w:pPr>
              <w:spacing w:after="0"/>
              <w:rPr>
                <w:sz w:val="20"/>
                <w:szCs w:val="20"/>
                <w:color w:val="auto"/>
              </w:rPr>
            </w:pPr>
            <w:r>
              <w:rPr>
                <w:rFonts w:ascii="Arial" w:cs="Arial" w:eastAsia="Arial" w:hAnsi="Arial"/>
                <w:sz w:val="17"/>
                <w:szCs w:val="17"/>
                <w:color w:val="auto"/>
              </w:rPr>
              <w:t>At June 30, 2020 and December 31, 2019, short-term borrowings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9"/>
              </w:rPr>
              <w:t>June 30,</w:t>
            </w:r>
          </w:p>
        </w:tc>
        <w:tc>
          <w:tcPr>
            <w:tcW w:w="122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 31,</w:t>
            </w:r>
          </w:p>
        </w:tc>
      </w:tr>
      <w:tr>
        <w:trPr>
          <w:trHeight w:val="233"/>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4"/>
              </w:rPr>
              <w:t>Line of credit up to RMB 50,000 from Bank of Shanghai Pudong Branch, due on January 23, 2020 with an annual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9"/>
              </w:rPr>
              <w:t>rate of 5.22%, guaranteed by Dr. David Wang, the Chief Executive Officer and President of ACM (the “CEO”) and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CleanChip Technologies Limited. It was fully repaid on January 23, 2020.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5,057</w:t>
            </w: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Line of credit up to RMB 20,000 from Shanghai Rural Commercial Bank, due on February 21, 2020 with an annual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w w:val="95"/>
              </w:rPr>
              <w:t>interest rate of 5.66%, guaranteed by the CEO and pledged by accounts receivable. It was fully repaid on February 21,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8680" w:type="dxa"/>
            <w:vAlign w:val="bottom"/>
            <w:gridSpan w:val="2"/>
          </w:tcPr>
          <w:p>
            <w:pPr>
              <w:ind w:left="160"/>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1,433</w:t>
            </w: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6"/>
              </w:rPr>
              <w:t>Line of credit up to RMB 20,000 from Bank of Communications, due on January 18, 2020 with an annual interest rate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5.66% and fully repaid on January 19, 2020.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1,433</w:t>
            </w: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w w:val="96"/>
              </w:rPr>
              <w:t>Line of credit up to RMB 20,000 from Bank of Communications, due on January 22, 2020 with an annual interest rate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5.66% and fully repaid on January 22, 2020.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717</w:t>
            </w: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5"/>
              </w:rPr>
              <w:t>Line of credit up to RMB 20,000 from Bank of Communications, due on February 14, 2020 with an annual interest rate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5.66% and fully repaid on February 14, 2020.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w:t>
            </w: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w w:val="99"/>
              </w:rPr>
              <w:t>Line of credit up to RMB 50,000 from China Everbright Bank, due on March 25, 2020 with an annual interest rate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4.94%, guaranteed by the CEO and fully repaid on March 24, 2020.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3,250</w:t>
            </w: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Line of credit up to RMB 50,000 from China Everbright Bank, due on April 17, 2020 with an annual interest rate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5.66%, guaranteed by the CEO and fully repaid on April 2, 2020.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1,146</w:t>
            </w: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w w:val="99"/>
              </w:rPr>
              <w:t>Line of credit up to RMB 50,000 from China Everbright Bank, due on August 24, 2020 with an annual interest rate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5.22%, guaranteed by the CEO.</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2,685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5"/>
              </w:rPr>
              <w:t>Line of credit up to RMB 80,000 from China Everbright Bank, due on April 1, 2021 with an annual interest rate of 4.70%,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guaranteed by the CEO.</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4,239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Line of credit up to RMB 80,000 from China Everbright Bank, due on June 27, 2021 with an annual interest rate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7"/>
                <w:szCs w:val="17"/>
                <w:color w:val="auto"/>
              </w:rPr>
              <w:t>4.25%, guaranteed by the CEO.</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1,272</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Line of credit up to RMB 80,000 from China Everbright Bank, due on April 29, 2021 with an annual interest rate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2.80%, guaranteed by the CEO.</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Line of credit up to RMB 80,000 from China Everbright Bank, due on June 27, 2021 with an annual interest rate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7"/>
                <w:szCs w:val="17"/>
                <w:color w:val="auto"/>
              </w:rPr>
              <w:t>2.70%, guaranteed by the CEO.</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2,081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9"/>
              </w:rPr>
              <w:t>Line of credit up to RMB 20,000 from Bank of Communications, due on April 12, 2021 with an annual interest rate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4.65%.</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1,413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w w:val="99"/>
              </w:rPr>
              <w:t>Line of credit up to RMB 20,000 from Bank of Communications, due on May 24, 2021 with an annual interest rate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1,413</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Line of credit up to RMB 70,000 from Bank of Shanghai Pudong Branch, due on May 27, 2021 with an annual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rate of 4.68%, guaranteed by the CEO and CleanChip Technologies Limited.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2,374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w w:val="97"/>
              </w:rPr>
              <w:t>Line of credit up to RMB 70,000 from Bank of Shanghai Pudong Branch, due on June 27, 2021 with an annual interest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7"/>
                <w:szCs w:val="17"/>
                <w:color w:val="auto"/>
              </w:rPr>
              <w:t>rate of 4.68%, guaranteed by the CEO and CleanChip Technologies Limited.</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1,272</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Line of credit up to RMB 70,000 from Bank of Shanghai Pudong Branch, due on May 28, 2021 with an annual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rate of 3.48%, guaranteed by the CEO and CleanChip Technologies Limited.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2,442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w w:val="94"/>
              </w:rPr>
              <w:t>Line of credit up to RMB 70,000 from Bank of Shanghai Pudong Branch, due on June 7, 2021 with an annual interest rate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7"/>
                <w:szCs w:val="17"/>
                <w:color w:val="auto"/>
              </w:rPr>
              <w:t>of 3.50%, guaranteed by the CEO and CleanChip Technologies Limited.</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1,521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Line of credit up to RMB 70,000 from Bank of Shanghai Pudong Branch, due on June 16, 2021 with an annual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rate of 3.50%, guaranteed by the CEO and CleanChip Technologies Limited.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1,838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w w:val="94"/>
              </w:rPr>
              <w:t>Line of credit up to RMB 30,000 from Bank of China Pudong Branch, due on December 17, 2020 with annual interest rate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7"/>
                <w:szCs w:val="17"/>
                <w:color w:val="auto"/>
              </w:rPr>
              <w:t>of 4.35%, guaranteed by the CEO.</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2,402</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0D0D0D"/>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0D0D0D"/>
              </w:rPr>
              <w:t>25,772</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0D0D0D"/>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0D0D0D"/>
              </w:rPr>
              <w:t>13,753</w:t>
            </w: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Interest expense related to short-term borrowings amounted to $228 and $194 for the three months ended June 30, 2020 and 2019, respectively, and $339 and $333 for the six months ended June 30, 2020 and 2019, respectively.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NOTE 7 – OTHER PAYABLE AND ACCRUED EXPENSES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8680" w:type="dxa"/>
            <w:vAlign w:val="bottom"/>
            <w:gridSpan w:val="2"/>
          </w:tcPr>
          <w:p>
            <w:pPr>
              <w:spacing w:after="0"/>
              <w:rPr>
                <w:sz w:val="20"/>
                <w:szCs w:val="20"/>
                <w:color w:val="auto"/>
              </w:rPr>
            </w:pPr>
            <w:r>
              <w:rPr>
                <w:rFonts w:ascii="Arial" w:cs="Arial" w:eastAsia="Arial" w:hAnsi="Arial"/>
                <w:sz w:val="17"/>
                <w:szCs w:val="17"/>
                <w:color w:val="auto"/>
              </w:rPr>
              <w:t>At June 30, 2020 and December 31, 2019, other payable and accrued expenses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7"/>
                <w:szCs w:val="17"/>
                <w:b w:val="1"/>
                <w:bCs w:val="1"/>
                <w:color w:val="auto"/>
              </w:rPr>
              <w:t>June 30,</w:t>
            </w:r>
          </w:p>
        </w:tc>
        <w:tc>
          <w:tcPr>
            <w:tcW w:w="122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 31,</w:t>
            </w:r>
          </w:p>
        </w:tc>
      </w:tr>
      <w:tr>
        <w:trPr>
          <w:trHeight w:val="233"/>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Accrued commissions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4,082</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Accrued warranty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2,811</w:t>
            </w: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2,092</w:t>
            </w: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Accrued professional fees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165</w:t>
            </w: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Accrued machine testing fees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1,456</w:t>
            </w: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Others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2,268</w:t>
            </w:r>
          </w:p>
        </w:tc>
      </w:tr>
      <w:tr>
        <w:trPr>
          <w:trHeight w:val="249"/>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15,357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12,874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–LEASES</w:t>
      </w:r>
    </w:p>
    <w:p>
      <w:pPr>
        <w:spacing w:after="0" w:line="228"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3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60" w:type="dxa"/>
            <w:vAlign w:val="bottom"/>
            <w:gridSpan w:val="2"/>
          </w:tcPr>
          <w:p>
            <w:pPr>
              <w:spacing w:after="0"/>
              <w:rPr>
                <w:sz w:val="20"/>
                <w:szCs w:val="20"/>
                <w:color w:val="auto"/>
              </w:rPr>
            </w:pPr>
            <w:r>
              <w:rPr>
                <w:rFonts w:ascii="Arial" w:cs="Arial" w:eastAsia="Arial" w:hAnsi="Arial"/>
                <w:sz w:val="17"/>
                <w:szCs w:val="17"/>
                <w:color w:val="auto"/>
              </w:rPr>
              <w:t>The components of lease expense were as follows: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0"/>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760" w:type="dxa"/>
            <w:vAlign w:val="bottom"/>
            <w:gridSpan w:val="6"/>
          </w:tcPr>
          <w:p>
            <w:pPr>
              <w:ind w:left="140"/>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24"/>
                <w:szCs w:val="24"/>
                <w:color w:val="auto"/>
              </w:rPr>
            </w:pPr>
          </w:p>
        </w:tc>
        <w:tc>
          <w:tcPr>
            <w:tcW w:w="2420" w:type="dxa"/>
            <w:vAlign w:val="bottom"/>
            <w:gridSpan w:val="5"/>
          </w:tcPr>
          <w:p>
            <w:pPr>
              <w:ind w:left="20"/>
              <w:spacing w:after="0"/>
              <w:rPr>
                <w:sz w:val="20"/>
                <w:szCs w:val="20"/>
                <w:color w:val="auto"/>
              </w:rPr>
            </w:pPr>
            <w:r>
              <w:rPr>
                <w:rFonts w:ascii="Arial" w:cs="Arial" w:eastAsia="Arial" w:hAnsi="Arial"/>
                <w:sz w:val="17"/>
                <w:szCs w:val="17"/>
                <w:b w:val="1"/>
                <w:bCs w:val="1"/>
                <w:color w:val="auto"/>
              </w:rPr>
              <w:t>Six Months Ended June 30,</w:t>
            </w: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Short-term lease cost</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97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 cost</w:t>
            </w: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Supplemental cash flow information related to operating leases was as follows for the three and six-month periods ended June 30, 2020 and 2019,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760" w:type="dxa"/>
            <w:vAlign w:val="bottom"/>
            <w:gridSpan w:val="6"/>
          </w:tcPr>
          <w:p>
            <w:pPr>
              <w:ind w:left="140"/>
              <w:spacing w:after="0"/>
              <w:rPr>
                <w:sz w:val="20"/>
                <w:szCs w:val="20"/>
                <w:color w:val="auto"/>
              </w:rPr>
            </w:pPr>
            <w:r>
              <w:rPr>
                <w:rFonts w:ascii="Arial" w:cs="Arial" w:eastAsia="Arial" w:hAnsi="Arial"/>
                <w:sz w:val="17"/>
                <w:szCs w:val="17"/>
                <w:b w:val="1"/>
                <w:bCs w:val="1"/>
                <w:color w:val="auto"/>
              </w:rPr>
              <w:t>Three Months Ended June 30,</w:t>
            </w:r>
          </w:p>
        </w:tc>
        <w:tc>
          <w:tcPr>
            <w:tcW w:w="2520" w:type="dxa"/>
            <w:vAlign w:val="bottom"/>
            <w:gridSpan w:val="7"/>
          </w:tcPr>
          <w:p>
            <w:pPr>
              <w:ind w:left="120"/>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gridSpan w:val="2"/>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cash outflow from operating leases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271</w:t>
            </w: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444"/>
        </w:trPr>
        <w:tc>
          <w:tcPr>
            <w:tcW w:w="6280" w:type="dxa"/>
            <w:vAlign w:val="bottom"/>
            <w:gridSpan w:val="3"/>
          </w:tcPr>
          <w:p>
            <w:pPr>
              <w:spacing w:after="0"/>
              <w:rPr>
                <w:sz w:val="20"/>
                <w:szCs w:val="20"/>
                <w:color w:val="auto"/>
              </w:rPr>
            </w:pPr>
            <w:r>
              <w:rPr>
                <w:rFonts w:ascii="Arial" w:cs="Arial" w:eastAsia="Arial" w:hAnsi="Arial"/>
                <w:sz w:val="17"/>
                <w:szCs w:val="17"/>
                <w:color w:val="auto"/>
                <w:w w:val="94"/>
              </w:rPr>
              <w:t>Maturities of lease liabilities for all operating leases were as follows as of June 30, 2020:</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4"/>
          </w:tcPr>
          <w:p>
            <w:pPr>
              <w:jc w:val="right"/>
              <w:ind w:right="4"/>
              <w:spacing w:after="0"/>
              <w:rPr>
                <w:sz w:val="20"/>
                <w:szCs w:val="20"/>
                <w:color w:val="auto"/>
              </w:rPr>
            </w:pPr>
            <w:r>
              <w:rPr>
                <w:rFonts w:ascii="Arial" w:cs="Arial" w:eastAsia="Arial" w:hAnsi="Arial"/>
                <w:sz w:val="17"/>
                <w:szCs w:val="17"/>
                <w:b w:val="1"/>
                <w:bCs w:val="1"/>
                <w:color w:val="auto"/>
                <w:w w:val="88"/>
              </w:rPr>
              <w:t>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2021</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1,496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2023</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874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2024</w:t>
            </w: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Total lease payments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5,455</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Less: Interest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Present value of lease liabilities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58"/>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4,648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1">
            <w:col w:w="11240"/>
          </w:cols>
          <w:pgMar w:left="320" w:top="122"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terms and discount rates for all operating leases were as follows as of June 30, 2020 and December 31,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June 30,</w:t>
            </w:r>
          </w:p>
        </w:tc>
        <w:tc>
          <w:tcPr>
            <w:tcW w:w="12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33"/>
        </w:trPr>
        <w:tc>
          <w:tcPr>
            <w:tcW w:w="8600" w:type="dxa"/>
            <w:vAlign w:val="bottom"/>
          </w:tcPr>
          <w:p>
            <w:pPr>
              <w:spacing w:after="0"/>
              <w:rPr>
                <w:sz w:val="20"/>
                <w:szCs w:val="20"/>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20"/>
                <w:szCs w:val="20"/>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7"/>
                <w:szCs w:val="17"/>
                <w:color w:val="auto"/>
              </w:rPr>
              <w:t>Remaining lease term and discount rate: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(years)</w:t>
            </w: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2.37</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3.02</w:t>
            </w:r>
          </w:p>
        </w:tc>
      </w:tr>
      <w:tr>
        <w:trPr>
          <w:trHeight w:val="221"/>
        </w:trPr>
        <w:tc>
          <w:tcPr>
            <w:tcW w:w="8600" w:type="dxa"/>
            <w:vAlign w:val="bottom"/>
          </w:tcPr>
          <w:p>
            <w:pPr>
              <w:spacing w:after="0"/>
              <w:rPr>
                <w:sz w:val="20"/>
                <w:szCs w:val="20"/>
                <w:color w:val="auto"/>
              </w:rPr>
            </w:pPr>
            <w:r>
              <w:rPr>
                <w:rFonts w:ascii="Arial" w:cs="Arial" w:eastAsia="Arial" w:hAnsi="Arial"/>
                <w:sz w:val="17"/>
                <w:szCs w:val="17"/>
                <w:color w:val="auto"/>
              </w:rPr>
              <w:t>Weighted average discount rate</w:t>
            </w:r>
          </w:p>
        </w:tc>
        <w:tc>
          <w:tcPr>
            <w:tcW w:w="1380" w:type="dxa"/>
            <w:vAlign w:val="bottom"/>
            <w:gridSpan w:val="2"/>
          </w:tcPr>
          <w:p>
            <w:pPr>
              <w:ind w:left="820"/>
              <w:spacing w:after="0"/>
              <w:rPr>
                <w:sz w:val="20"/>
                <w:szCs w:val="20"/>
                <w:color w:val="auto"/>
              </w:rPr>
            </w:pPr>
            <w:r>
              <w:rPr>
                <w:rFonts w:ascii="Arial" w:cs="Arial" w:eastAsia="Arial" w:hAnsi="Arial"/>
                <w:sz w:val="17"/>
                <w:szCs w:val="17"/>
                <w:color w:val="auto"/>
              </w:rPr>
              <w:t>5.29%</w:t>
            </w:r>
          </w:p>
        </w:tc>
        <w:tc>
          <w:tcPr>
            <w:tcW w:w="1260" w:type="dxa"/>
            <w:vAlign w:val="bottom"/>
            <w:gridSpan w:val="2"/>
          </w:tcPr>
          <w:p>
            <w:pPr>
              <w:ind w:left="800"/>
              <w:spacing w:after="0"/>
              <w:rPr>
                <w:sz w:val="20"/>
                <w:szCs w:val="20"/>
                <w:color w:val="auto"/>
              </w:rPr>
            </w:pPr>
            <w:r>
              <w:rPr>
                <w:rFonts w:ascii="Arial" w:cs="Arial" w:eastAsia="Arial" w:hAnsi="Arial"/>
                <w:sz w:val="17"/>
                <w:szCs w:val="17"/>
                <w:color w:val="auto"/>
                <w:w w:val="91"/>
              </w:rPr>
              <w:t>5.43%</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OTHER LONG-TERM LIABILITIES</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long-term liabilities represent subsidies that we have received from governmental authorities, including China’s Ministry of Science and Technology, the Shanghai Municipal Commission of Economy and Information, and the Shanghai Science and Technology Committee, for development and commercialization of certain technology but have not yet earned and recognized. As of June 30, 2020 and December 31, 2019, other long-term liabilities consisted of the following unearned government subsidies: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7"/>
                <w:szCs w:val="17"/>
                <w:b w:val="1"/>
                <w:bCs w:val="1"/>
                <w:color w:val="auto"/>
                <w:w w:val="95"/>
              </w:rPr>
              <w:t>June 30, 2020  December 31, 2019</w:t>
            </w: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 and 2017</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w:t>
            </w: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0D0D0D"/>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0D0D0D"/>
              </w:rPr>
              <w:t>1,251</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2,339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D0D0D"/>
              </w:rPr>
              <w:t>2,666</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Subsidies to Polytetrafluoroethylene, commenced in 2018</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135</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Subsidies to Tahoe-Single Bench Clean, commenced in 2020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1,913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D0D0D"/>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Subsidies to Backside Clean-YMTC National Project, commenced in 2020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D0D0D"/>
              </w:rPr>
              <w:t>134</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6,584</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0D0D0D"/>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0D0D0D"/>
              </w:rPr>
              <w:t>4,186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LONG-TERM INVESTMENT</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September 2017, ACM and Ninebell Co., Ltd. (“Ninebell”), a Korean company that is one of the Company’s principal materials suppliers, entered into an ordinary share purchase agreement, pursuant to which Ninebell issued to ACM ordinary shares representing 20% of Ninebell’s post-closing equity for a purchase price of $1,200, and a common stock purchase agreement, pursuant to which ACM issued 133,334 shares of Class A common stock to Ninebell for a purchase price of $1,000 at $7.50 per share. The investment in Ninebell is accounted for under the equity method.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27, 2019, ACM Shanghai and Shengyi Semiconductor Technology Co., Ltd. (“Shengyi”), a company based in Wuxi, China that is one of the Company’s components suppliers, entered into an agreement pursuant to which Shengyi issued to ACM Shanghai shares representing 15% of Shengyi’s post-closing equity for a purchase price of $109. The investment in Shengyi is accounted for under the equity method.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(“Hefei Shixi”), a Chinese limited partnership based in Hefei, China. Pursuant to such Partnership Agreement, on September 30, 2019, ACM Shanghai invested $4,200, which represented 10% of the Partnership’s total subscribed capital. The investment in Hefei Shixi Chanheng Integrated Circuit Industry Venture Capital Fund Partnership (LP) is accounted for under the equity method.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China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(“SMIC”) to be listed on the STAR Market. SMIC is a Shanghai-based foundry that has been a customer of the Company’s single-wafer wet-cleaning tools. The limited partners of the Partnership contributed to the fund a total of RMB 2.224 billion ($315,000), of which ACM Shanghai contributed RMB 100 million ($14.2 million), or 4.3% of the total contribution, on June 18, 2020. As of June 30, 2020, the share offering of SMIC had not been closed, and the Company elected to use the measurement alternative to measure this investment at cost, less any impairment, plus or minus changes resulting from observable price changes in orderly transactions for identical or similar investments of the same issuer, if any. The investment will be accounted as trading securities and stated at fair market value upon the closing of SMIC’s public offering.</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Upon the closing of the SMIC offering, the initial number of SMIC shares owned by the Partnership will be apportioned to all of the limited partners in proportion to their respective capital contributions (4.3% in the case of ACM Shanghai). All of the SMIC shares acquired by the Partnership will be subject, under applicable Chinese laws, to lock-up restrictions that prevent sales of the shares for one year after the shares were acquired. Thereafter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 ACM Shanghai’s investment will be accounted as trading securities and stated at fair market value upon the closing of SMIC’s public offering.</w:t>
      </w:r>
    </w:p>
    <w:p>
      <w:pPr>
        <w:sectPr>
          <w:pgSz w:w="11900" w:h="16838" w:orient="portrait"/>
          <w:cols w:equalWidth="0" w:num="1">
            <w:col w:w="11240"/>
          </w:cols>
          <w:pgMar w:left="320" w:top="122" w:right="339" w:bottom="1133"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133"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80" w:type="dxa"/>
            <w:vAlign w:val="bottom"/>
            <w:gridSpan w:val="2"/>
          </w:tcPr>
          <w:p>
            <w:pPr>
              <w:spacing w:after="0"/>
              <w:rPr>
                <w:sz w:val="20"/>
                <w:szCs w:val="20"/>
                <w:color w:val="auto"/>
              </w:rPr>
            </w:pPr>
            <w:r>
              <w:rPr>
                <w:rFonts w:ascii="Arial" w:cs="Arial" w:eastAsia="Arial" w:hAnsi="Arial"/>
                <w:sz w:val="17"/>
                <w:szCs w:val="17"/>
                <w:color w:val="auto"/>
              </w:rPr>
              <w:t>The components of long-term investments were as follows: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5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Arial" w:cs="Arial" w:eastAsia="Arial" w:hAnsi="Arial"/>
                <w:sz w:val="17"/>
                <w:szCs w:val="17"/>
                <w:b w:val="1"/>
                <w:bCs w:val="1"/>
                <w:color w:val="auto"/>
                <w:w w:val="96"/>
              </w:rPr>
              <w:t>June 30,</w:t>
            </w:r>
          </w:p>
        </w:tc>
        <w:tc>
          <w:tcPr>
            <w:tcW w:w="1300" w:type="dxa"/>
            <w:vAlign w:val="bottom"/>
            <w:gridSpan w:val="4"/>
          </w:tcPr>
          <w:p>
            <w:pPr>
              <w:ind w:left="200"/>
              <w:spacing w:after="0"/>
              <w:rPr>
                <w:sz w:val="20"/>
                <w:szCs w:val="20"/>
                <w:color w:val="auto"/>
              </w:rPr>
            </w:pPr>
            <w:r>
              <w:rPr>
                <w:rFonts w:ascii="Arial" w:cs="Arial" w:eastAsia="Arial" w:hAnsi="Arial"/>
                <w:sz w:val="17"/>
                <w:szCs w:val="17"/>
                <w:b w:val="1"/>
                <w:bCs w:val="1"/>
                <w:color w:val="auto"/>
                <w:w w:val="97"/>
              </w:rPr>
              <w:t>December 31,</w:t>
            </w:r>
          </w:p>
        </w:tc>
      </w:tr>
      <w:tr>
        <w:trPr>
          <w:trHeight w:val="233"/>
        </w:trPr>
        <w:tc>
          <w:tcPr>
            <w:tcW w:w="5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w:t>
            </w:r>
          </w:p>
        </w:tc>
        <w:tc>
          <w:tcPr>
            <w:tcW w:w="80" w:type="dxa"/>
            <w:vAlign w:val="bottom"/>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Shengyi</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Hefei Shixi</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4,289</w:t>
            </w:r>
          </w:p>
        </w:tc>
        <w:tc>
          <w:tcPr>
            <w:tcW w:w="80" w:type="dxa"/>
            <w:vAlign w:val="bottom"/>
            <w:shd w:val="clear" w:color="auto" w:fill="CCEEFF"/>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Qingdao LP</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14,130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20,360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FINANCIAL LIABILITY CARRIED AT FAIR VALUE</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2016 Shengxin (Shanghai) Management Consulting Limited Partnership (“SMC”) paid 20,123,500 RMB ($2,981 as of the date of funding) (the “SMC Investment”) to ACM Shanghai for investment pursuant to terms to be subsequently negotiated. SMC is a PRC limited partnership partially owned by employees of ACM Shanghai.</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March 2017 (a) ACM issued to SMC a warrant (the “Warrant”) exercisable to purchase 397,502 shares of Class A common stock at a price of $7.50 per share, for a total exercise price of $2,981, and (b) ACM Shanghai agreed to repay the SMC Investment within 60 days after the exercise of the Warrant. In March 2018 SMC exercised the Warrant in full, as a result of which (1) ACM issued 397,502 shares of Class A common stock to SMC, (2) SMC borrowed the funds to pay the Warrant exercise price pursuant to a senior secured promissory note (the “SMC Note”) in the principal amount of $2,981 issued to ACM Shanghai, which in turn issued to ACM a promissory note (the “Intercompany Note”) in the principal amount of $2,981 in payment of the Warrant exercise price. Each of the SMC Note and the Intercompany Note bears interest at a rate of 3.01% per annum and matures on August 17, 2023. The SMC Note was secured by a pledge of the shares issued upon exercise of the Warrant.</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connection with its follow-on public offering of Class A common stock in August 2019, ACM agreed to purchase a total of 154,821 of the Warrant shares from SMC at a per share price of $13.195, of which (a) $1,161 was applied to reduce SMC’s obligations to ACM Shanghai under the SMC Note, and which ACM then withheld for its own account and applied to reduce ACM Shanghai’s obligations to ACM under the Intercompany Note, and (b) the remaining $882 was paid to SMC. In a separate transaction, ACM Shanghai repaid $1,161 of the SMC Investment in cash, which reduced the amount of the SMC Investment due to SMC to $1,820.</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SMC Note and SMC Investment are offsetting items in the Company’s consolidated balance sheet in accordance with Accounting Standards Codification 210-20-45-1 up to April 30, 2020.</w:t>
      </w:r>
    </w:p>
    <w:p>
      <w:pPr>
        <w:spacing w:after="0" w:line="18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preparation for the STAR IPO, ACM Shanghai was required to terminate its financial relationship with SMC. In order to facilitate such termination, on April 30, 2020, ACM entered into two agreements relating to outstanding obligations among ACM Research, ACM Shanghai and SMC. Pursuant to such agreements:</w:t>
      </w:r>
    </w:p>
    <w:p>
      <w:pPr>
        <w:jc w:val="both"/>
        <w:ind w:firstLine="4"/>
        <w:spacing w:after="0" w:line="259"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ACM Shanghai assigned to ACM its rights under the SMC Note, including the right to receive payment of the $1,820 payable thereunder; (ii) ACM cancelled the outstanding $1,820 obligation of ACM Shanghai under the Intercompany Note; (iii) SMC surrendered its remaining 242,681 Warrant shares to ACM Research; and (iv) in exchange for such 242,681 Warrant shares, ACM agreed to deliver to SMC certain consideration (“SMC Consideration”) agreed upon by ACM Research and SMC, subject to obtaining certain PRC regulatory approvals. Under the agreements, if the required approvals were not obtained by December 31, 2023, ACM would cancel the SMC Note as consideration for the 242,681 Warrant shares. In a separate transaction in April 2020, ACM Shanghai repaid the remaining $1,820 of the SMC Investment in cash.</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SMC Consideration is accounted for as a financial liability, and the Company applies fair value option to measure the SMC Consideration in accordance with Accounting Standards Codification 825-15-4a. On April 30, the SMC Consideration was $9,716. The financial liability was remeasured to fair value of $15,147 as of June 30, 2020 and the Company recognized change in fair value of financial liability of $5,431 for the three and six months ended June 30, 2020, which was charged to the consolidated statement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SMC Note amounted to $1,820 and was included in the other receivables in the Company’s consolidated balance sheet as of June 30, 2020.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80" w:type="dxa"/>
            <w:vAlign w:val="bottom"/>
            <w:gridSpan w:val="2"/>
          </w:tcPr>
          <w:p>
            <w:pPr>
              <w:spacing w:after="0"/>
              <w:rPr>
                <w:sz w:val="20"/>
                <w:szCs w:val="20"/>
                <w:color w:val="auto"/>
              </w:rPr>
            </w:pPr>
            <w:r>
              <w:rPr>
                <w:rFonts w:ascii="Arial" w:cs="Arial" w:eastAsia="Arial" w:hAnsi="Arial"/>
                <w:sz w:val="17"/>
                <w:szCs w:val="17"/>
                <w:b w:val="1"/>
                <w:bCs w:val="1"/>
                <w:color w:val="auto"/>
              </w:rPr>
              <w:t>NOTE 12– RELATED PARTY BALANCES AND TRANSACTIONS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480" w:type="dxa"/>
            <w:vAlign w:val="bottom"/>
            <w:gridSpan w:val="2"/>
            <w:vMerge w:val="restart"/>
          </w:tcPr>
          <w:p>
            <w:pPr>
              <w:ind w:left="1140"/>
              <w:spacing w:after="0"/>
              <w:rPr>
                <w:sz w:val="20"/>
                <w:szCs w:val="20"/>
                <w:color w:val="auto"/>
              </w:rPr>
            </w:pPr>
            <w:r>
              <w:rPr>
                <w:rFonts w:ascii="Arial" w:cs="Arial" w:eastAsia="Arial" w:hAnsi="Arial"/>
                <w:sz w:val="17"/>
                <w:szCs w:val="17"/>
                <w:b w:val="1"/>
                <w:bCs w:val="1"/>
                <w:color w:val="auto"/>
              </w:rPr>
              <w:t>Prepaid expenses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7"/>
                <w:szCs w:val="17"/>
                <w:b w:val="1"/>
                <w:bCs w:val="1"/>
                <w:color w:val="auto"/>
              </w:rPr>
              <w:t>June 30,</w:t>
            </w:r>
          </w:p>
        </w:tc>
        <w:tc>
          <w:tcPr>
            <w:tcW w:w="1120" w:type="dxa"/>
            <w:vAlign w:val="bottom"/>
            <w:gridSpan w:val="5"/>
          </w:tcPr>
          <w:p>
            <w:pPr>
              <w:ind w:left="40"/>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123"/>
        </w:trPr>
        <w:tc>
          <w:tcPr>
            <w:tcW w:w="54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w w:val="95"/>
              </w:rPr>
              <w:t>2020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1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Ninebell</w:t>
            </w: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5480" w:type="dxa"/>
            <w:vAlign w:val="bottom"/>
            <w:gridSpan w:val="2"/>
            <w:vMerge w:val="restart"/>
          </w:tcPr>
          <w:p>
            <w:pPr>
              <w:ind w:left="1140"/>
              <w:spacing w:after="0"/>
              <w:rPr>
                <w:sz w:val="20"/>
                <w:szCs w:val="20"/>
                <w:color w:val="auto"/>
              </w:rPr>
            </w:pPr>
            <w:r>
              <w:rPr>
                <w:rFonts w:ascii="Arial" w:cs="Arial" w:eastAsia="Arial" w:hAnsi="Arial"/>
                <w:sz w:val="17"/>
                <w:szCs w:val="17"/>
                <w:b w:val="1"/>
                <w:bCs w:val="1"/>
                <w:color w:val="auto"/>
              </w:rPr>
              <w:t>Accounts payable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7"/>
                <w:szCs w:val="17"/>
                <w:b w:val="1"/>
                <w:bCs w:val="1"/>
                <w:color w:val="auto"/>
              </w:rPr>
              <w:t>June 30,</w:t>
            </w:r>
          </w:p>
        </w:tc>
        <w:tc>
          <w:tcPr>
            <w:tcW w:w="1120" w:type="dxa"/>
            <w:vAlign w:val="bottom"/>
            <w:gridSpan w:val="5"/>
          </w:tcPr>
          <w:p>
            <w:pPr>
              <w:ind w:left="40"/>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123"/>
        </w:trPr>
        <w:tc>
          <w:tcPr>
            <w:tcW w:w="54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w w:val="95"/>
              </w:rPr>
              <w:t>2020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1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Ninebell</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7"/>
                <w:szCs w:val="17"/>
                <w:color w:val="auto"/>
              </w:rPr>
              <w:t>Shengyi</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0" w:type="dxa"/>
            <w:vAlign w:val="bottom"/>
            <w:gridSpan w:val="11"/>
          </w:tcPr>
          <w:p>
            <w:pPr>
              <w:jc w:val="right"/>
              <w:ind w:right="24"/>
              <w:spacing w:after="0"/>
              <w:rPr>
                <w:sz w:val="20"/>
                <w:szCs w:val="20"/>
                <w:color w:val="auto"/>
              </w:rPr>
            </w:pPr>
            <w:r>
              <w:rPr>
                <w:rFonts w:ascii="Arial" w:cs="Arial" w:eastAsia="Arial" w:hAnsi="Arial"/>
                <w:sz w:val="17"/>
                <w:szCs w:val="17"/>
                <w:b w:val="1"/>
                <w:bCs w:val="1"/>
                <w:color w:val="auto"/>
              </w:rPr>
              <w:t>Three months ended June 30</w:t>
            </w:r>
          </w:p>
        </w:tc>
        <w:tc>
          <w:tcPr>
            <w:tcW w:w="2040" w:type="dxa"/>
            <w:vAlign w:val="bottom"/>
            <w:gridSpan w:val="9"/>
          </w:tcPr>
          <w:p>
            <w:pPr>
              <w:ind w:left="20"/>
              <w:spacing w:after="0"/>
              <w:rPr>
                <w:sz w:val="20"/>
                <w:szCs w:val="20"/>
                <w:color w:val="auto"/>
              </w:rPr>
            </w:pPr>
            <w:r>
              <w:rPr>
                <w:rFonts w:ascii="Arial" w:cs="Arial" w:eastAsia="Arial" w:hAnsi="Arial"/>
                <w:sz w:val="17"/>
                <w:szCs w:val="17"/>
                <w:b w:val="1"/>
                <w:bCs w:val="1"/>
                <w:color w:val="auto"/>
                <w:w w:val="93"/>
              </w:rPr>
              <w:t>Six months ended June 30</w:t>
            </w:r>
          </w:p>
        </w:tc>
        <w:tc>
          <w:tcPr>
            <w:tcW w:w="0" w:type="dxa"/>
            <w:vAlign w:val="bottom"/>
          </w:tcPr>
          <w:p>
            <w:pPr>
              <w:spacing w:after="0"/>
              <w:rPr>
                <w:sz w:val="1"/>
                <w:szCs w:val="1"/>
                <w:color w:val="auto"/>
              </w:rPr>
            </w:pPr>
          </w:p>
        </w:tc>
      </w:tr>
      <w:tr>
        <w:trPr>
          <w:trHeight w:val="209"/>
        </w:trPr>
        <w:tc>
          <w:tcPr>
            <w:tcW w:w="5480" w:type="dxa"/>
            <w:vAlign w:val="bottom"/>
            <w:gridSpan w:val="2"/>
          </w:tcPr>
          <w:p>
            <w:pPr>
              <w:ind w:left="1140"/>
              <w:spacing w:after="0"/>
              <w:rPr>
                <w:sz w:val="20"/>
                <w:szCs w:val="20"/>
                <w:color w:val="auto"/>
              </w:rPr>
            </w:pPr>
            <w:r>
              <w:rPr>
                <w:rFonts w:ascii="Arial" w:cs="Arial" w:eastAsia="Arial" w:hAnsi="Arial"/>
                <w:sz w:val="17"/>
                <w:szCs w:val="17"/>
                <w:b w:val="1"/>
                <w:bCs w:val="1"/>
                <w:color w:val="auto"/>
              </w:rPr>
              <w:t>Purchase of materials</w:t>
            </w:r>
          </w:p>
        </w:tc>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Ninebell</w:t>
            </w:r>
          </w:p>
        </w:tc>
        <w:tc>
          <w:tcPr>
            <w:tcW w:w="560" w:type="dxa"/>
            <w:vAlign w:val="bottom"/>
            <w:gridSpan w:val="3"/>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3,370</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5,523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7"/>
                <w:szCs w:val="17"/>
                <w:color w:val="auto"/>
              </w:rPr>
              <w:t>Shengyi</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3,826</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6,037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10"/>
          </w:tcPr>
          <w:p>
            <w:pPr>
              <w:jc w:val="right"/>
              <w:ind w:right="24"/>
              <w:spacing w:after="0"/>
              <w:rPr>
                <w:sz w:val="20"/>
                <w:szCs w:val="20"/>
                <w:color w:val="auto"/>
              </w:rPr>
            </w:pPr>
            <w:r>
              <w:rPr>
                <w:rFonts w:ascii="Arial" w:cs="Arial" w:eastAsia="Arial" w:hAnsi="Arial"/>
                <w:sz w:val="17"/>
                <w:szCs w:val="17"/>
                <w:b w:val="1"/>
                <w:bCs w:val="1"/>
                <w:color w:val="auto"/>
                <w:w w:val="90"/>
              </w:rPr>
              <w:t>Three months ended June 30</w:t>
            </w:r>
          </w:p>
        </w:tc>
        <w:tc>
          <w:tcPr>
            <w:tcW w:w="40" w:type="dxa"/>
            <w:vAlign w:val="bottom"/>
          </w:tcPr>
          <w:p>
            <w:pPr>
              <w:spacing w:after="0"/>
              <w:rPr>
                <w:sz w:val="24"/>
                <w:szCs w:val="24"/>
                <w:color w:val="auto"/>
              </w:rPr>
            </w:pPr>
          </w:p>
        </w:tc>
        <w:tc>
          <w:tcPr>
            <w:tcW w:w="2000" w:type="dxa"/>
            <w:vAlign w:val="bottom"/>
            <w:gridSpan w:val="8"/>
          </w:tcPr>
          <w:p>
            <w:pPr>
              <w:spacing w:after="0"/>
              <w:rPr>
                <w:sz w:val="20"/>
                <w:szCs w:val="20"/>
                <w:color w:val="auto"/>
              </w:rPr>
            </w:pPr>
            <w:r>
              <w:rPr>
                <w:rFonts w:ascii="Arial" w:cs="Arial" w:eastAsia="Arial" w:hAnsi="Arial"/>
                <w:sz w:val="17"/>
                <w:szCs w:val="17"/>
                <w:b w:val="1"/>
                <w:bCs w:val="1"/>
                <w:color w:val="auto"/>
                <w:w w:val="92"/>
              </w:rPr>
              <w:t>Six Months ended June 30</w:t>
            </w:r>
          </w:p>
        </w:tc>
        <w:tc>
          <w:tcPr>
            <w:tcW w:w="0" w:type="dxa"/>
            <w:vAlign w:val="bottom"/>
          </w:tcPr>
          <w:p>
            <w:pPr>
              <w:spacing w:after="0"/>
              <w:rPr>
                <w:sz w:val="1"/>
                <w:szCs w:val="1"/>
                <w:color w:val="auto"/>
              </w:rPr>
            </w:pPr>
          </w:p>
        </w:tc>
      </w:tr>
      <w:tr>
        <w:trPr>
          <w:trHeight w:val="215"/>
        </w:trPr>
        <w:tc>
          <w:tcPr>
            <w:tcW w:w="5480" w:type="dxa"/>
            <w:vAlign w:val="bottom"/>
            <w:gridSpan w:val="2"/>
          </w:tcPr>
          <w:p>
            <w:pPr>
              <w:ind w:left="1140"/>
              <w:spacing w:after="0"/>
              <w:rPr>
                <w:sz w:val="20"/>
                <w:szCs w:val="20"/>
                <w:color w:val="auto"/>
              </w:rPr>
            </w:pPr>
            <w:r>
              <w:rPr>
                <w:rFonts w:ascii="Arial" w:cs="Arial" w:eastAsia="Arial" w:hAnsi="Arial"/>
                <w:sz w:val="17"/>
                <w:szCs w:val="17"/>
                <w:b w:val="1"/>
                <w:bCs w:val="1"/>
                <w:color w:val="auto"/>
              </w:rPr>
              <w:t>Service fee charged by</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Shengyi</w:t>
            </w:r>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COMMON STOCK</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six months ended June 30, 2020 and 2019, ACM issued 185,903 and 104,627 shares of Class A common stock upon option exercises by employees and non-employees, respectively. During the six months ended June 30, 2020, ACM issued 64,717 shares of Class A common stock upon a cashless warrant exercise by a non-employee.</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During the three months ended June 30, 2020 and 2019, ACM issued 115,425 and 38,252 shares, respectively, of Class A common stock upon option exercises by employees and non-employees.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During the three and six months ended June 30, 2020, SMC transferred its ownership of 242,681 shares of Class A common stock to ACM in exchange for the SMC Consideration. The 242,681 shares were cancelled during the three and six months ended June 30, 2020. (Note 11)</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There were issued and outstanding 16,250,092 shares of Class A common stock and 1,802,606 shares of Class B common stock at June 30, 2020 and 16,182,151 shares of Class A common stock and 1,862,608 shares of Class B common stock at December 31, 2019.</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REDEEMABLE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redeemable non-controlling interests for the six months ended June 30, 2020 are presented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2019</w:t>
            </w:r>
          </w:p>
        </w:tc>
        <w:tc>
          <w:tcPr>
            <w:tcW w:w="1460" w:type="dxa"/>
            <w:vAlign w:val="bottom"/>
            <w:gridSpan w:val="2"/>
            <w:shd w:val="clear" w:color="auto" w:fill="CCEEFF"/>
          </w:tcPr>
          <w:p>
            <w:pPr>
              <w:jc w:val="right"/>
              <w:ind w:right="124"/>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60,162</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Arial" w:cs="Arial" w:eastAsia="Arial" w:hAnsi="Arial"/>
                <w:sz w:val="17"/>
                <w:szCs w:val="17"/>
                <w:color w:val="auto"/>
              </w:rPr>
              <w:t>Net income attributable to redeemable non-controlling interests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643</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Effect of foreign currency translation gain attributable to redeemable non-controlling interests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(847)</w:t>
            </w:r>
          </w:p>
        </w:tc>
      </w:tr>
      <w:tr>
        <w:trPr>
          <w:trHeight w:val="215"/>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Arial" w:cs="Arial" w:eastAsia="Arial" w:hAnsi="Arial"/>
                <w:sz w:val="17"/>
                <w:szCs w:val="17"/>
                <w:color w:val="auto"/>
              </w:rPr>
              <w:t>Reclassification of redeemable non-controlling interest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(59,958)</w:t>
            </w:r>
          </w:p>
        </w:tc>
      </w:tr>
      <w:tr>
        <w:trPr>
          <w:trHeight w:val="249"/>
        </w:trPr>
        <w:tc>
          <w:tcPr>
            <w:tcW w:w="2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June 30, 2020</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Upon the submission of application documents by ACM Shanghai for the STAR Listing and the STAR IPO to the Shanghai Stock Exchange during the second quarter of 2020, the redemption feature of the private placement funding (note 1) terminated and the aggregate proceeds of the funding therefore were reclassified from redeemable non-controlling interests to non-controlling interests. Further, upon the termination of such redemption feature, the Company released the aggregate proceeds of the private placement funding from reserved cash, which the Company previously had voluntarily imposed in light of a potential redemption.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STOCK-BASED COMPENSATION</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are not currently publicly traded, the expected volatility is estimated with reference to the average historical volatility of a group of publicly traded companies that are believed to have similar characteristics to ACM Shanghai.</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ACM’s stock-based compensation consists of employee and non-employee awards issued under the 1998 Stock Option Plan and the 2016 Omnibus Incentive Plan and as standalone options. ACM granted stock options to employees under the 2016 Omnibus Incentive Plan during the six months ended June 30, 2019. The vesting condition may consist of service period determined by the Board of Directors for s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stock-based compensation expense included in the consolidated statements of operations: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3680" w:type="dxa"/>
            <w:vAlign w:val="bottom"/>
          </w:tcPr>
          <w:p>
            <w:pPr>
              <w:spacing w:after="0"/>
              <w:rPr>
                <w:sz w:val="20"/>
                <w:szCs w:val="20"/>
                <w:color w:val="auto"/>
              </w:rPr>
            </w:pPr>
          </w:p>
        </w:tc>
        <w:tc>
          <w:tcPr>
            <w:tcW w:w="5220" w:type="dxa"/>
            <w:vAlign w:val="bottom"/>
            <w:gridSpan w:val="12"/>
          </w:tcPr>
          <w:p>
            <w:pPr>
              <w:ind w:left="940"/>
              <w:spacing w:after="0"/>
              <w:rPr>
                <w:sz w:val="20"/>
                <w:szCs w:val="20"/>
                <w:color w:val="auto"/>
              </w:rPr>
            </w:pPr>
            <w:r>
              <w:rPr>
                <w:rFonts w:ascii="Arial" w:cs="Arial" w:eastAsia="Arial" w:hAnsi="Arial"/>
                <w:sz w:val="17"/>
                <w:szCs w:val="17"/>
                <w:b w:val="1"/>
                <w:bCs w:val="1"/>
                <w:color w:val="auto"/>
                <w:w w:val="92"/>
              </w:rPr>
              <w:t>Three Months Ended June 30,Six Months Ended June 30,</w:t>
            </w:r>
          </w:p>
        </w:tc>
        <w:tc>
          <w:tcPr>
            <w:tcW w:w="80" w:type="dxa"/>
            <w:vAlign w:val="bottom"/>
          </w:tcPr>
          <w:p>
            <w:pPr>
              <w:spacing w:after="0"/>
              <w:rPr>
                <w:sz w:val="20"/>
                <w:szCs w:val="20"/>
                <w:color w:val="auto"/>
              </w:rPr>
            </w:pPr>
          </w:p>
        </w:tc>
      </w:tr>
      <w:tr>
        <w:trPr>
          <w:trHeight w:val="215"/>
        </w:trPr>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2019</w:t>
            </w: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7"/>
                <w:szCs w:val="17"/>
                <w:b w:val="1"/>
                <w:bCs w:val="1"/>
                <w:color w:val="auto"/>
              </w:rPr>
              <w:t>Stock-Based Compensation Expense:</w:t>
            </w:r>
          </w:p>
        </w:tc>
        <w:tc>
          <w:tcPr>
            <w:tcW w:w="9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64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900" w:type="dxa"/>
            <w:vAlign w:val="bottom"/>
            <w:gridSpan w:val="2"/>
            <w:shd w:val="clear" w:color="auto" w:fill="CCEEFF"/>
          </w:tcPr>
          <w:p>
            <w:pPr>
              <w:jc w:val="right"/>
              <w:ind w:right="56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8"/>
                <w:szCs w:val="18"/>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7"/>
                <w:szCs w:val="17"/>
                <w:color w:val="auto"/>
              </w:rPr>
              <w:t>Sales and marketing expense</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164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8"/>
                <w:szCs w:val="18"/>
                <w:color w:val="auto"/>
              </w:rPr>
            </w:pPr>
          </w:p>
        </w:tc>
      </w:tr>
      <w:tr>
        <w:trPr>
          <w:trHeight w:val="209"/>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8"/>
                <w:szCs w:val="18"/>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9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460</w:t>
            </w: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449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w:t>
            </w:r>
          </w:p>
        </w:tc>
        <w:tc>
          <w:tcPr>
            <w:tcW w:w="80" w:type="dxa"/>
            <w:vAlign w:val="bottom"/>
          </w:tcPr>
          <w:p>
            <w:pPr>
              <w:spacing w:after="0"/>
              <w:rPr>
                <w:sz w:val="18"/>
                <w:szCs w:val="18"/>
                <w:color w:val="auto"/>
              </w:rPr>
            </w:pPr>
          </w:p>
        </w:tc>
      </w:tr>
      <w:tr>
        <w:trPr>
          <w:trHeight w:val="249"/>
        </w:trPr>
        <w:tc>
          <w:tcPr>
            <w:tcW w:w="3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855</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618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4280" w:type="dxa"/>
            <w:vAlign w:val="bottom"/>
            <w:gridSpan w:val="12"/>
          </w:tcPr>
          <w:p>
            <w:pPr>
              <w:spacing w:after="0"/>
              <w:rPr>
                <w:sz w:val="20"/>
                <w:szCs w:val="20"/>
                <w:color w:val="auto"/>
              </w:rPr>
            </w:pPr>
            <w:r>
              <w:rPr>
                <w:rFonts w:ascii="Arial" w:cs="Arial" w:eastAsia="Arial" w:hAnsi="Arial"/>
                <w:sz w:val="17"/>
                <w:szCs w:val="17"/>
                <w:b w:val="1"/>
                <w:bCs w:val="1"/>
                <w:color w:val="auto"/>
                <w:w w:val="92"/>
              </w:rPr>
              <w:t>Three Months Ended June 30,Six Months Ended June 30,</w:t>
            </w:r>
          </w:p>
        </w:tc>
        <w:tc>
          <w:tcPr>
            <w:tcW w:w="80" w:type="dxa"/>
            <w:vAlign w:val="bottom"/>
          </w:tcPr>
          <w:p>
            <w:pPr>
              <w:spacing w:after="0"/>
              <w:rPr>
                <w:sz w:val="20"/>
                <w:szCs w:val="20"/>
                <w:color w:val="auto"/>
              </w:rPr>
            </w:pPr>
          </w:p>
        </w:tc>
      </w:tr>
      <w:tr>
        <w:trPr>
          <w:trHeight w:val="215"/>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2019</w:t>
            </w: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b w:val="1"/>
                <w:bCs w:val="1"/>
                <w:color w:val="auto"/>
              </w:rPr>
              <w:t>Stock-based compensation expense by type:</w:t>
            </w:r>
          </w:p>
        </w:tc>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purchase plan</w:t>
            </w:r>
          </w:p>
        </w:tc>
        <w:tc>
          <w:tcPr>
            <w:tcW w:w="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635</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291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80" w:type="dxa"/>
            <w:vAlign w:val="bottom"/>
            <w:shd w:val="clear" w:color="auto" w:fill="CCEEFF"/>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Non-employee stock purchase plan</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140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1"/>
              </w:rPr>
              <w:t>327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850</w:t>
            </w:r>
          </w:p>
        </w:tc>
        <w:tc>
          <w:tcPr>
            <w:tcW w:w="80" w:type="dxa"/>
            <w:vAlign w:val="bottom"/>
          </w:tcPr>
          <w:p>
            <w:pPr>
              <w:spacing w:after="0"/>
              <w:rPr>
                <w:sz w:val="18"/>
                <w:szCs w:val="18"/>
                <w:color w:val="auto"/>
              </w:rPr>
            </w:pPr>
          </w:p>
        </w:tc>
      </w:tr>
      <w:tr>
        <w:trPr>
          <w:trHeight w:val="215"/>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Subsidiary option grants</w:t>
            </w: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855</w:t>
            </w:r>
          </w:p>
        </w:tc>
        <w:tc>
          <w:tcPr>
            <w:tcW w:w="90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1"/>
              </w:rPr>
              <w:t>618</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1,544</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1,362</w:t>
            </w:r>
          </w:p>
        </w:tc>
        <w:tc>
          <w:tcPr>
            <w:tcW w:w="8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Awards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employee share option activities during the six months ended June 30, 2020:</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Weighted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3"/>
              <w:spacing w:after="0"/>
              <w:rPr>
                <w:sz w:val="20"/>
                <w:szCs w:val="20"/>
                <w:color w:val="auto"/>
              </w:rPr>
            </w:pPr>
            <w:r>
              <w:rPr>
                <w:rFonts w:ascii="Arial" w:cs="Arial" w:eastAsia="Arial" w:hAnsi="Arial"/>
                <w:sz w:val="17"/>
                <w:szCs w:val="17"/>
                <w:b w:val="1"/>
                <w:bCs w:val="1"/>
                <w:color w:val="auto"/>
                <w:w w:val="99"/>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7"/>
                <w:szCs w:val="17"/>
                <w:b w:val="1"/>
                <w:bCs w:val="1"/>
                <w:color w:val="auto"/>
                <w:w w:val="92"/>
              </w:rPr>
              <w:t>Average</w:t>
            </w:r>
          </w:p>
        </w:tc>
        <w:tc>
          <w:tcPr>
            <w:tcW w:w="15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Weighted Average</w:t>
            </w: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Number of</w:t>
            </w:r>
          </w:p>
        </w:tc>
        <w:tc>
          <w:tcPr>
            <w:tcW w:w="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b w:val="1"/>
                <w:bCs w:val="1"/>
                <w:color w:val="auto"/>
                <w:w w:val="95"/>
              </w:rPr>
              <w:t>Average Grant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7"/>
                <w:szCs w:val="17"/>
                <w:b w:val="1"/>
                <w:bCs w:val="1"/>
                <w:color w:val="auto"/>
                <w:w w:val="88"/>
              </w:rPr>
              <w:t>Exercise</w:t>
            </w:r>
          </w:p>
        </w:tc>
        <w:tc>
          <w:tcPr>
            <w:tcW w:w="16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Remaining</w:t>
            </w:r>
          </w:p>
        </w:tc>
      </w:tr>
      <w:tr>
        <w:trPr>
          <w:trHeight w:val="233"/>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Option Share</w:t>
            </w:r>
          </w:p>
        </w:tc>
        <w:tc>
          <w:tcPr>
            <w:tcW w:w="1240" w:type="dxa"/>
            <w:vAlign w:val="bottom"/>
            <w:gridSpan w:val="3"/>
          </w:tcPr>
          <w:p>
            <w:pPr>
              <w:ind w:left="60"/>
              <w:spacing w:after="0"/>
              <w:rPr>
                <w:sz w:val="20"/>
                <w:szCs w:val="20"/>
                <w:color w:val="auto"/>
              </w:rPr>
            </w:pPr>
            <w:r>
              <w:rPr>
                <w:rFonts w:ascii="Arial" w:cs="Arial" w:eastAsia="Arial" w:hAnsi="Arial"/>
                <w:sz w:val="17"/>
                <w:szCs w:val="17"/>
                <w:b w:val="1"/>
                <w:bCs w:val="1"/>
                <w:color w:val="auto"/>
                <w:w w:val="94"/>
              </w:rPr>
              <w:t>Date Fair Value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center"/>
              <w:ind w:right="13"/>
              <w:spacing w:after="0"/>
              <w:rPr>
                <w:sz w:val="20"/>
                <w:szCs w:val="20"/>
                <w:color w:val="auto"/>
              </w:rPr>
            </w:pPr>
            <w:r>
              <w:rPr>
                <w:rFonts w:ascii="Arial" w:cs="Arial" w:eastAsia="Arial" w:hAnsi="Arial"/>
                <w:sz w:val="17"/>
                <w:szCs w:val="17"/>
                <w:b w:val="1"/>
                <w:bCs w:val="1"/>
                <w:color w:val="auto"/>
                <w:w w:val="91"/>
              </w:rPr>
              <w:t>Price</w:t>
            </w:r>
          </w:p>
        </w:tc>
        <w:tc>
          <w:tcPr>
            <w:tcW w:w="15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Contractual Term</w:t>
            </w: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2019</w:t>
            </w:r>
          </w:p>
        </w:tc>
        <w:tc>
          <w:tcPr>
            <w:tcW w:w="6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2,994,063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2.59</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6.77</w:t>
            </w:r>
          </w:p>
        </w:tc>
        <w:tc>
          <w:tcPr>
            <w:tcW w:w="1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7.05 years</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708,399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24.13</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(41,172)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Expired</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(39,120)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Outstanding at June 30, 2020</w:t>
            </w: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rPr>
              <w:t>3,622,170</w:t>
            </w:r>
          </w:p>
        </w:tc>
        <w:tc>
          <w:tcPr>
            <w:tcW w:w="1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3.98</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10.10</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7.16 years</w:t>
            </w: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2020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1,997,526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508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2020 and December 31, 2019, $10,252 and $4,712, respectively, of total unrecognized employee stock-based compensation expense, net of estimated forfeitures, related to stock-based awards for ACM were expected to be recognized over a weighted-average period of 2.44 years and 1.47 years, respectively. Total recognized compensation cost may be adjusted for future changes in estimated forfeitures.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ACM’s non-employee stock option activities during the six months ended June 30, 2020:</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Weighted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3"/>
              <w:spacing w:after="0"/>
              <w:rPr>
                <w:sz w:val="20"/>
                <w:szCs w:val="20"/>
                <w:color w:val="auto"/>
              </w:rPr>
            </w:pPr>
            <w:r>
              <w:rPr>
                <w:rFonts w:ascii="Arial" w:cs="Arial" w:eastAsia="Arial" w:hAnsi="Arial"/>
                <w:sz w:val="17"/>
                <w:szCs w:val="17"/>
                <w:b w:val="1"/>
                <w:bCs w:val="1"/>
                <w:color w:val="auto"/>
                <w:w w:val="99"/>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7"/>
                <w:szCs w:val="17"/>
                <w:b w:val="1"/>
                <w:bCs w:val="1"/>
                <w:color w:val="auto"/>
                <w:w w:val="92"/>
              </w:rPr>
              <w:t>Average</w:t>
            </w:r>
          </w:p>
        </w:tc>
        <w:tc>
          <w:tcPr>
            <w:tcW w:w="15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Weighted Average</w:t>
            </w: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Number of</w:t>
            </w:r>
          </w:p>
        </w:tc>
        <w:tc>
          <w:tcPr>
            <w:tcW w:w="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b w:val="1"/>
                <w:bCs w:val="1"/>
                <w:color w:val="auto"/>
                <w:w w:val="95"/>
              </w:rPr>
              <w:t>Average Grant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7"/>
                <w:szCs w:val="17"/>
                <w:b w:val="1"/>
                <w:bCs w:val="1"/>
                <w:color w:val="auto"/>
                <w:w w:val="88"/>
              </w:rPr>
              <w:t>Exercise</w:t>
            </w:r>
          </w:p>
        </w:tc>
        <w:tc>
          <w:tcPr>
            <w:tcW w:w="16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Remaining</w:t>
            </w:r>
          </w:p>
        </w:tc>
      </w:tr>
      <w:tr>
        <w:trPr>
          <w:trHeight w:val="233"/>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Option Shares</w:t>
            </w:r>
          </w:p>
        </w:tc>
        <w:tc>
          <w:tcPr>
            <w:tcW w:w="1240" w:type="dxa"/>
            <w:vAlign w:val="bottom"/>
            <w:gridSpan w:val="3"/>
          </w:tcPr>
          <w:p>
            <w:pPr>
              <w:ind w:left="60"/>
              <w:spacing w:after="0"/>
              <w:rPr>
                <w:sz w:val="20"/>
                <w:szCs w:val="20"/>
                <w:color w:val="auto"/>
              </w:rPr>
            </w:pPr>
            <w:r>
              <w:rPr>
                <w:rFonts w:ascii="Arial" w:cs="Arial" w:eastAsia="Arial" w:hAnsi="Arial"/>
                <w:sz w:val="17"/>
                <w:szCs w:val="17"/>
                <w:b w:val="1"/>
                <w:bCs w:val="1"/>
                <w:color w:val="auto"/>
                <w:w w:val="94"/>
              </w:rPr>
              <w:t>Date Fair Value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center"/>
              <w:ind w:right="13"/>
              <w:spacing w:after="0"/>
              <w:rPr>
                <w:sz w:val="20"/>
                <w:szCs w:val="20"/>
                <w:color w:val="auto"/>
              </w:rPr>
            </w:pPr>
            <w:r>
              <w:rPr>
                <w:rFonts w:ascii="Arial" w:cs="Arial" w:eastAsia="Arial" w:hAnsi="Arial"/>
                <w:sz w:val="17"/>
                <w:szCs w:val="17"/>
                <w:b w:val="1"/>
                <w:bCs w:val="1"/>
                <w:color w:val="auto"/>
                <w:w w:val="91"/>
              </w:rPr>
              <w:t>Price</w:t>
            </w:r>
          </w:p>
        </w:tc>
        <w:tc>
          <w:tcPr>
            <w:tcW w:w="15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Contractual Term</w:t>
            </w: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2019</w:t>
            </w:r>
          </w:p>
        </w:tc>
        <w:tc>
          <w:tcPr>
            <w:tcW w:w="6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1,101,613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0.82</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2.69</w:t>
            </w:r>
          </w:p>
        </w:tc>
        <w:tc>
          <w:tcPr>
            <w:tcW w:w="1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5.85 years</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Granted</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25.60</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(144,731)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Expired</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b w:val="1"/>
                <w:bCs w:val="1"/>
                <w:color w:val="auto"/>
              </w:rPr>
              <w:t>Outstanding at June 30, 2020</w:t>
            </w:r>
          </w:p>
        </w:tc>
        <w:tc>
          <w:tcPr>
            <w:tcW w:w="1680" w:type="dxa"/>
            <w:vAlign w:val="bottom"/>
            <w:gridSpan w:val="2"/>
          </w:tcPr>
          <w:p>
            <w:pPr>
              <w:jc w:val="right"/>
              <w:spacing w:after="0"/>
              <w:rPr>
                <w:sz w:val="20"/>
                <w:szCs w:val="20"/>
                <w:color w:val="auto"/>
              </w:rPr>
            </w:pPr>
            <w:r>
              <w:rPr>
                <w:rFonts w:ascii="Arial" w:cs="Arial" w:eastAsia="Arial" w:hAnsi="Arial"/>
                <w:sz w:val="17"/>
                <w:szCs w:val="17"/>
                <w:b w:val="1"/>
                <w:bCs w:val="1"/>
                <w:color w:val="auto"/>
              </w:rPr>
              <w:t>976,882</w:t>
            </w:r>
          </w:p>
        </w:tc>
        <w:tc>
          <w:tcPr>
            <w:tcW w:w="1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0.95</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2.93</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5.39 years</w:t>
            </w: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2020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929,397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2020 and December 31, 2019, $279 and $406, respectively, of total unrecognized non-employee stock-based compensation expense, net of estimated forfeitures, related to stock-based awards were expected to be recognized over a weighted-average period of 0.13 years and 0.23 years, respectively. Total recognized compensation cost may be adjusted for future changes in estimated forfeitures.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fair value of options granted to employee and non-employee with a service period based condition is estimated on the grant date using the Black-Scholes valuation model with the following assumptions.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600" w:type="dxa"/>
            <w:vAlign w:val="bottom"/>
            <w:gridSpan w:val="6"/>
          </w:tcPr>
          <w:p>
            <w:pPr>
              <w:jc w:val="center"/>
              <w:ind w:right="2553"/>
              <w:spacing w:after="0"/>
              <w:rPr>
                <w:sz w:val="20"/>
                <w:szCs w:val="20"/>
                <w:color w:val="auto"/>
              </w:rPr>
            </w:pPr>
            <w:r>
              <w:rPr>
                <w:rFonts w:ascii="Arial" w:cs="Arial" w:eastAsia="Arial" w:hAnsi="Arial"/>
                <w:sz w:val="17"/>
                <w:szCs w:val="17"/>
                <w:b w:val="1"/>
                <w:bCs w:val="1"/>
                <w:color w:val="auto"/>
              </w:rPr>
              <w:t>ACM RESEARCH, INC.</w:t>
            </w:r>
          </w:p>
        </w:tc>
      </w:tr>
      <w:tr>
        <w:trPr>
          <w:trHeight w:val="215"/>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600" w:type="dxa"/>
            <w:vAlign w:val="bottom"/>
            <w:gridSpan w:val="6"/>
          </w:tcPr>
          <w:p>
            <w:pPr>
              <w:jc w:val="center"/>
              <w:ind w:right="2553"/>
              <w:spacing w:after="0"/>
              <w:rPr>
                <w:sz w:val="20"/>
                <w:szCs w:val="20"/>
                <w:color w:val="auto"/>
              </w:rPr>
            </w:pPr>
            <w:r>
              <w:rPr>
                <w:rFonts w:ascii="Arial" w:cs="Arial" w:eastAsia="Arial" w:hAnsi="Arial"/>
                <w:sz w:val="17"/>
                <w:szCs w:val="17"/>
                <w:b w:val="1"/>
                <w:bCs w:val="1"/>
                <w:color w:val="auto"/>
                <w:w w:val="90"/>
              </w:rPr>
              <w:t>Notes to Condensed Consolidated Financial Statements (unaudited)</w:t>
            </w: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600" w:type="dxa"/>
            <w:vAlign w:val="bottom"/>
            <w:gridSpan w:val="6"/>
          </w:tcPr>
          <w:p>
            <w:pPr>
              <w:jc w:val="center"/>
              <w:ind w:right="2553"/>
              <w:spacing w:after="0"/>
              <w:rPr>
                <w:sz w:val="20"/>
                <w:szCs w:val="20"/>
                <w:color w:val="auto"/>
              </w:rPr>
            </w:pPr>
            <w:r>
              <w:rPr>
                <w:rFonts w:ascii="Arial" w:cs="Arial" w:eastAsia="Arial" w:hAnsi="Arial"/>
                <w:sz w:val="17"/>
                <w:szCs w:val="17"/>
                <w:i w:val="1"/>
                <w:iCs w:val="1"/>
                <w:color w:val="auto"/>
                <w:w w:val="92"/>
              </w:rPr>
              <w:t>(dollars in thousands, except share and per share data)</w:t>
            </w:r>
          </w:p>
        </w:tc>
      </w:tr>
      <w:tr>
        <w:trPr>
          <w:trHeight w:val="83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700" w:type="dxa"/>
            <w:vAlign w:val="bottom"/>
            <w:gridSpan w:val="5"/>
          </w:tcPr>
          <w:p>
            <w:pPr>
              <w:jc w:val="center"/>
              <w:spacing w:after="0"/>
              <w:rPr>
                <w:sz w:val="20"/>
                <w:szCs w:val="20"/>
                <w:color w:val="auto"/>
              </w:rPr>
            </w:pPr>
            <w:r>
              <w:rPr>
                <w:rFonts w:ascii="Arial" w:cs="Arial" w:eastAsia="Arial" w:hAnsi="Arial"/>
                <w:sz w:val="17"/>
                <w:szCs w:val="17"/>
                <w:b w:val="1"/>
                <w:bCs w:val="1"/>
                <w:color w:val="auto"/>
                <w:w w:val="92"/>
              </w:rPr>
              <w:t>Six Months Ended</w:t>
            </w:r>
          </w:p>
        </w:tc>
      </w:tr>
      <w:tr>
        <w:trPr>
          <w:trHeight w:val="215"/>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20" w:type="dxa"/>
            <w:vAlign w:val="bottom"/>
            <w:gridSpan w:val="4"/>
          </w:tcPr>
          <w:p>
            <w:pPr>
              <w:jc w:val="center"/>
              <w:ind w:right="1353"/>
              <w:spacing w:after="0"/>
              <w:rPr>
                <w:sz w:val="20"/>
                <w:szCs w:val="20"/>
                <w:color w:val="auto"/>
              </w:rPr>
            </w:pPr>
            <w:r>
              <w:rPr>
                <w:rFonts w:ascii="Arial" w:cs="Arial" w:eastAsia="Arial" w:hAnsi="Arial"/>
                <w:sz w:val="17"/>
                <w:szCs w:val="17"/>
                <w:b w:val="1"/>
                <w:bCs w:val="1"/>
                <w:color w:val="auto"/>
                <w:w w:val="91"/>
              </w:rPr>
              <w:t>June 30,</w:t>
            </w: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600" w:type="dxa"/>
            <w:vAlign w:val="bottom"/>
            <w:gridSpan w:val="6"/>
          </w:tcPr>
          <w:p>
            <w:pPr>
              <w:jc w:val="center"/>
              <w:ind w:left="4833"/>
              <w:spacing w:after="0"/>
              <w:rPr>
                <w:sz w:val="20"/>
                <w:szCs w:val="20"/>
                <w:color w:val="auto"/>
              </w:rPr>
            </w:pPr>
            <w:r>
              <w:rPr>
                <w:rFonts w:ascii="Arial" w:cs="Arial" w:eastAsia="Arial" w:hAnsi="Arial"/>
                <w:sz w:val="17"/>
                <w:szCs w:val="17"/>
                <w:color w:val="auto"/>
                <w:w w:val="95"/>
              </w:rPr>
              <w:t>2020</w:t>
            </w:r>
          </w:p>
        </w:tc>
      </w:tr>
      <w:tr>
        <w:trPr>
          <w:trHeight w:val="189"/>
        </w:trPr>
        <w:tc>
          <w:tcPr>
            <w:tcW w:w="20" w:type="dxa"/>
            <w:vAlign w:val="bottom"/>
          </w:tcPr>
          <w:p>
            <w:pPr>
              <w:spacing w:after="0"/>
              <w:rPr>
                <w:sz w:val="16"/>
                <w:szCs w:val="16"/>
                <w:color w:val="auto"/>
              </w:rPr>
            </w:pPr>
          </w:p>
        </w:tc>
        <w:tc>
          <w:tcPr>
            <w:tcW w:w="26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shd w:val="clear" w:color="auto" w:fill="CCEEFF"/>
              </w:rPr>
              <w:t>Fair value of common share(1)</w:t>
            </w:r>
          </w:p>
        </w:tc>
        <w:tc>
          <w:tcPr>
            <w:tcW w:w="490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shd w:val="clear" w:color="auto" w:fill="CCEEFF"/>
              </w:rPr>
              <w:t>$</w:t>
            </w:r>
          </w:p>
        </w:tc>
        <w:tc>
          <w:tcPr>
            <w:tcW w:w="400" w:type="dxa"/>
            <w:vAlign w:val="bottom"/>
            <w:tcBorders>
              <w:top w:val="single" w:sz="8" w:color="auto"/>
              <w:bottom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22.07</w:t>
            </w:r>
          </w:p>
        </w:tc>
        <w:tc>
          <w:tcPr>
            <w:tcW w:w="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8"/>
                <w:szCs w:val="8"/>
                <w:color w:val="auto"/>
                <w:w w:val="73"/>
                <w:shd w:val="clear" w:color="auto" w:fill="CCEEFF"/>
              </w:rPr>
              <w:t>-</w:t>
            </w:r>
          </w:p>
        </w:tc>
        <w:tc>
          <w:tcPr>
            <w:tcW w:w="1780" w:type="dxa"/>
            <w:vAlign w:val="bottom"/>
            <w:tcBorders>
              <w:top w:val="single" w:sz="8" w:color="auto"/>
              <w:bottom w:val="single" w:sz="8" w:color="CCEEFF"/>
            </w:tcBorders>
            <w:shd w:val="clear" w:color="auto" w:fill="CCEEFF"/>
          </w:tcPr>
          <w:p>
            <w:pPr>
              <w:jc w:val="right"/>
              <w:ind w:right="1293"/>
              <w:spacing w:after="0" w:line="183" w:lineRule="exact"/>
              <w:rPr>
                <w:sz w:val="20"/>
                <w:szCs w:val="20"/>
                <w:color w:val="auto"/>
              </w:rPr>
            </w:pPr>
            <w:r>
              <w:rPr>
                <w:rFonts w:ascii="Arial" w:cs="Arial" w:eastAsia="Arial" w:hAnsi="Arial"/>
                <w:sz w:val="17"/>
                <w:szCs w:val="17"/>
                <w:color w:val="auto"/>
                <w:w w:val="89"/>
              </w:rPr>
              <w:t>38.26</w:t>
            </w:r>
          </w:p>
        </w:tc>
      </w:tr>
      <w:tr>
        <w:trPr>
          <w:trHeight w:val="209"/>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8600" w:type="dxa"/>
            <w:vAlign w:val="bottom"/>
            <w:gridSpan w:val="6"/>
          </w:tcPr>
          <w:p>
            <w:pPr>
              <w:jc w:val="center"/>
              <w:ind w:left="4833"/>
              <w:spacing w:after="0"/>
              <w:rPr>
                <w:sz w:val="20"/>
                <w:szCs w:val="20"/>
                <w:color w:val="auto"/>
              </w:rPr>
            </w:pPr>
            <w:r>
              <w:rPr>
                <w:rFonts w:ascii="Arial" w:cs="Arial" w:eastAsia="Arial" w:hAnsi="Arial"/>
                <w:sz w:val="17"/>
                <w:szCs w:val="17"/>
                <w:color w:val="auto"/>
                <w:w w:val="94"/>
              </w:rPr>
              <w:t>5.50-6.25</w:t>
            </w:r>
          </w:p>
        </w:tc>
      </w:tr>
      <w:tr>
        <w:trPr>
          <w:trHeight w:val="209"/>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shd w:val="clear" w:color="auto" w:fill="CCEEFF"/>
              </w:rPr>
              <w:t>Volatility(3)</w:t>
            </w:r>
          </w:p>
        </w:tc>
        <w:tc>
          <w:tcPr>
            <w:tcW w:w="6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42.17%</w:t>
            </w:r>
          </w:p>
        </w:tc>
        <w:tc>
          <w:tcPr>
            <w:tcW w:w="60" w:type="dxa"/>
            <w:vAlign w:val="bottom"/>
            <w:shd w:val="clear" w:color="auto" w:fill="CCEEFF"/>
          </w:tcPr>
          <w:p>
            <w:pPr>
              <w:jc w:val="center"/>
              <w:spacing w:after="0"/>
              <w:rPr>
                <w:sz w:val="20"/>
                <w:szCs w:val="20"/>
                <w:color w:val="auto"/>
              </w:rPr>
            </w:pPr>
            <w:r>
              <w:rPr>
                <w:rFonts w:ascii="Arial" w:cs="Arial" w:eastAsia="Arial" w:hAnsi="Arial"/>
                <w:sz w:val="17"/>
                <w:szCs w:val="17"/>
                <w:color w:val="auto"/>
                <w:shd w:val="clear" w:color="auto" w:fill="CCEEFF"/>
              </w:rPr>
              <w:t>-</w:t>
            </w:r>
          </w:p>
        </w:tc>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46.14%</w:t>
            </w:r>
          </w:p>
        </w:tc>
      </w:tr>
      <w:tr>
        <w:trPr>
          <w:trHeight w:val="209"/>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8600" w:type="dxa"/>
            <w:vAlign w:val="bottom"/>
            <w:gridSpan w:val="6"/>
          </w:tcPr>
          <w:p>
            <w:pPr>
              <w:jc w:val="center"/>
              <w:ind w:left="4833"/>
              <w:spacing w:after="0"/>
              <w:rPr>
                <w:sz w:val="20"/>
                <w:szCs w:val="20"/>
                <w:color w:val="auto"/>
              </w:rPr>
            </w:pPr>
            <w:r>
              <w:rPr>
                <w:rFonts w:ascii="Arial" w:cs="Arial" w:eastAsia="Arial" w:hAnsi="Arial"/>
                <w:sz w:val="17"/>
                <w:szCs w:val="17"/>
                <w:color w:val="auto"/>
                <w:w w:val="94"/>
              </w:rPr>
              <w:t>0.51%-0.82%</w:t>
            </w:r>
          </w:p>
        </w:tc>
      </w:tr>
      <w:tr>
        <w:trPr>
          <w:trHeight w:val="209"/>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shd w:val="clear" w:color="auto" w:fill="CCEEFF"/>
              </w:rPr>
              <w:t>Expected dividend(5)</w:t>
            </w:r>
          </w:p>
        </w:tc>
        <w:tc>
          <w:tcPr>
            <w:tcW w:w="8600" w:type="dxa"/>
            <w:vAlign w:val="bottom"/>
            <w:gridSpan w:val="6"/>
            <w:shd w:val="clear" w:color="auto" w:fill="CCEEFF"/>
          </w:tcPr>
          <w:p>
            <w:pPr>
              <w:jc w:val="center"/>
              <w:ind w:left="4833"/>
              <w:spacing w:after="0"/>
              <w:rPr>
                <w:sz w:val="20"/>
                <w:szCs w:val="20"/>
                <w:color w:val="auto"/>
              </w:rPr>
            </w:pPr>
            <w:r>
              <w:rPr>
                <w:rFonts w:ascii="Arial" w:cs="Arial" w:eastAsia="Arial" w:hAnsi="Arial"/>
                <w:sz w:val="17"/>
                <w:szCs w:val="17"/>
                <w:color w:val="auto"/>
                <w:w w:val="97"/>
              </w:rPr>
              <w:t>0%</w:t>
            </w:r>
          </w:p>
        </w:tc>
      </w:tr>
    </w:tbl>
    <w:p>
      <w:pPr>
        <w:spacing w:after="0" w:line="223" w:lineRule="exact"/>
        <w:rPr>
          <w:sz w:val="20"/>
          <w:szCs w:val="20"/>
          <w:color w:val="auto"/>
        </w:rPr>
      </w:pPr>
    </w:p>
    <w:p>
      <w:pPr>
        <w:ind w:left="320" w:hanging="316"/>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Common stock value was the close market value on the grant date.</w:t>
      </w:r>
    </w:p>
    <w:p>
      <w:pPr>
        <w:spacing w:after="0" w:line="25" w:lineRule="exact"/>
        <w:rPr>
          <w:rFonts w:ascii="Arial" w:cs="Arial" w:eastAsia="Arial" w:hAnsi="Arial"/>
          <w:sz w:val="17"/>
          <w:szCs w:val="17"/>
          <w:color w:val="auto"/>
        </w:rPr>
      </w:pPr>
    </w:p>
    <w:p>
      <w:pPr>
        <w:ind w:left="320" w:right="140" w:hanging="316"/>
        <w:spacing w:after="0" w:line="256"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of the vesting period and the contractual term for each grant according to Staff Accounting Bulletin 110.</w:t>
      </w:r>
    </w:p>
    <w:p>
      <w:pPr>
        <w:ind w:left="320" w:hanging="316"/>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320" w:right="100" w:hanging="316"/>
        <w:spacing w:after="0" w:line="256"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320" w:hanging="316"/>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23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fair value of option granted to employee with market based condition is estimated on the grant date using the Monte Carlo simulation model with the following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7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Six Months Ended</w:t>
            </w: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7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June 30,</w:t>
            </w:r>
          </w:p>
        </w:tc>
      </w:tr>
      <w:tr>
        <w:trPr>
          <w:trHeight w:val="227"/>
        </w:trPr>
        <w:tc>
          <w:tcPr>
            <w:tcW w:w="20" w:type="dxa"/>
            <w:vAlign w:val="bottom"/>
          </w:tcPr>
          <w:p>
            <w:pPr>
              <w:spacing w:after="0"/>
              <w:rPr>
                <w:sz w:val="19"/>
                <w:szCs w:val="19"/>
                <w:color w:val="auto"/>
              </w:rPr>
            </w:pPr>
          </w:p>
        </w:tc>
        <w:tc>
          <w:tcPr>
            <w:tcW w:w="7520" w:type="dxa"/>
            <w:vAlign w:val="bottom"/>
            <w:tcBorders>
              <w:bottom w:val="single" w:sz="8" w:color="CCEEFF"/>
            </w:tcBorders>
          </w:tcPr>
          <w:p>
            <w:pPr>
              <w:spacing w:after="0"/>
              <w:rPr>
                <w:sz w:val="19"/>
                <w:szCs w:val="19"/>
                <w:color w:val="auto"/>
              </w:rPr>
            </w:pPr>
          </w:p>
        </w:tc>
        <w:tc>
          <w:tcPr>
            <w:tcW w:w="37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5"/>
              </w:rPr>
              <w:t>2020</w:t>
            </w:r>
          </w:p>
        </w:tc>
      </w:tr>
      <w:tr>
        <w:trPr>
          <w:trHeight w:val="189"/>
        </w:trPr>
        <w:tc>
          <w:tcPr>
            <w:tcW w:w="20" w:type="dxa"/>
            <w:vAlign w:val="bottom"/>
          </w:tcPr>
          <w:p>
            <w:pPr>
              <w:spacing w:after="0"/>
              <w:rPr>
                <w:sz w:val="16"/>
                <w:szCs w:val="16"/>
                <w:color w:val="auto"/>
              </w:rPr>
            </w:pPr>
          </w:p>
        </w:tc>
        <w:tc>
          <w:tcPr>
            <w:tcW w:w="75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shd w:val="clear" w:color="auto" w:fill="CCEEFF"/>
              </w:rPr>
              <w:t>Fair value of common share(1)</w:t>
            </w:r>
          </w:p>
        </w:tc>
        <w:tc>
          <w:tcPr>
            <w:tcW w:w="170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shd w:val="clear" w:color="auto" w:fill="CCEEFF"/>
              </w:rPr>
              <w:t>$</w:t>
            </w:r>
          </w:p>
        </w:tc>
        <w:tc>
          <w:tcPr>
            <w:tcW w:w="2000" w:type="dxa"/>
            <w:vAlign w:val="bottom"/>
            <w:tcBorders>
              <w:bottom w:val="single" w:sz="8" w:color="CCEEFF"/>
            </w:tcBorders>
            <w:shd w:val="clear" w:color="auto" w:fill="CCEEFF"/>
          </w:tcPr>
          <w:p>
            <w:pPr>
              <w:jc w:val="right"/>
              <w:ind w:right="1513"/>
              <w:spacing w:after="0" w:line="183" w:lineRule="exact"/>
              <w:rPr>
                <w:sz w:val="20"/>
                <w:szCs w:val="20"/>
                <w:color w:val="auto"/>
              </w:rPr>
            </w:pPr>
            <w:r>
              <w:rPr>
                <w:rFonts w:ascii="Arial" w:cs="Arial" w:eastAsia="Arial" w:hAnsi="Arial"/>
                <w:sz w:val="17"/>
                <w:szCs w:val="17"/>
                <w:color w:val="auto"/>
                <w:w w:val="89"/>
              </w:rPr>
              <w:t>22.07</w:t>
            </w: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3700" w:type="dxa"/>
            <w:vAlign w:val="bottom"/>
            <w:gridSpan w:val="2"/>
          </w:tcPr>
          <w:p>
            <w:pPr>
              <w:jc w:val="center"/>
              <w:spacing w:after="0"/>
              <w:rPr>
                <w:sz w:val="20"/>
                <w:szCs w:val="20"/>
                <w:color w:val="auto"/>
              </w:rPr>
            </w:pPr>
            <w:r>
              <w:rPr>
                <w:rFonts w:ascii="Arial" w:cs="Arial" w:eastAsia="Arial" w:hAnsi="Arial"/>
                <w:sz w:val="17"/>
                <w:szCs w:val="17"/>
                <w:color w:val="auto"/>
                <w:w w:val="93"/>
              </w:rPr>
              <w:t>9.20 - 9.80</w:t>
            </w:r>
          </w:p>
        </w:tc>
      </w:tr>
      <w:tr>
        <w:trPr>
          <w:trHeight w:val="209"/>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shd w:val="clear" w:color="auto" w:fill="CCEEFF"/>
              </w:rPr>
              <w:t>Volatility(3)</w:t>
            </w:r>
          </w:p>
        </w:tc>
        <w:tc>
          <w:tcPr>
            <w:tcW w:w="37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45.10%</w:t>
            </w: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3700" w:type="dxa"/>
            <w:vAlign w:val="bottom"/>
            <w:gridSpan w:val="2"/>
          </w:tcPr>
          <w:p>
            <w:pPr>
              <w:jc w:val="center"/>
              <w:spacing w:after="0"/>
              <w:rPr>
                <w:sz w:val="20"/>
                <w:szCs w:val="20"/>
                <w:color w:val="auto"/>
              </w:rPr>
            </w:pPr>
            <w:r>
              <w:rPr>
                <w:rFonts w:ascii="Arial" w:cs="Arial" w:eastAsia="Arial" w:hAnsi="Arial"/>
                <w:sz w:val="17"/>
                <w:szCs w:val="17"/>
                <w:color w:val="auto"/>
                <w:w w:val="91"/>
              </w:rPr>
              <w:t>2.68%</w:t>
            </w:r>
          </w:p>
        </w:tc>
      </w:tr>
      <w:tr>
        <w:trPr>
          <w:trHeight w:val="209"/>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shd w:val="clear" w:color="auto" w:fill="CCEEFF"/>
              </w:rPr>
              <w:t>Expected dividend(5)</w:t>
            </w:r>
          </w:p>
        </w:tc>
        <w:tc>
          <w:tcPr>
            <w:tcW w:w="37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7"/>
              </w:rPr>
              <w:t>0%</w:t>
            </w:r>
          </w:p>
        </w:tc>
      </w:tr>
    </w:tbl>
    <w:p>
      <w:pPr>
        <w:spacing w:after="0" w:line="223" w:lineRule="exact"/>
        <w:rPr>
          <w:sz w:val="20"/>
          <w:szCs w:val="20"/>
          <w:color w:val="auto"/>
        </w:rPr>
      </w:pPr>
    </w:p>
    <w:p>
      <w:pPr>
        <w:ind w:left="320" w:hanging="316"/>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Common stock value was the close market value on the grant date.</w:t>
      </w:r>
    </w:p>
    <w:p>
      <w:pPr>
        <w:spacing w:after="0" w:line="25" w:lineRule="exact"/>
        <w:rPr>
          <w:rFonts w:ascii="Arial" w:cs="Arial" w:eastAsia="Arial" w:hAnsi="Arial"/>
          <w:sz w:val="17"/>
          <w:szCs w:val="17"/>
          <w:color w:val="auto"/>
        </w:rPr>
      </w:pPr>
    </w:p>
    <w:p>
      <w:pPr>
        <w:ind w:left="320" w:right="140" w:hanging="316"/>
        <w:spacing w:after="0" w:line="256"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of the vesting period and the contractual term for each grant according to Staff Accounting Bulletin 110.</w:t>
      </w:r>
    </w:p>
    <w:p>
      <w:pPr>
        <w:ind w:left="320" w:hanging="316"/>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320" w:right="100" w:hanging="316"/>
        <w:spacing w:after="0" w:line="256"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320" w:hanging="316"/>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ACM Shanghai Option Grants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ACM Shanghai employee stock option activities during the six months ended June 30, 2020:</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Weighted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Number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3"/>
              <w:spacing w:after="0"/>
              <w:rPr>
                <w:sz w:val="20"/>
                <w:szCs w:val="20"/>
                <w:color w:val="auto"/>
              </w:rPr>
            </w:pPr>
            <w:r>
              <w:rPr>
                <w:rFonts w:ascii="Arial" w:cs="Arial" w:eastAsia="Arial" w:hAnsi="Arial"/>
                <w:sz w:val="17"/>
                <w:szCs w:val="17"/>
                <w:b w:val="1"/>
                <w:bCs w:val="1"/>
                <w:color w:val="auto"/>
                <w:w w:val="91"/>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3"/>
              <w:spacing w:after="0"/>
              <w:rPr>
                <w:sz w:val="20"/>
                <w:szCs w:val="20"/>
                <w:color w:val="auto"/>
              </w:rPr>
            </w:pPr>
            <w:r>
              <w:rPr>
                <w:rFonts w:ascii="Arial" w:cs="Arial" w:eastAsia="Arial" w:hAnsi="Arial"/>
                <w:sz w:val="17"/>
                <w:szCs w:val="17"/>
                <w:b w:val="1"/>
                <w:bCs w:val="1"/>
                <w:color w:val="auto"/>
                <w:w w:val="89"/>
              </w:rPr>
              <w:t>Average</w:t>
            </w:r>
          </w:p>
        </w:tc>
        <w:tc>
          <w:tcPr>
            <w:tcW w:w="15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Weighted Average</w:t>
            </w: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80" w:type="dxa"/>
            <w:vAlign w:val="bottom"/>
            <w:gridSpan w:val="3"/>
          </w:tcPr>
          <w:p>
            <w:pPr>
              <w:jc w:val="center"/>
              <w:ind w:left="333"/>
              <w:spacing w:after="0"/>
              <w:rPr>
                <w:sz w:val="20"/>
                <w:szCs w:val="20"/>
                <w:color w:val="auto"/>
              </w:rPr>
            </w:pPr>
            <w:r>
              <w:rPr>
                <w:rFonts w:ascii="Arial" w:cs="Arial" w:eastAsia="Arial" w:hAnsi="Arial"/>
                <w:sz w:val="17"/>
                <w:szCs w:val="17"/>
                <w:b w:val="1"/>
                <w:bCs w:val="1"/>
                <w:color w:val="auto"/>
                <w:w w:val="92"/>
              </w:rPr>
              <w:t>Option Shares in</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Average Grant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33"/>
              <w:spacing w:after="0"/>
              <w:rPr>
                <w:sz w:val="20"/>
                <w:szCs w:val="20"/>
                <w:color w:val="auto"/>
              </w:rPr>
            </w:pPr>
            <w:r>
              <w:rPr>
                <w:rFonts w:ascii="Arial" w:cs="Arial" w:eastAsia="Arial" w:hAnsi="Arial"/>
                <w:sz w:val="17"/>
                <w:szCs w:val="17"/>
                <w:b w:val="1"/>
                <w:bCs w:val="1"/>
                <w:color w:val="auto"/>
                <w:w w:val="88"/>
              </w:rPr>
              <w:t>Exercise</w:t>
            </w:r>
          </w:p>
        </w:tc>
        <w:tc>
          <w:tcPr>
            <w:tcW w:w="16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Remaining</w:t>
            </w:r>
          </w:p>
        </w:tc>
      </w:tr>
      <w:tr>
        <w:trPr>
          <w:trHeight w:val="233"/>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6"/>
              </w:rPr>
              <w:t>ACM Shanghai</w:t>
            </w:r>
          </w:p>
        </w:tc>
        <w:tc>
          <w:tcPr>
            <w:tcW w:w="12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6"/>
              </w:rPr>
              <w:t>Date Fair Value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right="13"/>
              <w:spacing w:after="0"/>
              <w:rPr>
                <w:sz w:val="20"/>
                <w:szCs w:val="20"/>
                <w:color w:val="auto"/>
              </w:rPr>
            </w:pPr>
            <w:r>
              <w:rPr>
                <w:rFonts w:ascii="Arial" w:cs="Arial" w:eastAsia="Arial" w:hAnsi="Arial"/>
                <w:sz w:val="17"/>
                <w:szCs w:val="17"/>
                <w:b w:val="1"/>
                <w:bCs w:val="1"/>
                <w:color w:val="auto"/>
                <w:w w:val="96"/>
              </w:rPr>
              <w:t>Price</w:t>
            </w:r>
          </w:p>
        </w:tc>
        <w:tc>
          <w:tcPr>
            <w:tcW w:w="15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Contractual Term</w:t>
            </w: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2019</w:t>
            </w:r>
          </w:p>
        </w:tc>
        <w:tc>
          <w:tcPr>
            <w:tcW w:w="5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Granted</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5,869,808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1.87</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Expired</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(330,770)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7"/>
                <w:szCs w:val="17"/>
                <w:b w:val="1"/>
                <w:bCs w:val="1"/>
                <w:color w:val="auto"/>
              </w:rPr>
              <w:t>Outstanding at June 30, 2020</w:t>
            </w: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color w:val="auto"/>
              </w:rPr>
              <w:t>5,539,038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0.22</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1.87</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4.01 years</w:t>
            </w: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2020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and six months ended June 30, 2020, the Company recognized stock-based compensation expense of $80 and $166, respectively, related to stock option grants of ACM Shanghai. As of June 30, 2020, $989 of total unrecognized non-employee stock-based compensation expense, net of estimated forfeitures, related to ACM Shanghai stock-based awards were expected to be recognized over a weighted-average period of 3.01 years. Total recognized compensation cost may be adjusted for future changes in estimated forfeitures.</w:t>
      </w:r>
    </w:p>
    <w:p>
      <w:pPr>
        <w:sectPr>
          <w:pgSz w:w="11900" w:h="16838" w:orient="portrait"/>
          <w:cols w:equalWidth="0" w:num="1">
            <w:col w:w="11240"/>
          </w:cols>
          <w:pgMar w:left="320" w:top="121"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INCOME TAXES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20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ACM Shanghai has shown a three-year historical cumulative profit and has projections of future income. As a result, the Company does not maintain a valuation allowance.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expense of $1,859 and $876 during the three months ended June 30, 2020 and 2019, respectively, and $2,163 and $995 during the six months ended June 30, 2020 and 2019, respectively.</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2020, the Company’s total unrecognized tax benefits were $155, which would not affect the effective tax rate if recognized. The Company will recognize interest and penalties, when they occur, related to uncertain tax provisions as a component of tax expense. No interest or penalties were recognized for the six months ended June 30, 2020.</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2019.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The Company’s three PRC subsidiaries, ACM Shanghai, ACM Wuxi and ACM Shengwei, are liable for PRC corporate income taxes at the rates of 15%,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183"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ACM files income tax returns in the United States and state and foreign jurisdictions. Those federal, state and foreign income tax returns are under the statute of limitations subject to tax examinations for 2009 through 2019. To the extent ACM has tax attribute carryforwards, the tax years in which the attribute was generated may still be adjusted upon examination by the U.S. Internal Revenue Service or state or foreign tax authorities to the extent utilized in a future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(dollars in thousands, except share and per share data)</w:t>
      </w:r>
    </w:p>
    <w:p>
      <w:pPr>
        <w:spacing w:after="0" w:line="200" w:lineRule="exact"/>
        <w:rPr>
          <w:sz w:val="20"/>
          <w:szCs w:val="20"/>
          <w:color w:val="auto"/>
        </w:rPr>
      </w:pP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U.S. Coronavirus Aid, Relief, and Economic Security Act (“CARES Act”) was enacted on March 27, 2020. It contains several provisions that may have financial statement effects. Key aspects of the CARES Act include the following:</w:t>
      </w:r>
    </w:p>
    <w:p>
      <w:pPr>
        <w:spacing w:after="0" w:line="185" w:lineRule="exact"/>
        <w:rPr>
          <w:sz w:val="20"/>
          <w:szCs w:val="20"/>
          <w:color w:val="auto"/>
        </w:rPr>
      </w:pPr>
    </w:p>
    <w:p>
      <w:pPr>
        <w:ind w:left="320" w:hanging="316"/>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repealed the 80% taxable income limitation for 2018, 2019 and 2020, and allows those years to be carried back up to five years;</w:t>
      </w:r>
    </w:p>
    <w:p>
      <w:pPr>
        <w:spacing w:after="0" w:line="25" w:lineRule="exact"/>
        <w:rPr>
          <w:rFonts w:ascii="Arial" w:cs="Arial" w:eastAsia="Arial" w:hAnsi="Arial"/>
          <w:sz w:val="17"/>
          <w:szCs w:val="17"/>
          <w:color w:val="auto"/>
        </w:rPr>
      </w:pPr>
    </w:p>
    <w:p>
      <w:pPr>
        <w:ind w:left="320" w:hanging="316"/>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and provides for an election to take the entire refundable credit amount in 2018;</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raised the Section 163(j) ATI limit from 30% to 50% for businesses; and</w:t>
      </w:r>
    </w:p>
    <w:p>
      <w:pPr>
        <w:spacing w:after="0" w:line="13" w:lineRule="exact"/>
        <w:rPr>
          <w:rFonts w:ascii="Arial" w:cs="Arial" w:eastAsia="Arial" w:hAnsi="Arial"/>
          <w:sz w:val="17"/>
          <w:szCs w:val="17"/>
          <w:color w:val="auto"/>
        </w:rPr>
      </w:pPr>
    </w:p>
    <w:p>
      <w:pPr>
        <w:ind w:left="320" w:hanging="316"/>
        <w:spacing w:after="0" w:line="272"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made technical corrections to TCJA for Qualified Improvement Property (“QIP”) and designates QIP as 15-year property for depreciation purposes, which makes QIP a category eligible for 100% bonus depreciation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CARES Act is not expected to have a material impact on income taxes in the Company’s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60" w:type="dxa"/>
            <w:vAlign w:val="bottom"/>
          </w:tcPr>
          <w:p>
            <w:pPr>
              <w:spacing w:after="0"/>
              <w:rPr>
                <w:sz w:val="20"/>
                <w:szCs w:val="20"/>
                <w:color w:val="auto"/>
              </w:rPr>
            </w:pPr>
            <w:r>
              <w:rPr>
                <w:rFonts w:ascii="Arial" w:cs="Arial" w:eastAsia="Arial" w:hAnsi="Arial"/>
                <w:sz w:val="17"/>
                <w:szCs w:val="17"/>
                <w:color w:val="auto"/>
              </w:rPr>
              <w:t>Income tax expense was as follows: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right"/>
              <w:ind w:right="480"/>
              <w:spacing w:after="0"/>
              <w:rPr>
                <w:sz w:val="20"/>
                <w:szCs w:val="20"/>
                <w:color w:val="auto"/>
              </w:rPr>
            </w:pPr>
            <w:r>
              <w:rPr>
                <w:rFonts w:ascii="Arial" w:cs="Arial" w:eastAsia="Arial" w:hAnsi="Arial"/>
                <w:sz w:val="17"/>
                <w:szCs w:val="17"/>
                <w:b w:val="1"/>
                <w:bCs w:val="1"/>
                <w:color w:val="auto"/>
                <w:w w:val="94"/>
              </w:rPr>
              <w:t>Six Months Ended June 30,</w:t>
            </w:r>
          </w:p>
        </w:tc>
        <w:tc>
          <w:tcPr>
            <w:tcW w:w="80" w:type="dxa"/>
            <w:vAlign w:val="bottom"/>
          </w:tcPr>
          <w:p>
            <w:pPr>
              <w:spacing w:after="0"/>
              <w:rPr>
                <w:sz w:val="24"/>
                <w:szCs w:val="24"/>
                <w:color w:val="auto"/>
              </w:rPr>
            </w:pPr>
          </w:p>
        </w:tc>
        <w:tc>
          <w:tcPr>
            <w:tcW w:w="2440" w:type="dxa"/>
            <w:vAlign w:val="bottom"/>
            <w:gridSpan w:val="5"/>
          </w:tcPr>
          <w:p>
            <w:pPr>
              <w:jc w:val="right"/>
              <w:ind w:right="200"/>
              <w:spacing w:after="0"/>
              <w:rPr>
                <w:sz w:val="20"/>
                <w:szCs w:val="20"/>
                <w:color w:val="auto"/>
              </w:rPr>
            </w:pPr>
            <w:r>
              <w:rPr>
                <w:rFonts w:ascii="Arial" w:cs="Arial" w:eastAsia="Arial" w:hAnsi="Arial"/>
                <w:sz w:val="17"/>
                <w:szCs w:val="17"/>
                <w:b w:val="1"/>
                <w:bCs w:val="1"/>
                <w:color w:val="auto"/>
                <w:w w:val="92"/>
              </w:rPr>
              <w:t>Three Months Ended June 30,</w:t>
            </w:r>
          </w:p>
        </w:tc>
      </w:tr>
      <w:tr>
        <w:trPr>
          <w:trHeight w:val="215"/>
        </w:trPr>
        <w:tc>
          <w:tcPr>
            <w:tcW w:w="59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89"/>
              </w:rPr>
              <w:t>2019</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r>
      <w:tr>
        <w:trPr>
          <w:trHeight w:val="209"/>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7"/>
                <w:szCs w:val="17"/>
                <w:i w:val="1"/>
                <w:iCs w:val="1"/>
                <w:color w:val="auto"/>
              </w:rPr>
              <w:t>(in</w:t>
            </w:r>
          </w:p>
        </w:tc>
        <w:tc>
          <w:tcPr>
            <w:tcW w:w="1320" w:type="dxa"/>
            <w:vAlign w:val="bottom"/>
            <w:gridSpan w:val="3"/>
          </w:tcPr>
          <w:p>
            <w:pPr>
              <w:jc w:val="right"/>
              <w:ind w:right="633"/>
              <w:spacing w:after="0"/>
              <w:rPr>
                <w:sz w:val="20"/>
                <w:szCs w:val="20"/>
                <w:color w:val="auto"/>
              </w:rPr>
            </w:pPr>
            <w:r>
              <w:rPr>
                <w:rFonts w:ascii="Arial" w:cs="Arial" w:eastAsia="Arial" w:hAnsi="Arial"/>
                <w:sz w:val="16"/>
                <w:szCs w:val="16"/>
                <w:i w:val="1"/>
                <w:iCs w:val="1"/>
                <w:color w:val="auto"/>
                <w:w w:val="73"/>
              </w:rPr>
              <w:t>thousands)</w:t>
            </w:r>
          </w:p>
        </w:tc>
        <w:tc>
          <w:tcPr>
            <w:tcW w:w="100" w:type="dxa"/>
            <w:vAlign w:val="bottom"/>
          </w:tcPr>
          <w:p>
            <w:pPr>
              <w:spacing w:after="0"/>
              <w:rPr>
                <w:sz w:val="18"/>
                <w:szCs w:val="18"/>
                <w:color w:val="auto"/>
              </w:rPr>
            </w:pPr>
          </w:p>
        </w:tc>
      </w:tr>
      <w:tr>
        <w:trPr>
          <w:trHeight w:val="229"/>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income tax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(2,163)</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(1,859)</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(876)</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COMMITMENTS AND CONTINGENCIES</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leases offices under non-cancelable operating lease agreements. See note 8 for future minimum lease payments under non-cancelable operating lease agreements with initial terms of one year or more.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the Company had $896 of open capital commitments.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and six months ended June 30, 2020, ACM Shengwei entered into a Grant Contract for State-owned Construction Land Use Right in Shanghai City, with the China (Shanghai) Pilot Free Trade Zone Lin-gang Special Area Administration to acquire a land use right for approximately 43,000 square meters (10.6 acres) of land in the Lingang Heavy Equipment Industrial Zone of Lin-gang Special Area of China (Shanghai) pilot free trade zone for a period of fifty years at an aggregate price of RMB 61.7 million ($8,700).</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at June 30, 2020, the Company had fully paid the aggregate price for the land use right, which is recorded in other long-term assets in the condensed consolidated balance sheets, and a performance deposit of RMB 12.3 million ($1,700), which is equal to 20% of the aggregate land use right cost, to secure its achievement of certain performance milestones. The portion of this performance deposit that is expected to be refunded within one year is recorded in other receivables in the condensed consolidated balance sheets, and the portion of this performance deposit that is expected to be refunded after more than 1 year was recorded in other long-term assets in the condensed consolidated balance sheets.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Covenants in the Grant Contract require that, among other things, ACM Shengwei will be required to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 of June 30, 2020, the Company has paid RMB 47.5 million ($6,700) deposit for a potential purchase of housing properties which was recorded in other long-term assets in the condensed consolidated balance sheets.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From time to time the Company is subject to legal proceedings, including claims in the ordinary course of business and claims with respect to patent infringements. As of June 30, 2020, the Company did not have any legal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SUBSEQUENT EVENT</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16, 2020, SMIC completed its offering on the STAR Market (note 10) and priced its offered shares at RMB 27.46 ($3.89) per share, for total proceeds of RMB 46.3 billion ($6,550,000). The Partnership participated in the offering and acquired an aggregate of 80,589,949 shares, for a total of RMB 2.224 billion ($315,000).</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July 29, 2020, ACM and SMC entered into an amended agreement under which, in settlement of the SMC Consideration, ACM issued to SMC a warrant to purchase 242,681 shares of Class A common stock at a purchase price of $7.50 per share and ACM cancelled the SMC Note.</w:t>
      </w:r>
    </w:p>
    <w:p>
      <w:pPr>
        <w:sectPr>
          <w:pgSz w:w="11900" w:h="16838" w:orient="portrait"/>
          <w:cols w:equalWidth="0" w:num="1">
            <w:col w:w="11240"/>
          </w:cols>
          <w:pgMar w:left="320" w:top="121"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8"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2019, or our Annual Report. The following discussion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Risk Factors” in Part II below.</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Selling prices for our single-wafer wet-cleaning tools range from $2 million to more than $5 million. Our customers for single-wafer wet-cleaning and other front-end cleaning tools have included Semiconductor Manufacturing International Corporation, Shanghai Huali Microelectronics Corporation, SK Hynix Inc. and Yangtze Memory Technologies Co., Ltd. We recognized revenue from sales of single-wafer wet cleaning and other front-end processing equipment totaling $37.8 million, or 97% of total revenue, for the three months ending June 30, 2020 compared to $28.9 million, or 84% of total revenue, for the corresponding period in 2019. We recognized revenue from sales of single-wafer wet cleaning and other front-end processing equipment totaling $60.6 million, or 95.8% of total revenue, for the six months ending June 30, 2020 compared to $41.7 million, or 84.3% of total revenue, for the corresponding period in 2019.</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Based on Gartner’s December 2019 estimates, the market for global wafer cleaning equipment (auto wet stations, single-wafer processors, and other clean process) grew by 20% to $3.46 billion in 2018, decreased by 5% to $3.28 billion in 2019, and was expected to decrease by 6% to $3.07 billion in 2020. We estimate, based on third-party reports and on customer and other information, that our cleaning products address more than 80% of this global wafer cleaning equipment market.</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105 single-wafer wet cleaning and other front-end processing tools, more than 95 of which have been accepted by customers and thereby generated revenue to us and the balance of which are awaiting customer acceptance should contractual conditions be met.</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Since our formation in 1998, we have focused on building a strategic portfolio of intellectual property to support and protect our key innovations. Our tools have been developed using our key proprietary technologies:</w:t>
      </w:r>
    </w:p>
    <w:p>
      <w:pPr>
        <w:spacing w:after="0" w:line="185" w:lineRule="exact"/>
        <w:rPr>
          <w:sz w:val="20"/>
          <w:szCs w:val="20"/>
          <w:color w:val="auto"/>
        </w:rPr>
      </w:pPr>
    </w:p>
    <w:p>
      <w:pPr>
        <w:ind w:left="320" w:hanging="316"/>
        <w:spacing w:after="0" w:line="263"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Space Alternated Phase Shift, or SAPS, technology for flat and patterned wafer surfaces (such as via or deep trench with stronger structure)</w:t>
      </w:r>
      <w:r>
        <w:rPr>
          <w:rFonts w:ascii="Arial" w:cs="Arial" w:eastAsia="Arial" w:hAnsi="Arial"/>
          <w:sz w:val="17"/>
          <w:szCs w:val="17"/>
          <w:color w:val="auto"/>
        </w:rPr>
        <w:t>, which employs</w:t>
      </w:r>
      <w:r>
        <w:rPr>
          <w:rFonts w:ascii="Arial" w:cs="Arial" w:eastAsia="Arial" w:hAnsi="Arial"/>
          <w:sz w:val="17"/>
          <w:szCs w:val="17"/>
          <w:i w:val="1"/>
          <w:iCs w:val="1"/>
          <w:color w:val="auto"/>
        </w:rPr>
        <w:t xml:space="preserve"> </w:t>
      </w:r>
      <w:r>
        <w:rPr>
          <w:rFonts w:ascii="Arial" w:cs="Arial" w:eastAsia="Arial" w:hAnsi="Arial"/>
          <w:sz w:val="17"/>
          <w:szCs w:val="17"/>
          <w:color w:val="auto"/>
        </w:rPr>
        <w:t>alternating phases of megasonic waves to deliver megasonic energy in a highly uniform manner on a microscopic level;</w:t>
      </w:r>
    </w:p>
    <w:p>
      <w:pPr>
        <w:spacing w:after="0" w:line="1" w:lineRule="exact"/>
        <w:rPr>
          <w:rFonts w:ascii="Arial" w:cs="Arial" w:eastAsia="Arial" w:hAnsi="Arial"/>
          <w:sz w:val="17"/>
          <w:szCs w:val="17"/>
          <w:color w:val="auto"/>
        </w:rPr>
      </w:pPr>
    </w:p>
    <w:p>
      <w:pPr>
        <w:ind w:left="320" w:hanging="316"/>
        <w:spacing w:after="0" w:line="256"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Timely Energized Bubble Oscillation, or TEBO, technology for patterned wafer surfaces at advanced process nodes</w:t>
      </w:r>
      <w:r>
        <w:rPr>
          <w:rFonts w:ascii="Arial" w:cs="Arial" w:eastAsia="Arial" w:hAnsi="Arial"/>
          <w:sz w:val="17"/>
          <w:szCs w:val="17"/>
          <w:color w:val="auto"/>
        </w:rPr>
        <w:t>, which provides effective, damage-free</w:t>
      </w:r>
      <w:r>
        <w:rPr>
          <w:rFonts w:ascii="Arial" w:cs="Arial" w:eastAsia="Arial" w:hAnsi="Arial"/>
          <w:sz w:val="17"/>
          <w:szCs w:val="17"/>
          <w:i w:val="1"/>
          <w:iCs w:val="1"/>
          <w:color w:val="auto"/>
        </w:rPr>
        <w:t xml:space="preserve"> </w:t>
      </w:r>
      <w:r>
        <w:rPr>
          <w:rFonts w:ascii="Arial" w:cs="Arial" w:eastAsia="Arial" w:hAnsi="Arial"/>
          <w:sz w:val="17"/>
          <w:szCs w:val="17"/>
          <w:color w:val="auto"/>
        </w:rPr>
        <w:t>cleaning for 2D and 3D patterned wafers with fine feature sizes;</w:t>
      </w:r>
    </w:p>
    <w:p>
      <w:pPr>
        <w:ind w:left="320" w:hanging="316"/>
        <w:spacing w:after="0" w:line="256"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Tahoe technology for cost and environmental savings</w:t>
      </w:r>
      <w:r>
        <w:rPr>
          <w:rFonts w:ascii="Arial" w:cs="Arial" w:eastAsia="Arial" w:hAnsi="Arial"/>
          <w:sz w:val="17"/>
          <w:szCs w:val="17"/>
          <w:color w:val="auto"/>
        </w:rPr>
        <w:t>, which delivers high cleaning performance using significantly less sulfuric acid and hydrogen peroxide</w:t>
      </w:r>
      <w:r>
        <w:rPr>
          <w:rFonts w:ascii="Arial" w:cs="Arial" w:eastAsia="Arial" w:hAnsi="Arial"/>
          <w:sz w:val="17"/>
          <w:szCs w:val="17"/>
          <w:i w:val="1"/>
          <w:iCs w:val="1"/>
          <w:color w:val="auto"/>
        </w:rPr>
        <w:t xml:space="preserve"> </w:t>
      </w:r>
      <w:r>
        <w:rPr>
          <w:rFonts w:ascii="Arial" w:cs="Arial" w:eastAsia="Arial" w:hAnsi="Arial"/>
          <w:sz w:val="17"/>
          <w:szCs w:val="17"/>
          <w:color w:val="auto"/>
        </w:rPr>
        <w:t>than is typically consumed by conventional high-temperature single-wafer cleaning tools; and</w:t>
      </w:r>
    </w:p>
    <w:p>
      <w:pPr>
        <w:ind w:left="320" w:hanging="316"/>
        <w:spacing w:after="0" w:line="272"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Electro-Chemical Plating, or ECP, technology for advanced metal plating</w:t>
      </w:r>
      <w:r>
        <w:rPr>
          <w:rFonts w:ascii="Arial" w:cs="Arial" w:eastAsia="Arial" w:hAnsi="Arial"/>
          <w:sz w:val="17"/>
          <w:szCs w:val="17"/>
          <w:color w:val="auto"/>
        </w:rPr>
        <w:t>, which includes Ultra ECP AP, or Advanced Packaging, technology for back-end</w:t>
      </w:r>
      <w:r>
        <w:rPr>
          <w:rFonts w:ascii="Arial" w:cs="Arial" w:eastAsia="Arial" w:hAnsi="Arial"/>
          <w:sz w:val="17"/>
          <w:szCs w:val="17"/>
          <w:i w:val="1"/>
          <w:iCs w:val="1"/>
          <w:color w:val="auto"/>
        </w:rPr>
        <w:t xml:space="preserve"> </w:t>
      </w:r>
      <w:r>
        <w:rPr>
          <w:rFonts w:ascii="Arial" w:cs="Arial" w:eastAsia="Arial" w:hAnsi="Arial"/>
          <w:sz w:val="17"/>
          <w:szCs w:val="17"/>
          <w:color w:val="auto"/>
        </w:rPr>
        <w:t>assembly processes and Ultra ECP MAP, or Multi-Anode Partial Plating, technology for front-end wafer fabrication processes.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conduct substantially all of our product development, manufacturing, support and services in the People’s Republic of China, or the PRC. All of our tools are built to order at our manufacturing facilities in the Pudong region of Shanghai, which now encompass a total of 136,000 square feet of floor space for production capacity, with 50,000 square feet having been added in the second quarter of 2020 through an expansion of our second facility in the Pudong region of Shanghai. In May 2020 ACM Shanghai, through its wholly owned subsidiary Shengwei Research (Shanghai), Inc., entered into an agreement for land use rights in the Lingang region of Shanghai and paid a deposit for such rights. In July 2020 Shengwei Research (Shanghai), Inc. began a multi-year construction project for a new development and production center. The planned 1,000,000 square foot facility will incorporate state-of-the-art manufacturing systems and automation technologies, and will provide the floor space to support significantly more production capacity and related research and development activities when fully-staffed and supplied.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and ECP technologies, and enable us to design innovative products and solutions to address their needs.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have been issued more than 285 patents in the United States, the PRC, Japan, Korea, Singapore and Taiwan.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ACM Research was incorporated in California in 1998 and redomesticated in Delaware in 2016. We perform strategic planning, marketing, and financial activities at our global corporate headquarters in Fremont, California.</w:t>
      </w:r>
    </w:p>
    <w:p>
      <w:pPr>
        <w:spacing w:after="0" w:line="159"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Initially we focused on developing tools for chip manufacturing process steps involving the integration of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198" w:lineRule="exact"/>
        <w:rPr>
          <w:sz w:val="20"/>
          <w:szCs w:val="20"/>
          <w:color w:val="auto"/>
        </w:rPr>
      </w:pPr>
    </w:p>
    <w:p>
      <w:pPr>
        <w:ind w:left="320" w:hanging="316"/>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2009 we introduced </w:t>
      </w:r>
      <w:r>
        <w:rPr>
          <w:rFonts w:ascii="Arial" w:cs="Arial" w:eastAsia="Arial" w:hAnsi="Arial"/>
          <w:sz w:val="16"/>
          <w:szCs w:val="16"/>
          <w:i w:val="1"/>
          <w:iCs w:val="1"/>
          <w:color w:val="auto"/>
        </w:rPr>
        <w:t>SAPS</w:t>
      </w:r>
      <w:r>
        <w:rPr>
          <w:rFonts w:ascii="Arial" w:cs="Arial" w:eastAsia="Arial" w:hAnsi="Arial"/>
          <w:sz w:val="16"/>
          <w:szCs w:val="16"/>
          <w:color w:val="auto"/>
        </w:rPr>
        <w:t xml:space="preserve"> megasonic technology, which can be applied in wet wafer cleaning at numerous steps during the chip fabrication process.</w:t>
      </w:r>
    </w:p>
    <w:p>
      <w:pPr>
        <w:spacing w:after="0" w:line="37" w:lineRule="exact"/>
        <w:rPr>
          <w:rFonts w:ascii="Arial" w:cs="Arial" w:eastAsia="Arial" w:hAnsi="Arial"/>
          <w:sz w:val="16"/>
          <w:szCs w:val="16"/>
          <w:color w:val="auto"/>
        </w:rPr>
      </w:pPr>
    </w:p>
    <w:p>
      <w:pPr>
        <w:ind w:left="320" w:hanging="316"/>
        <w:spacing w:after="0" w:line="256"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2016 we introduced </w:t>
      </w:r>
      <w:r>
        <w:rPr>
          <w:rFonts w:ascii="Arial" w:cs="Arial" w:eastAsia="Arial" w:hAnsi="Arial"/>
          <w:sz w:val="17"/>
          <w:szCs w:val="17"/>
          <w:i w:val="1"/>
          <w:iCs w:val="1"/>
          <w:color w:val="auto"/>
        </w:rPr>
        <w:t>TEBO</w:t>
      </w:r>
      <w:r>
        <w:rPr>
          <w:rFonts w:ascii="Arial" w:cs="Arial" w:eastAsia="Arial" w:hAnsi="Arial"/>
          <w:sz w:val="17"/>
          <w:szCs w:val="17"/>
          <w:color w:val="auto"/>
        </w:rPr>
        <w:t xml:space="preserve"> technology, which can be applied at numerous steps during the fabrication of small node conventional two-dimensional and three-dimensional patterned wafers.</w:t>
      </w:r>
    </w:p>
    <w:p>
      <w:pPr>
        <w:ind w:left="320" w:hanging="316"/>
        <w:spacing w:after="0" w:line="256"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August 2018 we introduced the </w:t>
      </w:r>
      <w:r>
        <w:rPr>
          <w:rFonts w:ascii="Arial" w:cs="Arial" w:eastAsia="Arial" w:hAnsi="Arial"/>
          <w:sz w:val="17"/>
          <w:szCs w:val="17"/>
          <w:i w:val="1"/>
          <w:iCs w:val="1"/>
          <w:color w:val="auto"/>
        </w:rPr>
        <w:t>Ultra-C Tahoe</w:t>
      </w:r>
      <w:r>
        <w:rPr>
          <w:rFonts w:ascii="Arial" w:cs="Arial" w:eastAsia="Arial" w:hAnsi="Arial"/>
          <w:sz w:val="17"/>
          <w:szCs w:val="17"/>
          <w:color w:val="auto"/>
        </w:rPr>
        <w:t xml:space="preserve"> wafer cleaning tool, which delivers high cleaning performance with significantly less sulfuric acid than typically consumed by conventional high temperature single-wafer cleaning tools.</w:t>
      </w:r>
    </w:p>
    <w:p>
      <w:pPr>
        <w:jc w:val="both"/>
        <w:ind w:left="320" w:hanging="316"/>
        <w:spacing w:after="0" w:line="256"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March 2019 we introduced (a) the </w:t>
      </w:r>
      <w:r>
        <w:rPr>
          <w:rFonts w:ascii="Arial" w:cs="Arial" w:eastAsia="Arial" w:hAnsi="Arial"/>
          <w:sz w:val="17"/>
          <w:szCs w:val="17"/>
          <w:i w:val="1"/>
          <w:iCs w:val="1"/>
          <w:color w:val="auto"/>
        </w:rPr>
        <w:t>Ultra ECP AP</w:t>
      </w:r>
      <w:r>
        <w:rPr>
          <w:rFonts w:ascii="Arial" w:cs="Arial" w:eastAsia="Arial" w:hAnsi="Arial"/>
          <w:sz w:val="17"/>
          <w:szCs w:val="17"/>
          <w:color w:val="auto"/>
        </w:rPr>
        <w:t xml:space="preserve"> or Advanced Wafer Level Packaging tool, a back-end assembly tool used for bumping, or applying copper, tin and nickel to wafers at the die-level prior to packaging, and (b) the </w:t>
      </w:r>
      <w:r>
        <w:rPr>
          <w:rFonts w:ascii="Arial" w:cs="Arial" w:eastAsia="Arial" w:hAnsi="Arial"/>
          <w:sz w:val="17"/>
          <w:szCs w:val="17"/>
          <w:i w:val="1"/>
          <w:iCs w:val="1"/>
          <w:color w:val="auto"/>
        </w:rPr>
        <w:t>Ultra ECP MAP</w:t>
      </w:r>
      <w:r>
        <w:rPr>
          <w:rFonts w:ascii="Arial" w:cs="Arial" w:eastAsia="Arial" w:hAnsi="Arial"/>
          <w:sz w:val="17"/>
          <w:szCs w:val="17"/>
          <w:color w:val="auto"/>
        </w:rPr>
        <w:t xml:space="preserve"> or Multi Anode Plating tool, a front-end process tool that utilizes our proprietary technology to deliver world-class electrochemical copper planting for copper interconnect applications.</w:t>
      </w:r>
    </w:p>
    <w:p>
      <w:pPr>
        <w:spacing w:after="0" w:line="1" w:lineRule="exact"/>
        <w:rPr>
          <w:rFonts w:ascii="Arial" w:cs="Arial" w:eastAsia="Arial" w:hAnsi="Arial"/>
          <w:sz w:val="17"/>
          <w:szCs w:val="17"/>
          <w:color w:val="auto"/>
        </w:rPr>
      </w:pPr>
    </w:p>
    <w:p>
      <w:pPr>
        <w:ind w:left="320" w:hanging="316"/>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April 2020 we introduced the </w:t>
      </w:r>
      <w:r>
        <w:rPr>
          <w:rFonts w:ascii="Arial" w:cs="Arial" w:eastAsia="Arial" w:hAnsi="Arial"/>
          <w:sz w:val="17"/>
          <w:szCs w:val="17"/>
          <w:i w:val="1"/>
          <w:iCs w:val="1"/>
          <w:color w:val="auto"/>
        </w:rPr>
        <w:t>Ultra Furnace</w:t>
      </w:r>
      <w:r>
        <w:rPr>
          <w:rFonts w:ascii="Arial" w:cs="Arial" w:eastAsia="Arial" w:hAnsi="Arial"/>
          <w:sz w:val="17"/>
          <w:szCs w:val="17"/>
          <w:color w:val="auto"/>
        </w:rPr>
        <w:t>, our first system developed for multiple dry processing applications.</w:t>
      </w:r>
    </w:p>
    <w:p>
      <w:pPr>
        <w:spacing w:after="0" w:line="13" w:lineRule="exact"/>
        <w:rPr>
          <w:rFonts w:ascii="Arial" w:cs="Arial" w:eastAsia="Arial" w:hAnsi="Arial"/>
          <w:sz w:val="17"/>
          <w:szCs w:val="17"/>
          <w:color w:val="auto"/>
        </w:rPr>
      </w:pPr>
    </w:p>
    <w:p>
      <w:pPr>
        <w:ind w:left="320" w:hanging="316"/>
        <w:spacing w:after="0" w:line="272"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May 2020 we introduced the </w:t>
      </w:r>
      <w:r>
        <w:rPr>
          <w:rFonts w:ascii="Arial" w:cs="Arial" w:eastAsia="Arial" w:hAnsi="Arial"/>
          <w:sz w:val="17"/>
          <w:szCs w:val="17"/>
          <w:i w:val="1"/>
          <w:iCs w:val="1"/>
          <w:color w:val="auto"/>
        </w:rPr>
        <w:t>Ultra C Family</w:t>
      </w:r>
      <w:r>
        <w:rPr>
          <w:rFonts w:ascii="Arial" w:cs="Arial" w:eastAsia="Arial" w:hAnsi="Arial"/>
          <w:sz w:val="17"/>
          <w:szCs w:val="17"/>
          <w:color w:val="auto"/>
        </w:rPr>
        <w:t xml:space="preserve"> of semi-critical cleaning systems, including the </w:t>
      </w:r>
      <w:r>
        <w:rPr>
          <w:rFonts w:ascii="Arial" w:cs="Arial" w:eastAsia="Arial" w:hAnsi="Arial"/>
          <w:sz w:val="17"/>
          <w:szCs w:val="17"/>
          <w:i w:val="1"/>
          <w:iCs w:val="1"/>
          <w:color w:val="auto"/>
        </w:rPr>
        <w:t>Ultra C b</w:t>
      </w:r>
      <w:r>
        <w:rPr>
          <w:rFonts w:ascii="Arial" w:cs="Arial" w:eastAsia="Arial" w:hAnsi="Arial"/>
          <w:sz w:val="17"/>
          <w:szCs w:val="17"/>
          <w:color w:val="auto"/>
        </w:rPr>
        <w:t xml:space="preserve"> for backside clean, the </w:t>
      </w:r>
      <w:r>
        <w:rPr>
          <w:rFonts w:ascii="Arial" w:cs="Arial" w:eastAsia="Arial" w:hAnsi="Arial"/>
          <w:sz w:val="17"/>
          <w:szCs w:val="17"/>
          <w:i w:val="1"/>
          <w:iCs w:val="1"/>
          <w:color w:val="auto"/>
        </w:rPr>
        <w:t>Ultra C wb</w:t>
      </w:r>
      <w:r>
        <w:rPr>
          <w:rFonts w:ascii="Arial" w:cs="Arial" w:eastAsia="Arial" w:hAnsi="Arial"/>
          <w:sz w:val="17"/>
          <w:szCs w:val="17"/>
          <w:color w:val="auto"/>
        </w:rPr>
        <w:t xml:space="preserve"> automated wet bench, and the </w:t>
      </w:r>
      <w:r>
        <w:rPr>
          <w:rFonts w:ascii="Arial" w:cs="Arial" w:eastAsia="Arial" w:hAnsi="Arial"/>
          <w:sz w:val="17"/>
          <w:szCs w:val="17"/>
          <w:i w:val="1"/>
          <w:iCs w:val="1"/>
          <w:color w:val="auto"/>
        </w:rPr>
        <w:t>Ultra C s</w:t>
      </w:r>
      <w:r>
        <w:rPr>
          <w:rFonts w:ascii="Arial" w:cs="Arial" w:eastAsia="Arial" w:hAnsi="Arial"/>
          <w:sz w:val="17"/>
          <w:szCs w:val="17"/>
          <w:color w:val="auto"/>
        </w:rPr>
        <w:t xml:space="preserve"> scrubber.</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59" w:lineRule="exact"/>
        <w:rPr>
          <w:sz w:val="20"/>
          <w:szCs w:val="20"/>
          <w:color w:val="auto"/>
        </w:rPr>
      </w:pPr>
    </w:p>
    <w:p>
      <w:pPr>
        <w:ind w:left="320" w:hanging="316"/>
        <w:spacing w:after="0" w:line="263"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2011 we formed a wholly owned subsidiary in the PRC, </w:t>
      </w:r>
      <w:r>
        <w:rPr>
          <w:rFonts w:ascii="Arial" w:cs="Arial" w:eastAsia="Arial" w:hAnsi="Arial"/>
          <w:sz w:val="17"/>
          <w:szCs w:val="17"/>
          <w:i w:val="1"/>
          <w:iCs w:val="1"/>
          <w:color w:val="auto"/>
        </w:rPr>
        <w:t>ACM Research (Wuxi), Inc.</w:t>
      </w:r>
      <w:r>
        <w:rPr>
          <w:rFonts w:ascii="Arial" w:cs="Arial" w:eastAsia="Arial" w:hAnsi="Arial"/>
          <w:sz w:val="17"/>
          <w:szCs w:val="17"/>
          <w:color w:val="auto"/>
        </w:rPr>
        <w:t>, which now is a wholly owned subsidiary of ACM Shanghai, to manage sales and service operations.</w:t>
      </w:r>
    </w:p>
    <w:p>
      <w:pPr>
        <w:spacing w:after="0" w:line="1" w:lineRule="exact"/>
        <w:rPr>
          <w:rFonts w:ascii="Arial" w:cs="Arial" w:eastAsia="Arial" w:hAnsi="Arial"/>
          <w:sz w:val="17"/>
          <w:szCs w:val="17"/>
          <w:color w:val="auto"/>
        </w:rPr>
      </w:pPr>
    </w:p>
    <w:p>
      <w:pPr>
        <w:jc w:val="both"/>
        <w:ind w:left="320" w:hanging="316"/>
        <w:spacing w:after="0" w:line="256"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June 2017 we formed a subsidiary in Hong Kong, </w:t>
      </w:r>
      <w:r>
        <w:rPr>
          <w:rFonts w:ascii="Arial" w:cs="Arial" w:eastAsia="Arial" w:hAnsi="Arial"/>
          <w:sz w:val="17"/>
          <w:szCs w:val="17"/>
          <w:i w:val="1"/>
          <w:iCs w:val="1"/>
          <w:color w:val="auto"/>
        </w:rPr>
        <w:t>CleanChip Technologies Limited</w:t>
      </w:r>
      <w:r>
        <w:rPr>
          <w:rFonts w:ascii="Arial" w:cs="Arial" w:eastAsia="Arial" w:hAnsi="Arial"/>
          <w:sz w:val="17"/>
          <w:szCs w:val="17"/>
          <w:color w:val="auto"/>
        </w:rPr>
        <w:t>, which now is a wholly 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 w:lineRule="exact"/>
        <w:rPr>
          <w:rFonts w:ascii="Arial" w:cs="Arial" w:eastAsia="Arial" w:hAnsi="Arial"/>
          <w:sz w:val="17"/>
          <w:szCs w:val="17"/>
          <w:color w:val="auto"/>
        </w:rPr>
      </w:pPr>
    </w:p>
    <w:p>
      <w:pPr>
        <w:ind w:left="320" w:hanging="316"/>
        <w:spacing w:after="0" w:line="256"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December 2017 we formed a subsidiary in the Republic of Korea, </w:t>
      </w:r>
      <w:r>
        <w:rPr>
          <w:rFonts w:ascii="Arial" w:cs="Arial" w:eastAsia="Arial" w:hAnsi="Arial"/>
          <w:sz w:val="17"/>
          <w:szCs w:val="17"/>
          <w:i w:val="1"/>
          <w:iCs w:val="1"/>
          <w:color w:val="auto"/>
        </w:rPr>
        <w:t>ACM Research Korea CO., LTD.</w:t>
      </w:r>
      <w:r>
        <w:rPr>
          <w:rFonts w:ascii="Arial" w:cs="Arial" w:eastAsia="Arial" w:hAnsi="Arial"/>
          <w:sz w:val="17"/>
          <w:szCs w:val="17"/>
          <w:color w:val="auto"/>
        </w:rPr>
        <w:t>, which now is a wholly owned subsidiary of ACM Shanghai, to serve our customers based in the Republic of Korea and perform sales, marketing, and research and development activities.</w:t>
      </w:r>
    </w:p>
    <w:p>
      <w:pPr>
        <w:ind w:left="320" w:hanging="316"/>
        <w:spacing w:after="0" w:line="272"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March 2019 ACM Shanghai formed a wholly owned subsidiary in the PRC, </w:t>
      </w:r>
      <w:r>
        <w:rPr>
          <w:rFonts w:ascii="Arial" w:cs="Arial" w:eastAsia="Arial" w:hAnsi="Arial"/>
          <w:sz w:val="17"/>
          <w:szCs w:val="17"/>
          <w:i w:val="1"/>
          <w:iCs w:val="1"/>
          <w:color w:val="auto"/>
        </w:rPr>
        <w:t>Shengwei Research (Shanghai), Inc</w:t>
      </w:r>
      <w:r>
        <w:rPr>
          <w:rFonts w:ascii="Arial" w:cs="Arial" w:eastAsia="Arial" w:hAnsi="Arial"/>
          <w:sz w:val="17"/>
          <w:szCs w:val="17"/>
          <w:color w:val="auto"/>
        </w:rPr>
        <w:t>., to manage activities related to addition of future long-term production capacity.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Korea and throughout Asia, providing convenient access and reduced shipping and manufacturing costs.</w:t>
      </w:r>
    </w:p>
    <w:p>
      <w:pPr>
        <w:spacing w:after="0" w:line="171" w:lineRule="exact"/>
        <w:rPr>
          <w:sz w:val="20"/>
          <w:szCs w:val="20"/>
          <w:color w:val="auto"/>
        </w:rPr>
      </w:pPr>
    </w:p>
    <w:p>
      <w:pPr>
        <w:ind w:left="320" w:hanging="316"/>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initial factory is located in the Pudong Region of Shanghai and has a total of 36,000 square feet of available floor space.</w:t>
      </w:r>
    </w:p>
    <w:p>
      <w:pPr>
        <w:spacing w:after="0" w:line="25" w:lineRule="exact"/>
        <w:rPr>
          <w:rFonts w:ascii="Arial" w:cs="Arial" w:eastAsia="Arial" w:hAnsi="Arial"/>
          <w:sz w:val="17"/>
          <w:szCs w:val="17"/>
          <w:color w:val="auto"/>
        </w:rPr>
      </w:pPr>
    </w:p>
    <w:p>
      <w:pPr>
        <w:ind w:left="320" w:hanging="316"/>
        <w:spacing w:after="0" w:line="256"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September 2018 we announced the opening of a second factory, also in the Pudong region of Shanghai. This facility initially had a total of 50,000 square feet of available floor space for production capacity, which was increased by 50,000 square feet in the second quarter of 2020.</w:t>
      </w:r>
    </w:p>
    <w:p>
      <w:pPr>
        <w:ind w:left="320" w:hanging="316"/>
        <w:spacing w:after="0" w:line="272"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STAR Market Listing and IPO</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In June 2019 we announced our intention to complete:</w:t>
      </w:r>
    </w:p>
    <w:p>
      <w:pPr>
        <w:spacing w:after="0" w:line="248" w:lineRule="exact"/>
        <w:rPr>
          <w:sz w:val="20"/>
          <w:szCs w:val="20"/>
          <w:color w:val="auto"/>
        </w:rPr>
      </w:pPr>
    </w:p>
    <w:p>
      <w:pPr>
        <w:ind w:left="320" w:hanging="316"/>
        <w:spacing w:after="0" w:line="263"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listing, which we refer to as the STAR Listing, of shares of ACM Shanghai on the Shanghai Stock Exchange’s Sci-Tech innovAtion boaRd, known as the STAR Market; and</w:t>
      </w:r>
    </w:p>
    <w:p>
      <w:pPr>
        <w:spacing w:after="0" w:line="1" w:lineRule="exact"/>
        <w:rPr>
          <w:rFonts w:ascii="Arial" w:cs="Arial" w:eastAsia="Arial" w:hAnsi="Arial"/>
          <w:sz w:val="17"/>
          <w:szCs w:val="17"/>
          <w:color w:val="auto"/>
        </w:rPr>
      </w:pPr>
    </w:p>
    <w:p>
      <w:pPr>
        <w:ind w:left="320" w:hanging="316"/>
        <w:spacing w:after="0" w:line="272"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concurrent initial public offering, which we refer to as the STAR IPO, of ACM Shanghai shares in the PRC, at a pre-offering valuation of not less than RMB 5.15 billion ($747.1 million).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STAR Listing will help us scale our business in mainland PRC, as we continue to seek to broaden our markets in Europe, Japan, Korea, Taiwan and the United States. Our global headquarters will continue to be located in Fremont, California, and we are committed to maintaining the listing of Class A common stock on the Nasdaq Global Market.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qualify for the STAR Listing, ACM Shanghai was required to have multiple independent stockholders in the PRC. In June and November 2019, ACM Shanghai entered into private placement agreements with fifteen investors pursuant to which the investors purchased ACM Shanghai shares for a total of RMB 416.1 million ($59.7 million as of the investment dates). As of June 30, 2020, 91.7% of the outstanding shares of ACM Shanghai were owned by ACM Research and 8.3% were owned by the private placement investors.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Upon the submission of application documents by ACM Shanghai for the STAR Listing and STAR IPO to the Shanghai Stock Exchange during the second quarter of 2020, the shares of ACM Shanghai issued to the private placement investors were reclassified from redeemable non-controlling interests to non-controlling interests. Upon the termination of such redemption feature, we released the aggregate proceeds of the private placement funding from reserved cash, which we previously had voluntarily imposed in light of a potential redemption.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ACM Shanghai currently proposes to offer up to ten percent of its shares in the STAR IPO. The net proceeds of the STAR IPO are expected to be used to fund:</w:t>
      </w:r>
    </w:p>
    <w:p>
      <w:pPr>
        <w:spacing w:after="0" w:line="200" w:lineRule="exact"/>
        <w:rPr>
          <w:sz w:val="20"/>
          <w:szCs w:val="20"/>
          <w:color w:val="auto"/>
        </w:rPr>
      </w:pPr>
    </w:p>
    <w:p>
      <w:pPr>
        <w:spacing w:after="0" w:line="306"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land lease and building construction for ACM Shanghai’s proposed development and production center in the Lingang region of Shanghai;</w:t>
      </w:r>
    </w:p>
    <w:p>
      <w:pPr>
        <w:spacing w:after="0" w:line="25" w:lineRule="exact"/>
        <w:rPr>
          <w:rFonts w:ascii="Arial" w:cs="Arial" w:eastAsia="Arial" w:hAnsi="Arial"/>
          <w:sz w:val="17"/>
          <w:szCs w:val="17"/>
          <w:color w:val="auto"/>
        </w:rPr>
      </w:pPr>
    </w:p>
    <w:p>
      <w:pPr>
        <w:jc w:val="both"/>
        <w:ind w:left="320" w:hanging="314"/>
        <w:spacing w:after="0" w:line="256"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development to upgrade and expand our process equipment targeted at more advanced process nodes, including technical improvement and development of TEBO megasonic cleaning equipment, Tahoe single wafer wet bench combined cleaning equipment, front-end brush scrubbing equipment, front end process electroplating equipment, Stress Free Polish equipment and vertical furnace equipment; and</w:t>
      </w:r>
    </w:p>
    <w:p>
      <w:pPr>
        <w:spacing w:after="0" w:line="1" w:lineRule="exact"/>
        <w:rPr>
          <w:rFonts w:ascii="Arial" w:cs="Arial" w:eastAsia="Arial" w:hAnsi="Arial"/>
          <w:sz w:val="17"/>
          <w:szCs w:val="17"/>
          <w:color w:val="auto"/>
        </w:rPr>
      </w:pPr>
    </w:p>
    <w:p>
      <w:pPr>
        <w:ind w:left="320" w:hanging="314"/>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working capital.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Outbreak</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Following its initial outbreak in December 2019, COVID–19, or the coronavirus, spread across the PRC, the United States and globally. The COVID–19 outbreak affected our business and operating results for the first quarter of 2020. The COVID–19 situation continues to develop rapidly, and it is impossible for us to predict the effect and ultimate impact of the COVID–19 outbreak on our business operations and results. While the quarantine, social distancing and other regulatory measures instituted or recommended in response to COVID–19 are expected to be temporary, the duration of the business disruptions, and related financial impact, of the outbreak cannot be estimated at this time. For an explanation of some of the risks we potentially face, please read carefully the information provided under “Item 1A. Risk Factors—Risks Related to the COVID–19 Outbreak,” of Part I of our Annual Report which is incorporated by reference in “Item 1A. Risk Factors” of Part II of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reflects our expectations and estimates based on information known to us as of the date of this filing:</w:t>
      </w:r>
    </w:p>
    <w:p>
      <w:pPr>
        <w:spacing w:after="0" w:line="222" w:lineRule="exact"/>
        <w:rPr>
          <w:sz w:val="20"/>
          <w:szCs w:val="20"/>
          <w:color w:val="auto"/>
        </w:rPr>
      </w:pPr>
    </w:p>
    <w:p>
      <w:pPr>
        <w:jc w:val="both"/>
        <w:ind w:left="320" w:hanging="314"/>
        <w:spacing w:after="0" w:line="278"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Operations</w:t>
      </w:r>
      <w:r>
        <w:rPr>
          <w:rFonts w:ascii="Arial" w:cs="Arial" w:eastAsia="Arial" w:hAnsi="Arial"/>
          <w:sz w:val="16"/>
          <w:szCs w:val="16"/>
          <w:color w:val="auto"/>
        </w:rPr>
        <w:t>: We conduct substantially all of our product development, manufacturing, support and services in the PRC, and those activities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impacted by the COVID–19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took steps before and after the Lunar New Year to ensure no employees took unreasonable risks to rush back to work. Currently substantially all of our staff have returned to work at both of our Shanghai facilities. To date we have not experienced absenteeism of management or other key employees, other than certain of our executive officers being delayed in traveling back to the PRC after working from our California office in February. Our corporate headquarters are located in Alameda County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spacing w:after="0" w:line="196" w:lineRule="exact"/>
        <w:rPr>
          <w:rFonts w:ascii="Arial" w:cs="Arial" w:eastAsia="Arial" w:hAnsi="Arial"/>
          <w:sz w:val="16"/>
          <w:szCs w:val="16"/>
          <w:color w:val="auto"/>
        </w:rPr>
      </w:pPr>
    </w:p>
    <w:p>
      <w:pPr>
        <w:jc w:val="both"/>
        <w:ind w:left="320" w:hanging="314"/>
        <w:spacing w:after="0" w:line="294"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Customers</w:t>
      </w:r>
      <w:r>
        <w:rPr>
          <w:rFonts w:ascii="Arial" w:cs="Arial" w:eastAsia="Arial" w:hAnsi="Arial"/>
          <w:sz w:val="15"/>
          <w:szCs w:val="15"/>
          <w:color w:val="auto"/>
        </w:rPr>
        <w:t>: Our customers’ business operations have been, and are continuing to be, subject to business interruptions arising from the COVID–19 outbreak.</w:t>
      </w:r>
      <w:r>
        <w:rPr>
          <w:rFonts w:ascii="Arial" w:cs="Arial" w:eastAsia="Arial" w:hAnsi="Arial"/>
          <w:sz w:val="15"/>
          <w:szCs w:val="15"/>
          <w:i w:val="1"/>
          <w:iCs w:val="1"/>
          <w:color w:val="auto"/>
        </w:rPr>
        <w:t xml:space="preserve"> </w:t>
      </w:r>
      <w:r>
        <w:rPr>
          <w:rFonts w:ascii="Arial" w:cs="Arial" w:eastAsia="Arial" w:hAnsi="Arial"/>
          <w:sz w:val="15"/>
          <w:szCs w:val="15"/>
          <w:color w:val="auto"/>
        </w:rPr>
        <w:t>Historically a majority of our revenue from sales of single-wafer wet cleaning equipment for front-end manufacturing has been derived from customers located in the PRC and surrounding areas that have been impacted by COVID–19. Three customers that accounted for 73.8% of our revenue in 2019 and 87.6% of our revenue in 2018 are based in the PRC and Korea. One of those customers, Yangtze Memory Technologies Co., Ltd. — which accounted for</w:t>
      </w:r>
    </w:p>
    <w:p>
      <w:pPr>
        <w:spacing w:after="0" w:line="2" w:lineRule="exact"/>
        <w:rPr>
          <w:rFonts w:ascii="Arial" w:cs="Arial" w:eastAsia="Arial" w:hAnsi="Arial"/>
          <w:sz w:val="15"/>
          <w:szCs w:val="15"/>
          <w:color w:val="auto"/>
        </w:rPr>
      </w:pPr>
    </w:p>
    <w:p>
      <w:pPr>
        <w:jc w:val="both"/>
        <w:ind w:left="320"/>
        <w:spacing w:after="0" w:line="261" w:lineRule="auto"/>
        <w:rPr>
          <w:rFonts w:ascii="Arial" w:cs="Arial" w:eastAsia="Arial" w:hAnsi="Arial"/>
          <w:sz w:val="15"/>
          <w:szCs w:val="15"/>
          <w:color w:val="auto"/>
        </w:rPr>
      </w:pPr>
      <w:r>
        <w:rPr>
          <w:rFonts w:ascii="Arial" w:cs="Arial" w:eastAsia="Arial" w:hAnsi="Arial"/>
          <w:sz w:val="17"/>
          <w:szCs w:val="17"/>
          <w:color w:val="auto"/>
        </w:rPr>
        <w:t>27.5% of our 2019 revenue and 39.6% of our 2018 revenue — is based in Wuhan. While Yangtze Memory Technologies Co., Ltd. and other key customers continued to operate their fabrication facilities without interruption during and after the first quarter of 2020, they were forced to restrict access of service personnel and deliveries to and from their facilities. A portion of the shipments we previously had expected to deliver in the first quarter of 2020 were postponed due to these factors, and were subsequently delivered in the second quarter of 2020.</w:t>
      </w:r>
    </w:p>
    <w:p>
      <w:pPr>
        <w:spacing w:after="0" w:line="207" w:lineRule="exact"/>
        <w:rPr>
          <w:rFonts w:ascii="Arial" w:cs="Arial" w:eastAsia="Arial" w:hAnsi="Arial"/>
          <w:sz w:val="15"/>
          <w:szCs w:val="15"/>
          <w:color w:val="auto"/>
        </w:rPr>
      </w:pPr>
    </w:p>
    <w:p>
      <w:pPr>
        <w:jc w:val="both"/>
        <w:ind w:left="320" w:hanging="314"/>
        <w:spacing w:after="0" w:line="266"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Suppliers</w:t>
      </w:r>
      <w:r>
        <w:rPr>
          <w:rFonts w:ascii="Arial" w:cs="Arial" w:eastAsia="Arial" w:hAnsi="Arial"/>
          <w:sz w:val="17"/>
          <w:szCs w:val="17"/>
          <w:color w:val="auto"/>
        </w:rPr>
        <w:t>: Our global supply chain includes components sourced from the PRC, Japan, Taiwan, the United States and Europe. While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outbreak has resulted in significant governmental measures being implemented to control the spread of COVID–19 around the world, to date we have not experienced material issues with our supply chain. As with our customers, we continue to be in close contact with our key suppliers to help ensure we are able to identify any potential supply issues that may arise.</w:t>
      </w:r>
    </w:p>
    <w:p>
      <w:pPr>
        <w:spacing w:after="0" w:line="203" w:lineRule="exact"/>
        <w:rPr>
          <w:rFonts w:ascii="Arial" w:cs="Arial" w:eastAsia="Arial" w:hAnsi="Arial"/>
          <w:sz w:val="17"/>
          <w:szCs w:val="17"/>
          <w:color w:val="auto"/>
        </w:rPr>
      </w:pPr>
    </w:p>
    <w:p>
      <w:pPr>
        <w:jc w:val="both"/>
        <w:ind w:left="320" w:hanging="314"/>
        <w:spacing w:after="0" w:line="264"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Projects</w:t>
      </w:r>
      <w:r>
        <w:rPr>
          <w:rFonts w:ascii="Arial" w:cs="Arial" w:eastAsia="Arial" w:hAnsi="Arial"/>
          <w:sz w:val="17"/>
          <w:szCs w:val="17"/>
          <w:color w:val="auto"/>
        </w:rPr>
        <w:t>: Our strategy includes a number of plans to support the growth of our core business, including the STAR Listing and STAR IPO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ACM Shanghai described above as well as ACM Shanghai’s recent acquisition of land rights in the Lingang area of Shanghai where we began construction of a new research and development center and factory in July 2020. The extent to which COVID–19 impacts these projects will depend on future developments that are highly uncertain, but to date, the timing of these ongoing projects has not been delayed or disrupted by COVID–19 or related government measures.</w:t>
      </w:r>
    </w:p>
    <w:p>
      <w:pPr>
        <w:sectPr>
          <w:pgSz w:w="11900" w:h="16838" w:orient="portrait"/>
          <w:cols w:equalWidth="0" w:num="1">
            <w:col w:w="11240"/>
          </w:cols>
          <w:pgMar w:left="320" w:top="121" w:right="33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Research and Development Funding</w:t>
      </w:r>
    </w:p>
    <w:p>
      <w:pPr>
        <w:spacing w:after="0" w:line="22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ACM Shanghai has received six special government grants from the PRC’s Ministry of Science and Technology, the Shanghai Municipal Commission of Economy and Information, and the Shanghai Science and Technology Committee.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backside cleaning technologies. These governmental authorities provide the majority of the funding, although ACM Shanghai is also required to invest certain amounts in the projects.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71" w:lineRule="exact"/>
        <w:rPr>
          <w:sz w:val="20"/>
          <w:szCs w:val="20"/>
          <w:color w:val="auto"/>
        </w:rPr>
      </w:pPr>
    </w:p>
    <w:p>
      <w:pPr>
        <w:ind w:left="320" w:hanging="316"/>
        <w:spacing w:after="0" w:line="287"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reflected as reductions of those expenses in the periods in which they are reported. Those reductions totaled $0.3 million in the first six months of 2020, as compared to $2.0 million in the corresponding period in 2019.</w:t>
      </w:r>
    </w:p>
    <w:p>
      <w:pPr>
        <w:spacing w:after="0" w:line="185" w:lineRule="exact"/>
        <w:rPr>
          <w:rFonts w:ascii="Arial" w:cs="Arial" w:eastAsia="Arial" w:hAnsi="Arial"/>
          <w:sz w:val="17"/>
          <w:szCs w:val="17"/>
          <w:color w:val="auto"/>
        </w:rPr>
      </w:pPr>
    </w:p>
    <w:p>
      <w:pPr>
        <w:jc w:val="both"/>
        <w:ind w:left="320" w:hanging="316"/>
        <w:spacing w:after="0" w:line="272"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$73,000 and $74,000 in the first six months of 2020 and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We present information below with respect to four measures of financial performance:</w:t>
      </w:r>
    </w:p>
    <w:p>
      <w:pPr>
        <w:spacing w:after="0" w:line="222" w:lineRule="exact"/>
        <w:rPr>
          <w:sz w:val="20"/>
          <w:szCs w:val="20"/>
          <w:color w:val="auto"/>
        </w:rPr>
      </w:pPr>
    </w:p>
    <w:p>
      <w:pPr>
        <w:jc w:val="both"/>
        <w:ind w:left="320" w:hanging="316"/>
        <w:spacing w:after="0" w:line="261"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define “shipments” of tools to include (a)a “repeat” delivery to a customer of a type of tool that the customer has previously accepted, for which we recognize revenue upon delivery, and (b)a “first-time” delivery of a tool to a customer on an approval basis, for which we may recognize revenue in the future if contractual conditions are met and customer acceptance is received.</w:t>
      </w:r>
    </w:p>
    <w:p>
      <w:pPr>
        <w:spacing w:after="0" w:line="1" w:lineRule="exact"/>
        <w:rPr>
          <w:rFonts w:ascii="Arial" w:cs="Arial" w:eastAsia="Arial" w:hAnsi="Arial"/>
          <w:sz w:val="17"/>
          <w:szCs w:val="17"/>
          <w:color w:val="auto"/>
        </w:rPr>
      </w:pPr>
    </w:p>
    <w:p>
      <w:pPr>
        <w:ind w:left="320" w:hanging="316"/>
        <w:spacing w:after="0" w:line="272"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ind w:left="320" w:hanging="316"/>
        <w:spacing w:after="0" w:line="256"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w:t>
      </w:r>
    </w:p>
    <w:p>
      <w:pPr>
        <w:ind w:left="320" w:hanging="316"/>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define “adjusted operating income” as our income from operations excluding stock-based compensation.</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5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have presented shipments, adjusted EBITDA, free cash flow and adjusted operating income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Shipments, adjusted EBITDA, free cash flow and adjusted operating income are not prepared in accordance with GAAP, and should not be considered in isolation of, or as an alternative to, measures prepared in accordance with GAAP.</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Shipments consist of two components:</w:t>
      </w:r>
    </w:p>
    <w:p>
      <w:pPr>
        <w:spacing w:after="0" w:line="222" w:lineRule="exact"/>
        <w:rPr>
          <w:sz w:val="20"/>
          <w:szCs w:val="20"/>
          <w:color w:val="auto"/>
        </w:rPr>
      </w:pPr>
    </w:p>
    <w:p>
      <w:pPr>
        <w:ind w:left="320" w:hanging="316"/>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previously-accepted, for which we recognize revenue when the tool is delivered; and</w:t>
      </w:r>
    </w:p>
    <w:p>
      <w:pPr>
        <w:spacing w:after="0" w:line="37" w:lineRule="exact"/>
        <w:rPr>
          <w:rFonts w:ascii="Arial" w:cs="Arial" w:eastAsia="Arial" w:hAnsi="Arial"/>
          <w:sz w:val="16"/>
          <w:szCs w:val="16"/>
          <w:color w:val="auto"/>
        </w:rPr>
      </w:pPr>
    </w:p>
    <w:p>
      <w:pPr>
        <w:ind w:left="320" w:hanging="316"/>
        <w:spacing w:after="0" w:line="304"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74"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“First tool” shipments can be made to either an existing customer that not previously accepted that specific type of tool in the past ─ for example, a delivery of SAPS V tool to a customer that previously had received only SAPS II tools ─ or to a new customer that has never purchased any tool from us.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Shipments in the three months ended June 30, 2020 totaled $45 million, as compared to $33 million in the three months ended June 30, 2019, and $12 million in the three months ended March 31, 2020. Shipments in the six months ended June 30, 2020 totaled $57 million, as compared to $47 million in the corresponding period in 2019.</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There are a number of limitations related to the use of adjusted EBITDA rather than net income, which is the nearest GAAP equivalent. Some of these limitations are:</w:t>
      </w:r>
    </w:p>
    <w:p>
      <w:pPr>
        <w:spacing w:after="0" w:line="159" w:lineRule="exact"/>
        <w:rPr>
          <w:sz w:val="20"/>
          <w:szCs w:val="20"/>
          <w:color w:val="auto"/>
        </w:rPr>
      </w:pPr>
    </w:p>
    <w:p>
      <w:pPr>
        <w:ind w:left="320" w:right="60" w:hanging="316"/>
        <w:spacing w:after="0" w:line="263"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spacing w:after="0" w:line="1" w:lineRule="exact"/>
        <w:rPr>
          <w:rFonts w:ascii="Arial" w:cs="Arial" w:eastAsia="Arial" w:hAnsi="Arial"/>
          <w:sz w:val="17"/>
          <w:szCs w:val="17"/>
          <w:color w:val="auto"/>
        </w:rPr>
      </w:pPr>
    </w:p>
    <w:p>
      <w:pPr>
        <w:jc w:val="both"/>
        <w:ind w:left="320" w:hanging="316"/>
        <w:spacing w:after="0" w:line="256"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and adjusted operating income,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Arial" w:cs="Arial" w:eastAsia="Arial" w:hAnsi="Arial"/>
          <w:sz w:val="17"/>
          <w:szCs w:val="17"/>
          <w:color w:val="auto"/>
        </w:rPr>
      </w:pPr>
    </w:p>
    <w:p>
      <w:pPr>
        <w:ind w:left="320" w:hanging="316"/>
        <w:spacing w:after="0" w:line="256"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320" w:hanging="316"/>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13" w:lineRule="exact"/>
        <w:rPr>
          <w:rFonts w:ascii="Arial" w:cs="Arial" w:eastAsia="Arial" w:hAnsi="Arial"/>
          <w:sz w:val="17"/>
          <w:szCs w:val="17"/>
          <w:color w:val="auto"/>
        </w:rPr>
      </w:pPr>
    </w:p>
    <w:p>
      <w:pPr>
        <w:ind w:left="320" w:hanging="316"/>
        <w:spacing w:after="0" w:line="256"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320" w:hanging="316"/>
        <w:spacing w:after="0" w:line="264"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the most directly comparable GAAP financial measure, to adjusted EBITDA:</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060" w:type="dxa"/>
            <w:vAlign w:val="bottom"/>
            <w:gridSpan w:val="8"/>
          </w:tcPr>
          <w:p>
            <w:pPr>
              <w:ind w:left="1960"/>
              <w:spacing w:after="0"/>
              <w:rPr>
                <w:sz w:val="20"/>
                <w:szCs w:val="20"/>
                <w:color w:val="auto"/>
              </w:rPr>
            </w:pPr>
            <w:r>
              <w:rPr>
                <w:rFonts w:ascii="Arial" w:cs="Arial" w:eastAsia="Arial" w:hAnsi="Arial"/>
                <w:sz w:val="17"/>
                <w:szCs w:val="17"/>
                <w:b w:val="1"/>
                <w:bCs w:val="1"/>
                <w:color w:val="auto"/>
                <w:w w:val="94"/>
              </w:rPr>
              <w:t>Six Months Ended 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Adjusted EBITDA Data:</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7"/>
                <w:szCs w:val="17"/>
                <w:i w:val="1"/>
                <w:iCs w:val="1"/>
                <w:color w:val="auto"/>
              </w:rPr>
              <w:t>(in</w:t>
            </w:r>
          </w:p>
        </w:tc>
        <w:tc>
          <w:tcPr>
            <w:tcW w:w="1100" w:type="dxa"/>
            <w:vAlign w:val="bottom"/>
            <w:gridSpan w:val="4"/>
          </w:tcPr>
          <w:p>
            <w:pPr>
              <w:jc w:val="right"/>
              <w:ind w:right="413"/>
              <w:spacing w:after="0"/>
              <w:rPr>
                <w:sz w:val="20"/>
                <w:szCs w:val="20"/>
                <w:color w:val="auto"/>
              </w:rPr>
            </w:pPr>
            <w:r>
              <w:rPr>
                <w:rFonts w:ascii="Arial" w:cs="Arial" w:eastAsia="Arial" w:hAnsi="Arial"/>
                <w:sz w:val="16"/>
                <w:szCs w:val="16"/>
                <w:i w:val="1"/>
                <w:iCs w:val="1"/>
                <w:color w:val="auto"/>
                <w:w w:val="73"/>
              </w:rPr>
              <w:t>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16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7"/>
                <w:szCs w:val="17"/>
                <w:color w:val="auto"/>
              </w:rPr>
              <w:t>Interest expense (income), net</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Income tax expense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Stock based compensation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7"/>
                <w:szCs w:val="17"/>
                <w:color w:val="auto"/>
              </w:rPr>
              <w:t>Change in fair value of financial liability</w:t>
            </w:r>
          </w:p>
        </w:tc>
        <w:tc>
          <w:tcPr>
            <w:tcW w:w="1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11,722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Adjusted EBITDA in the six months ended June 30, 2020, increased by $2.5 million as compared to the same period in 2019, due to a decrease of $3.7 million in net income, an increase of $1.2 million in income tax expense, and an increase of $0.2 million in stock-based compensation expense, offset by a $5.4 million non-cash, non-operating change in fair value of financial liability, and a net reduction in interest expense of $616,000.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materially affected, to the extent we have accurately anticipated the amounts of the grants. For additional information regarding our PRC grants, please see “—Government Research and Development Funding.”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cash provided by operating activities, the most directly comparable GAAP financial measure, to free cash flow:</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80" w:type="dxa"/>
            <w:vAlign w:val="bottom"/>
            <w:gridSpan w:val="6"/>
          </w:tcPr>
          <w:p>
            <w:pPr>
              <w:spacing w:after="0"/>
              <w:rPr>
                <w:sz w:val="20"/>
                <w:szCs w:val="20"/>
                <w:color w:val="auto"/>
              </w:rPr>
            </w:pPr>
            <w:r>
              <w:rPr>
                <w:rFonts w:ascii="Arial" w:cs="Arial" w:eastAsia="Arial" w:hAnsi="Arial"/>
                <w:sz w:val="17"/>
                <w:szCs w:val="17"/>
                <w:b w:val="1"/>
                <w:bCs w:val="1"/>
                <w:color w:val="auto"/>
                <w:w w:val="93"/>
              </w:rPr>
              <w:t>Six Months Ended 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Free Cash Flow Data:</w:t>
            </w:r>
          </w:p>
        </w:tc>
        <w:tc>
          <w:tcPr>
            <w:tcW w:w="18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7"/>
                <w:szCs w:val="17"/>
                <w:i w:val="1"/>
                <w:iCs w:val="1"/>
                <w:color w:val="auto"/>
              </w:rPr>
              <w:t>(in</w:t>
            </w:r>
          </w:p>
        </w:tc>
        <w:tc>
          <w:tcPr>
            <w:tcW w:w="1100" w:type="dxa"/>
            <w:vAlign w:val="bottom"/>
            <w:gridSpan w:val="3"/>
          </w:tcPr>
          <w:p>
            <w:pPr>
              <w:jc w:val="right"/>
              <w:ind w:right="413"/>
              <w:spacing w:after="0"/>
              <w:rPr>
                <w:sz w:val="20"/>
                <w:szCs w:val="20"/>
                <w:color w:val="auto"/>
              </w:rPr>
            </w:pPr>
            <w:r>
              <w:rPr>
                <w:rFonts w:ascii="Arial" w:cs="Arial" w:eastAsia="Arial" w:hAnsi="Arial"/>
                <w:sz w:val="16"/>
                <w:szCs w:val="16"/>
                <w:i w:val="1"/>
                <w:iCs w:val="1"/>
                <w:color w:val="auto"/>
                <w:w w:val="73"/>
              </w:rPr>
              <w:t>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(10,651)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Purchase of property and equipment</w:t>
            </w:r>
          </w:p>
        </w:tc>
        <w:tc>
          <w:tcPr>
            <w:tcW w:w="180" w:type="dxa"/>
            <w:vAlign w:val="bottom"/>
          </w:tcPr>
          <w:p>
            <w:pPr>
              <w:spacing w:after="0"/>
              <w:rPr>
                <w:sz w:val="18"/>
                <w:szCs w:val="18"/>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7"/>
                <w:szCs w:val="17"/>
                <w:color w:val="auto"/>
              </w:rPr>
              <w:t>(1,529)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Purchase of intangible assets</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(55)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Purchase of long-term investments</w:t>
            </w:r>
          </w:p>
        </w:tc>
        <w:tc>
          <w:tcPr>
            <w:tcW w:w="180" w:type="dxa"/>
            <w:vAlign w:val="bottom"/>
          </w:tcPr>
          <w:p>
            <w:pPr>
              <w:spacing w:after="0"/>
              <w:rPr>
                <w:sz w:val="18"/>
                <w:szCs w:val="18"/>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7"/>
                <w:szCs w:val="17"/>
                <w:color w:val="auto"/>
              </w:rPr>
              <w:t>(14,130)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Prepayment for land-use-right and property</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(15,438)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Free cash flow</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8"/>
              <w:spacing w:after="0"/>
              <w:rPr>
                <w:sz w:val="20"/>
                <w:szCs w:val="20"/>
                <w:color w:val="auto"/>
              </w:rPr>
            </w:pPr>
            <w:r>
              <w:rPr>
                <w:rFonts w:ascii="Arial" w:cs="Arial" w:eastAsia="Arial" w:hAnsi="Arial"/>
                <w:sz w:val="17"/>
                <w:szCs w:val="17"/>
                <w:color w:val="auto"/>
              </w:rPr>
              <w:t>(41,803)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(5,003)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Free cash flow declined by $36.8 million in the six months ended June 30, 2020, as compared to the same period in 2019, primarily due to (a) investments in ACM Shanghai’s development and production center in the Lingang region of Shanghai, (b) purchase of long-term investments in Qingdao Fortune-Tech Xinxing Capital Partnership (L.P.), a Chinese limited partnership based in Shanghai which participated in SMIC’s Star Market IPO, and in which ACM Shanghai became a limited partner, (c) factors driving net cash provided by operating activities (an increase in accounts payable, other long-term liabilities and inventory, offset by an increase in accounts receivable and other receivables), and (d) increased purchases of property and equipment. Consistent with our methodology for calculating adjusted EBITDA, we do not adjust free cash flow for the effects of PRC government subsidies, because we take those subsidies into account in incurring expenses and capital expenditures.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Operating Income</w:t>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Adjusted operating income excludes stock-based compensation and the change in fair value of financial liability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Management also considers it useful to exclude the non-cash, non-operating change in fair value of financial liability from income from operations in order to better understand the long term performance of our core business. The following tables reflect the exclusion of stock-based compensation, or SBC, and the change in fair value of financial liability from line items comprising income from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2020</w:t>
            </w: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73"/>
              <w:spacing w:after="0"/>
              <w:rPr>
                <w:sz w:val="20"/>
                <w:szCs w:val="20"/>
                <w:color w:val="auto"/>
              </w:rPr>
            </w:pPr>
            <w:r>
              <w:rPr>
                <w:rFonts w:ascii="Arial" w:cs="Arial" w:eastAsia="Arial" w:hAnsi="Arial"/>
                <w:sz w:val="17"/>
                <w:szCs w:val="17"/>
                <w:b w:val="1"/>
                <w:bCs w:val="1"/>
                <w:color w:val="auto"/>
              </w:rPr>
              <w:t>Actual</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center"/>
              <w:ind w:right="153"/>
              <w:spacing w:after="0"/>
              <w:rPr>
                <w:sz w:val="20"/>
                <w:szCs w:val="20"/>
                <w:color w:val="auto"/>
              </w:rPr>
            </w:pPr>
            <w:r>
              <w:rPr>
                <w:rFonts w:ascii="Arial" w:cs="Arial" w:eastAsia="Arial" w:hAnsi="Arial"/>
                <w:sz w:val="17"/>
                <w:szCs w:val="17"/>
                <w:b w:val="1"/>
                <w:bCs w:val="1"/>
                <w:color w:val="auto"/>
                <w:w w:val="92"/>
              </w:rPr>
              <w:t>Change in</w:t>
            </w:r>
          </w:p>
        </w:tc>
        <w:tc>
          <w:tcPr>
            <w:tcW w:w="260" w:type="dxa"/>
            <w:vAlign w:val="bottom"/>
          </w:tcPr>
          <w:p>
            <w:pPr>
              <w:spacing w:after="0"/>
              <w:rPr>
                <w:sz w:val="19"/>
                <w:szCs w:val="19"/>
                <w:color w:val="auto"/>
              </w:rPr>
            </w:pP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auto"/>
                <w:w w:val="98"/>
              </w:rPr>
              <w:t>Adjusted</w:t>
            </w:r>
          </w:p>
        </w:tc>
        <w:tc>
          <w:tcPr>
            <w:tcW w:w="280" w:type="dxa"/>
            <w:vAlign w:val="bottom"/>
          </w:tcPr>
          <w:p>
            <w:pPr>
              <w:spacing w:after="0"/>
              <w:rPr>
                <w:sz w:val="19"/>
                <w:szCs w:val="19"/>
                <w:color w:val="auto"/>
              </w:rPr>
            </w:pPr>
          </w:p>
        </w:tc>
        <w:tc>
          <w:tcPr>
            <w:tcW w:w="1040" w:type="dxa"/>
            <w:vAlign w:val="bottom"/>
          </w:tcPr>
          <w:p>
            <w:pPr>
              <w:jc w:val="right"/>
              <w:ind w:right="353"/>
              <w:spacing w:after="0"/>
              <w:rPr>
                <w:sz w:val="20"/>
                <w:szCs w:val="20"/>
                <w:color w:val="auto"/>
              </w:rPr>
            </w:pPr>
            <w:r>
              <w:rPr>
                <w:rFonts w:ascii="Arial" w:cs="Arial" w:eastAsia="Arial" w:hAnsi="Arial"/>
                <w:sz w:val="17"/>
                <w:szCs w:val="17"/>
                <w:b w:val="1"/>
                <w:bCs w:val="1"/>
                <w:color w:val="auto"/>
              </w:rPr>
              <w:t>Actual</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33"/>
              <w:spacing w:after="0"/>
              <w:rPr>
                <w:sz w:val="20"/>
                <w:szCs w:val="20"/>
                <w:color w:val="auto"/>
              </w:rPr>
            </w:pPr>
            <w:r>
              <w:rPr>
                <w:rFonts w:ascii="Arial" w:cs="Arial" w:eastAsia="Arial" w:hAnsi="Arial"/>
                <w:sz w:val="17"/>
                <w:szCs w:val="17"/>
                <w:b w:val="1"/>
                <w:bCs w:val="1"/>
                <w:color w:val="auto"/>
                <w:w w:val="98"/>
              </w:rPr>
              <w:t>Adjusted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7"/>
                <w:szCs w:val="17"/>
                <w:b w:val="1"/>
                <w:bCs w:val="1"/>
                <w:color w:val="auto"/>
              </w:rPr>
              <w:t>(GAAP)</w:t>
            </w:r>
          </w:p>
        </w:tc>
        <w:tc>
          <w:tcPr>
            <w:tcW w:w="340" w:type="dxa"/>
            <w:vAlign w:val="bottom"/>
          </w:tcPr>
          <w:p>
            <w:pPr>
              <w:spacing w:after="0"/>
              <w:rPr>
                <w:sz w:val="18"/>
                <w:szCs w:val="18"/>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7"/>
                <w:szCs w:val="17"/>
                <w:b w:val="1"/>
                <w:bCs w:val="1"/>
                <w:color w:val="auto"/>
              </w:rPr>
              <w:t>SBC</w:t>
            </w:r>
          </w:p>
        </w:tc>
        <w:tc>
          <w:tcPr>
            <w:tcW w:w="200" w:type="dxa"/>
            <w:vAlign w:val="bottom"/>
          </w:tcPr>
          <w:p>
            <w:pPr>
              <w:spacing w:after="0"/>
              <w:rPr>
                <w:sz w:val="18"/>
                <w:szCs w:val="18"/>
                <w:color w:val="auto"/>
              </w:rPr>
            </w:pPr>
          </w:p>
        </w:tc>
        <w:tc>
          <w:tcPr>
            <w:tcW w:w="1160" w:type="dxa"/>
            <w:vAlign w:val="bottom"/>
          </w:tcPr>
          <w:p>
            <w:pPr>
              <w:jc w:val="center"/>
              <w:ind w:right="173"/>
              <w:spacing w:after="0"/>
              <w:rPr>
                <w:sz w:val="20"/>
                <w:szCs w:val="20"/>
                <w:color w:val="auto"/>
              </w:rPr>
            </w:pPr>
            <w:r>
              <w:rPr>
                <w:rFonts w:ascii="Arial" w:cs="Arial" w:eastAsia="Arial" w:hAnsi="Arial"/>
                <w:sz w:val="17"/>
                <w:szCs w:val="17"/>
                <w:b w:val="1"/>
                <w:bCs w:val="1"/>
                <w:color w:val="auto"/>
                <w:w w:val="93"/>
              </w:rPr>
              <w:t>fair value</w:t>
            </w:r>
          </w:p>
        </w:tc>
        <w:tc>
          <w:tcPr>
            <w:tcW w:w="1380" w:type="dxa"/>
            <w:vAlign w:val="bottom"/>
            <w:gridSpan w:val="2"/>
            <w:vMerge w:val="restart"/>
          </w:tcPr>
          <w:p>
            <w:pPr>
              <w:jc w:val="right"/>
              <w:ind w:right="133"/>
              <w:spacing w:after="0"/>
              <w:rPr>
                <w:sz w:val="20"/>
                <w:szCs w:val="20"/>
                <w:color w:val="auto"/>
              </w:rPr>
            </w:pPr>
            <w:r>
              <w:rPr>
                <w:rFonts w:ascii="Arial" w:cs="Arial" w:eastAsia="Arial" w:hAnsi="Arial"/>
                <w:sz w:val="17"/>
                <w:szCs w:val="17"/>
                <w:b w:val="1"/>
                <w:bCs w:val="1"/>
                <w:color w:val="auto"/>
              </w:rPr>
              <w:t>(Non-GAAP)</w:t>
            </w:r>
          </w:p>
        </w:tc>
        <w:tc>
          <w:tcPr>
            <w:tcW w:w="280" w:type="dxa"/>
            <w:vAlign w:val="bottom"/>
          </w:tcPr>
          <w:p>
            <w:pPr>
              <w:spacing w:after="0"/>
              <w:rPr>
                <w:sz w:val="18"/>
                <w:szCs w:val="18"/>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7"/>
                <w:szCs w:val="17"/>
                <w:b w:val="1"/>
                <w:bCs w:val="1"/>
                <w:color w:val="auto"/>
              </w:rPr>
              <w:t>(GAAP)</w:t>
            </w:r>
          </w:p>
        </w:tc>
        <w:tc>
          <w:tcPr>
            <w:tcW w:w="300" w:type="dxa"/>
            <w:vAlign w:val="bottom"/>
          </w:tcPr>
          <w:p>
            <w:pPr>
              <w:spacing w:after="0"/>
              <w:rPr>
                <w:sz w:val="18"/>
                <w:szCs w:val="18"/>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7"/>
                <w:szCs w:val="17"/>
                <w:b w:val="1"/>
                <w:bCs w:val="1"/>
                <w:color w:val="auto"/>
              </w:rPr>
              <w:t>SBC</w:t>
            </w:r>
          </w:p>
        </w:tc>
        <w:tc>
          <w:tcPr>
            <w:tcW w:w="1280" w:type="dxa"/>
            <w:vAlign w:val="bottom"/>
            <w:gridSpan w:val="2"/>
            <w:vMerge w:val="restart"/>
          </w:tcPr>
          <w:p>
            <w:pPr>
              <w:jc w:val="right"/>
              <w:ind w:right="73"/>
              <w:spacing w:after="0"/>
              <w:rPr>
                <w:sz w:val="20"/>
                <w:szCs w:val="20"/>
                <w:color w:val="auto"/>
              </w:rPr>
            </w:pPr>
            <w:r>
              <w:rPr>
                <w:rFonts w:ascii="Arial" w:cs="Arial" w:eastAsia="Arial" w:hAnsi="Arial"/>
                <w:sz w:val="17"/>
                <w:szCs w:val="17"/>
                <w:b w:val="1"/>
                <w:bCs w:val="1"/>
                <w:color w:val="auto"/>
              </w:rPr>
              <w:t>(Non-GAAP)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53"/>
              <w:spacing w:after="0"/>
              <w:rPr>
                <w:sz w:val="20"/>
                <w:szCs w:val="20"/>
                <w:color w:val="auto"/>
              </w:rPr>
            </w:pPr>
            <w:r>
              <w:rPr>
                <w:rFonts w:ascii="Arial" w:cs="Arial" w:eastAsia="Arial" w:hAnsi="Arial"/>
                <w:sz w:val="17"/>
                <w:szCs w:val="17"/>
                <w:b w:val="1"/>
                <w:bCs w:val="1"/>
                <w:color w:val="auto"/>
                <w:w w:val="93"/>
              </w:rPr>
              <w:t>of financial</w:t>
            </w:r>
          </w:p>
        </w:tc>
        <w:tc>
          <w:tcPr>
            <w:tcW w:w="13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8"/>
              </w:rPr>
              <w:t>liability</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i w:val="1"/>
                <w:iCs w:val="1"/>
                <w:color w:val="auto"/>
              </w:rPr>
              <w:t>(In thousands)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63,397</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63,397</w:t>
            </w: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49,489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49,489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7"/>
                <w:szCs w:val="17"/>
                <w:color w:val="auto"/>
              </w:rPr>
              <w:t>Cost of revenue</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(33,813)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(88)</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(33,725)</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29,584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29,672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21,957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(258)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(7,342)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Arial" w:cs="Arial" w:eastAsia="Arial" w:hAnsi="Arial"/>
                <w:sz w:val="17"/>
                <w:szCs w:val="17"/>
                <w:color w:val="auto"/>
              </w:rPr>
              <w:t>Research and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00" w:type="dxa"/>
            <w:vAlign w:val="bottom"/>
          </w:tcPr>
          <w:p>
            <w:pPr>
              <w:ind w:left="300"/>
              <w:spacing w:after="0"/>
              <w:rPr>
                <w:sz w:val="20"/>
                <w:szCs w:val="20"/>
                <w:color w:val="auto"/>
              </w:rPr>
            </w:pPr>
            <w:r>
              <w:rPr>
                <w:rFonts w:ascii="Arial" w:cs="Arial" w:eastAsia="Arial" w:hAnsi="Arial"/>
                <w:sz w:val="17"/>
                <w:szCs w:val="17"/>
                <w:color w:val="auto"/>
              </w:rPr>
              <w:t>development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(8,898)</w:t>
            </w:r>
          </w:p>
        </w:tc>
        <w:tc>
          <w:tcPr>
            <w:tcW w:w="3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(375)</w:t>
            </w:r>
          </w:p>
        </w:tc>
        <w:tc>
          <w:tcPr>
            <w:tcW w:w="20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(8,523)</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(6,106)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(823)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(3,709)</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8,554</w:t>
            </w:r>
          </w:p>
        </w:tc>
        <w:tc>
          <w:tcPr>
            <w:tcW w:w="3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(1,544)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10,098</w:t>
            </w: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6,912</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8,274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Change in fair value of</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financial liability</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(5,431)</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1,624</w:t>
            </w:r>
          </w:p>
        </w:tc>
        <w:tc>
          <w:tcPr>
            <w:tcW w:w="3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(1,544)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(5,431)</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8,599</w:t>
            </w: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6,168</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481"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481"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Adjusted operating income for the six months ended on June 30, 2020 increased by $1.8 million, as compared with the same period in 2019, due to a $1.6 million increase in income from operations, and a $182,000 increase in stock-based compensation expense.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2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There were no significant changes in our critical accounting policies or significant judgments or estimates during the six months ended June 30, 2020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w:t>
      </w:r>
      <w:r>
        <w:rPr>
          <w:rFonts w:ascii="Arial" w:cs="Arial" w:eastAsia="Arial" w:hAnsi="Arial"/>
          <w:sz w:val="15"/>
          <w:szCs w:val="15"/>
          <w:i w:val="1"/>
          <w:iCs w:val="1"/>
          <w:color w:val="auto"/>
        </w:rPr>
        <w:t>2018-13, Fair Value Measurement (Topic 820)</w:t>
      </w:r>
      <w:r>
        <w:rPr>
          <w:rFonts w:ascii="Arial" w:cs="Arial" w:eastAsia="Arial" w:hAnsi="Arial"/>
          <w:sz w:val="15"/>
          <w:szCs w:val="15"/>
          <w:color w:val="auto"/>
        </w:rPr>
        <w:t xml:space="preserve"> effective January 1, 2020. For information regarding the impact of recently adopted accounting standards, refer to note 2 to the condensed consolidated financial statements included in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 discussion of recent accounting pronouncements is included in our Annual Report and is updated in note 2 to the condensed consolidated financial statements included in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periods presented, as percentages of revenue: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20" w:type="dxa"/>
            <w:vAlign w:val="bottom"/>
            <w:gridSpan w:val="6"/>
          </w:tcPr>
          <w:p>
            <w:pPr>
              <w:ind w:left="360"/>
              <w:spacing w:after="0"/>
              <w:rPr>
                <w:sz w:val="20"/>
                <w:szCs w:val="20"/>
                <w:color w:val="auto"/>
              </w:rPr>
            </w:pPr>
            <w:r>
              <w:rPr>
                <w:rFonts w:ascii="Arial" w:cs="Arial" w:eastAsia="Arial" w:hAnsi="Arial"/>
                <w:sz w:val="17"/>
                <w:szCs w:val="17"/>
                <w:b w:val="1"/>
                <w:bCs w:val="1"/>
                <w:color w:val="auto"/>
                <w:w w:val="92"/>
              </w:rPr>
              <w:t>Three Months Ended June 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8"/>
          </w:tcPr>
          <w:p>
            <w:pPr>
              <w:jc w:val="center"/>
              <w:ind w:right="220"/>
              <w:spacing w:after="0"/>
              <w:rPr>
                <w:sz w:val="20"/>
                <w:szCs w:val="20"/>
                <w:color w:val="auto"/>
              </w:rPr>
            </w:pPr>
            <w:r>
              <w:rPr>
                <w:rFonts w:ascii="Arial" w:cs="Arial" w:eastAsia="Arial" w:hAnsi="Arial"/>
                <w:sz w:val="17"/>
                <w:szCs w:val="17"/>
                <w:b w:val="1"/>
                <w:bCs w:val="1"/>
                <w:color w:val="auto"/>
                <w:w w:val="92"/>
              </w:rPr>
              <w:t>Six Months Ended June 30,</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Borders>
              <w:top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440"/>
              <w:spacing w:after="0"/>
              <w:rPr>
                <w:sz w:val="20"/>
                <w:szCs w:val="20"/>
                <w:color w:val="auto"/>
              </w:rPr>
            </w:pPr>
            <w:r>
              <w:rPr>
                <w:rFonts w:ascii="Arial" w:cs="Arial" w:eastAsia="Arial" w:hAnsi="Arial"/>
                <w:sz w:val="17"/>
                <w:szCs w:val="17"/>
                <w:b w:val="1"/>
                <w:bCs w:val="1"/>
                <w:color w:val="auto"/>
              </w:rPr>
              <w:t>2019</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7"/>
                <w:szCs w:val="17"/>
                <w:color w:val="auto"/>
              </w:rPr>
              <w:t>Cost of revenue</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50.4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7"/>
                <w:szCs w:val="17"/>
                <w:color w:val="auto"/>
                <w:w w:val="96"/>
              </w:rPr>
              <w:t>54.7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auto"/>
              </w:rPr>
              <w:t>53.3</w:t>
            </w:r>
          </w:p>
        </w:tc>
        <w:tc>
          <w:tcPr>
            <w:tcW w:w="1600" w:type="dxa"/>
            <w:vAlign w:val="bottom"/>
            <w:gridSpan w:val="3"/>
          </w:tcPr>
          <w:p>
            <w:pPr>
              <w:jc w:val="right"/>
              <w:spacing w:after="0"/>
              <w:rPr>
                <w:sz w:val="20"/>
                <w:szCs w:val="20"/>
                <w:color w:val="auto"/>
              </w:rPr>
            </w:pPr>
            <w:r>
              <w:rPr>
                <w:rFonts w:ascii="Arial" w:cs="Arial" w:eastAsia="Arial" w:hAnsi="Arial"/>
                <w:sz w:val="17"/>
                <w:szCs w:val="17"/>
                <w:color w:val="auto"/>
              </w:rPr>
              <w:t>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Gross margin</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6"/>
              </w:rPr>
              <w:t>45.3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1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6"/>
              </w:rPr>
              <w:t>10.1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12.0</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ind w:left="180"/>
              <w:spacing w:after="0"/>
              <w:rPr>
                <w:sz w:val="20"/>
                <w:szCs w:val="20"/>
                <w:color w:val="auto"/>
              </w:rPr>
            </w:pPr>
            <w:r>
              <w:rPr>
                <w:rFonts w:ascii="Arial" w:cs="Arial" w:eastAsia="Arial" w:hAnsi="Arial"/>
                <w:sz w:val="17"/>
                <w:szCs w:val="17"/>
                <w:color w:val="auto"/>
              </w:rPr>
              <w:t>Research and development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7"/>
                <w:szCs w:val="17"/>
                <w:color w:val="auto"/>
                <w:w w:val="96"/>
              </w:rPr>
              <w:t>11.5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auto"/>
              </w:rPr>
              <w:t>14.0</w:t>
            </w:r>
          </w:p>
        </w:tc>
        <w:tc>
          <w:tcPr>
            <w:tcW w:w="1600" w:type="dxa"/>
            <w:vAlign w:val="bottom"/>
            <w:gridSpan w:val="3"/>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7.1</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160" w:type="dxa"/>
            <w:vAlign w:val="bottom"/>
            <w:tcBorders>
              <w:top w:val="single" w:sz="8" w:color="CCEEFF"/>
              <w:bottom w:val="single" w:sz="8" w:color="CCEEFF"/>
            </w:tcBorders>
            <w:gridSpan w:val="2"/>
          </w:tcPr>
          <w:p>
            <w:pPr>
              <w:ind w:left="340"/>
              <w:spacing w:after="0"/>
              <w:rPr>
                <w:sz w:val="20"/>
                <w:szCs w:val="20"/>
                <w:color w:val="auto"/>
              </w:rPr>
            </w:pPr>
            <w:r>
              <w:rPr>
                <w:rFonts w:ascii="Arial" w:cs="Arial" w:eastAsia="Arial" w:hAnsi="Arial"/>
                <w:sz w:val="17"/>
                <w:szCs w:val="17"/>
                <w:color w:val="auto"/>
              </w:rPr>
              <w:t>Total operating expenses, net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18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6"/>
              </w:rPr>
              <w:t>29.2</w:t>
            </w:r>
          </w:p>
        </w:tc>
        <w:tc>
          <w:tcPr>
            <w:tcW w:w="60" w:type="dxa"/>
            <w:vAlign w:val="bottom"/>
            <w:tcBorders>
              <w:top w:val="single" w:sz="8" w:color="CCEEFF"/>
              <w:bottom w:val="single" w:sz="8" w:color="CCEEFF"/>
            </w:tcBorders>
          </w:tcPr>
          <w:p>
            <w:pPr>
              <w:spacing w:after="0"/>
              <w:rPr>
                <w:sz w:val="17"/>
                <w:szCs w:val="17"/>
                <w:color w:val="auto"/>
              </w:rPr>
            </w:pPr>
          </w:p>
        </w:tc>
        <w:tc>
          <w:tcPr>
            <w:tcW w:w="32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33.2</w:t>
            </w:r>
          </w:p>
        </w:tc>
        <w:tc>
          <w:tcPr>
            <w:tcW w:w="20" w:type="dxa"/>
            <w:vAlign w:val="bottom"/>
            <w:tcBorders>
              <w:top w:val="single" w:sz="8" w:color="CCEEFF"/>
              <w:bottom w:val="single" w:sz="8" w:color="CCEEFF"/>
            </w:tcBorders>
          </w:tcPr>
          <w:p>
            <w:pPr>
              <w:spacing w:after="0"/>
              <w:rPr>
                <w:sz w:val="17"/>
                <w:szCs w:val="17"/>
                <w:color w:val="auto"/>
              </w:rPr>
            </w:pPr>
          </w:p>
        </w:tc>
        <w:tc>
          <w:tcPr>
            <w:tcW w:w="3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Income from operations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16.1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spacing w:after="0"/>
              <w:rPr>
                <w:sz w:val="20"/>
                <w:szCs w:val="20"/>
                <w:color w:val="auto"/>
              </w:rPr>
            </w:pPr>
            <w:r>
              <w:rPr>
                <w:rFonts w:ascii="Arial" w:cs="Arial" w:eastAsia="Arial" w:hAnsi="Arial"/>
                <w:sz w:val="17"/>
                <w:szCs w:val="17"/>
                <w:color w:val="auto"/>
              </w:rPr>
              <w:t>Interest income (expense), net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7"/>
                <w:szCs w:val="17"/>
                <w:color w:val="auto"/>
                <w:w w:val="91"/>
              </w:rPr>
              <w:t>(0.6)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auto"/>
              </w:rPr>
              <w:t>0.5</w:t>
            </w:r>
          </w:p>
        </w:tc>
        <w:tc>
          <w:tcPr>
            <w:tcW w:w="1600" w:type="dxa"/>
            <w:vAlign w:val="bottom"/>
            <w:gridSpan w:val="3"/>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fair value of financial liability</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(8.6)</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auto"/>
              </w:rPr>
              <w:t>1.3</w:t>
            </w:r>
          </w:p>
        </w:tc>
        <w:tc>
          <w:tcPr>
            <w:tcW w:w="1600" w:type="dxa"/>
            <w:vAlign w:val="bottom"/>
            <w:gridSpan w:val="3"/>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income in net income of affiliates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0.5</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0.6</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160" w:type="dxa"/>
            <w:vAlign w:val="bottom"/>
            <w:tcBorders>
              <w:top w:val="single" w:sz="8" w:color="CCEEFF"/>
            </w:tcBorders>
            <w:gridSpan w:val="2"/>
          </w:tcPr>
          <w:p>
            <w:pPr>
              <w:ind w:left="500"/>
              <w:spacing w:after="0"/>
              <w:rPr>
                <w:sz w:val="20"/>
                <w:szCs w:val="20"/>
                <w:color w:val="auto"/>
              </w:rPr>
            </w:pPr>
            <w:r>
              <w:rPr>
                <w:rFonts w:ascii="Arial" w:cs="Arial" w:eastAsia="Arial" w:hAnsi="Arial"/>
                <w:sz w:val="17"/>
                <w:szCs w:val="17"/>
                <w:color w:val="auto"/>
              </w:rPr>
              <w:t>Income before income taxes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6"/>
              </w:rPr>
              <w:t>17.9</w:t>
            </w:r>
          </w:p>
        </w:tc>
        <w:tc>
          <w:tcPr>
            <w:tcW w:w="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7.3</w:t>
            </w:r>
          </w:p>
        </w:tc>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1"/>
              </w:rPr>
              <w:t>(3.0)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(3.4)</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160" w:type="dxa"/>
            <w:vAlign w:val="bottom"/>
            <w:tcBorders>
              <w:top w:val="single" w:sz="8" w:color="CCEEFF"/>
            </w:tcBorders>
            <w:gridSpan w:val="2"/>
          </w:tcPr>
          <w:p>
            <w:pPr>
              <w:ind w:left="500"/>
              <w:spacing w:after="0"/>
              <w:rPr>
                <w:sz w:val="20"/>
                <w:szCs w:val="20"/>
                <w:color w:val="auto"/>
              </w:rPr>
            </w:pPr>
            <w:r>
              <w:rPr>
                <w:rFonts w:ascii="Arial" w:cs="Arial" w:eastAsia="Arial" w:hAnsi="Arial"/>
                <w:sz w:val="17"/>
                <w:szCs w:val="17"/>
                <w:color w:val="auto"/>
              </w:rPr>
              <w:t>Net income</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6"/>
              </w:rPr>
              <w:t>14.9</w:t>
            </w:r>
          </w:p>
        </w:tc>
        <w:tc>
          <w:tcPr>
            <w:tcW w:w="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3.9</w:t>
            </w:r>
          </w:p>
        </w:tc>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Less: Net income attributable to non-controlling interests and redeemable</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1.3</w:t>
            </w:r>
          </w:p>
        </w:tc>
        <w:tc>
          <w:tcPr>
            <w:tcW w:w="160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non-controlling interests</w:t>
            </w: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4"/>
            <w:vMerge w:val="continue"/>
            <w:shd w:val="clear" w:color="auto" w:fill="CCEEFF"/>
          </w:tcPr>
          <w:p>
            <w:pPr>
              <w:spacing w:after="0"/>
              <w:rPr>
                <w:sz w:val="19"/>
                <w:szCs w:val="19"/>
                <w:color w:val="auto"/>
              </w:rPr>
            </w:pPr>
          </w:p>
        </w:tc>
        <w:tc>
          <w:tcPr>
            <w:tcW w:w="1600" w:type="dxa"/>
            <w:vAlign w:val="bottom"/>
            <w:gridSpan w:val="3"/>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16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14.9%</w:t>
            </w:r>
          </w:p>
        </w:tc>
        <w:tc>
          <w:tcPr>
            <w:tcW w:w="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2.6%</w:t>
            </w:r>
          </w:p>
        </w:tc>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Comparison of Three Months Ended June 30, 2020 and 2019</w:t>
            </w: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1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7"/>
                <w:szCs w:val="17"/>
                <w:i w:val="1"/>
                <w:iCs w:val="1"/>
                <w:color w:val="auto"/>
              </w:rPr>
              <w:t>Revenue</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13"/>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6"/>
          </w:tcPr>
          <w:p>
            <w:pPr>
              <w:jc w:val="center"/>
              <w:ind w:right="1300"/>
              <w:spacing w:after="0" w:line="190" w:lineRule="exact"/>
              <w:rPr>
                <w:sz w:val="20"/>
                <w:szCs w:val="20"/>
                <w:color w:val="auto"/>
              </w:rPr>
            </w:pPr>
            <w:r>
              <w:rPr>
                <w:rFonts w:ascii="Arial" w:cs="Arial" w:eastAsia="Arial" w:hAnsi="Arial"/>
                <w:sz w:val="17"/>
                <w:szCs w:val="17"/>
                <w:b w:val="1"/>
                <w:bCs w:val="1"/>
                <w:color w:val="auto"/>
                <w:w w:val="97"/>
              </w:rPr>
              <w:t>% Change</w:t>
            </w: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3"/>
              </w:rPr>
              <w:t>2020 v 2019</w:t>
            </w:r>
          </w:p>
        </w:tc>
        <w:tc>
          <w:tcPr>
            <w:tcW w:w="13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440"/>
              <w:spacing w:after="0"/>
              <w:rPr>
                <w:sz w:val="20"/>
                <w:szCs w:val="20"/>
                <w:color w:val="auto"/>
              </w:rPr>
            </w:pPr>
            <w:r>
              <w:rPr>
                <w:rFonts w:ascii="Arial" w:cs="Arial" w:eastAsia="Arial" w:hAnsi="Arial"/>
                <w:sz w:val="17"/>
                <w:szCs w:val="17"/>
                <w:i w:val="1"/>
                <w:iCs w:val="1"/>
                <w:color w:val="auto"/>
              </w:rPr>
              <w:t>(in</w:t>
            </w:r>
          </w:p>
        </w:tc>
        <w:tc>
          <w:tcPr>
            <w:tcW w:w="980" w:type="dxa"/>
            <w:vAlign w:val="bottom"/>
            <w:gridSpan w:val="6"/>
          </w:tcPr>
          <w:p>
            <w:pPr>
              <w:jc w:val="right"/>
              <w:ind w:right="380"/>
              <w:spacing w:after="0"/>
              <w:rPr>
                <w:sz w:val="20"/>
                <w:szCs w:val="20"/>
                <w:color w:val="auto"/>
              </w:rPr>
            </w:pPr>
            <w:r>
              <w:rPr>
                <w:rFonts w:ascii="Arial" w:cs="Arial" w:eastAsia="Arial" w:hAnsi="Arial"/>
                <w:sz w:val="16"/>
                <w:szCs w:val="16"/>
                <w:i w:val="1"/>
                <w:iCs w:val="1"/>
                <w:color w:val="auto"/>
                <w:w w:val="73"/>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39,049</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29,010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34.6%</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revenue of $10.0 million in the three months ended June 30, 2020 as compared to the same period in 2019 consisted of an increase in revenue of $8.9 million from single-wafer cleaning and other front-end processing equipment and an increase in revenue of $1.1 million from back-end wafer assembly and packaging equipment and spares.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20" w:type="dxa"/>
            <w:vAlign w:val="bottom"/>
            <w:gridSpan w:val="2"/>
          </w:tcPr>
          <w:p>
            <w:pPr>
              <w:spacing w:after="0"/>
              <w:rPr>
                <w:sz w:val="20"/>
                <w:szCs w:val="20"/>
                <w:color w:val="auto"/>
              </w:rPr>
            </w:pPr>
            <w:r>
              <w:rPr>
                <w:rFonts w:ascii="Arial" w:cs="Arial" w:eastAsia="Arial" w:hAnsi="Arial"/>
                <w:sz w:val="17"/>
                <w:szCs w:val="17"/>
                <w:i w:val="1"/>
                <w:iCs w:val="1"/>
                <w:color w:val="auto"/>
              </w:rPr>
              <w:t>Cost of Revenue and Gross Margin</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4"/>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40" w:type="dxa"/>
            <w:vAlign w:val="bottom"/>
            <w:gridSpan w:val="7"/>
          </w:tcPr>
          <w:p>
            <w:pPr>
              <w:spacing w:after="0"/>
              <w:rPr>
                <w:sz w:val="20"/>
                <w:szCs w:val="20"/>
                <w:color w:val="auto"/>
              </w:rPr>
            </w:pPr>
            <w:r>
              <w:rPr>
                <w:rFonts w:ascii="Arial" w:cs="Arial" w:eastAsia="Arial" w:hAnsi="Arial"/>
                <w:sz w:val="17"/>
                <w:szCs w:val="17"/>
                <w:b w:val="1"/>
                <w:bCs w:val="1"/>
                <w:color w:val="auto"/>
              </w:rPr>
              <w:t>Three Months Ended June 30,</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0"/>
        </w:trPr>
        <w:tc>
          <w:tcPr>
            <w:tcW w:w="1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200"/>
              <w:spacing w:after="0" w:line="190" w:lineRule="exact"/>
              <w:rPr>
                <w:sz w:val="20"/>
                <w:szCs w:val="20"/>
                <w:color w:val="auto"/>
              </w:rPr>
            </w:pPr>
            <w:r>
              <w:rPr>
                <w:rFonts w:ascii="Arial" w:cs="Arial" w:eastAsia="Arial" w:hAnsi="Arial"/>
                <w:sz w:val="17"/>
                <w:szCs w:val="17"/>
                <w:b w:val="1"/>
                <w:bCs w:val="1"/>
                <w:color w:val="auto"/>
                <w:w w:val="99"/>
              </w:rPr>
              <w:t>% Change</w:t>
            </w:r>
          </w:p>
        </w:tc>
      </w:tr>
      <w:tr>
        <w:trPr>
          <w:trHeight w:val="233"/>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2020 v 2019</w:t>
            </w:r>
          </w:p>
        </w:tc>
        <w:tc>
          <w:tcPr>
            <w:tcW w:w="16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7"/>
                <w:szCs w:val="17"/>
                <w:i w:val="1"/>
                <w:iCs w:val="1"/>
                <w:color w:val="auto"/>
              </w:rPr>
              <w:t>(in</w:t>
            </w:r>
          </w:p>
        </w:tc>
        <w:tc>
          <w:tcPr>
            <w:tcW w:w="1260" w:type="dxa"/>
            <w:vAlign w:val="bottom"/>
            <w:gridSpan w:val="4"/>
          </w:tcPr>
          <w:p>
            <w:pPr>
              <w:jc w:val="center"/>
              <w:ind w:right="553"/>
              <w:spacing w:after="0"/>
              <w:rPr>
                <w:sz w:val="20"/>
                <w:szCs w:val="20"/>
                <w:color w:val="auto"/>
              </w:rPr>
            </w:pPr>
            <w:r>
              <w:rPr>
                <w:rFonts w:ascii="Arial" w:cs="Arial" w:eastAsia="Arial" w:hAnsi="Arial"/>
                <w:sz w:val="17"/>
                <w:szCs w:val="17"/>
                <w:i w:val="1"/>
                <w:iCs w:val="1"/>
                <w:color w:val="auto"/>
                <w:w w:val="73"/>
              </w:rPr>
              <w:t>thousands)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280" w:type="dxa"/>
            <w:vAlign w:val="bottom"/>
            <w:gridSpan w:val="2"/>
            <w:shd w:val="clear" w:color="auto" w:fill="CCEEFF"/>
          </w:tcPr>
          <w:p>
            <w:pPr>
              <w:ind w:left="20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24.0%</w:t>
            </w:r>
          </w:p>
        </w:tc>
      </w:tr>
      <w:tr>
        <w:trPr>
          <w:trHeight w:val="209"/>
        </w:trPr>
        <w:tc>
          <w:tcPr>
            <w:tcW w:w="11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Gross profit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19,356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13,131</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47.4%</w:t>
            </w:r>
          </w:p>
        </w:tc>
      </w:tr>
      <w:tr>
        <w:trPr>
          <w:trHeight w:val="209"/>
        </w:trPr>
        <w:tc>
          <w:tcPr>
            <w:tcW w:w="11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revenue increased $3.8 million and gross profit increased $6.2 million in the three months ended June 30, 2020 as compared to the corresponding period in 2019 due to the increased sales volume noted above and a 4.3% increase in gross margin, which reflected differences in product mix and increased production scale.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40" w:type="dxa"/>
            <w:vAlign w:val="bottom"/>
            <w:gridSpan w:val="2"/>
          </w:tcPr>
          <w:p>
            <w:pPr>
              <w:spacing w:after="0"/>
              <w:rPr>
                <w:sz w:val="20"/>
                <w:szCs w:val="20"/>
                <w:color w:val="auto"/>
              </w:rPr>
            </w:pPr>
            <w:r>
              <w:rPr>
                <w:rFonts w:ascii="Arial" w:cs="Arial" w:eastAsia="Arial" w:hAnsi="Arial"/>
                <w:sz w:val="17"/>
                <w:szCs w:val="17"/>
                <w:i w:val="1"/>
                <w:iCs w:val="1"/>
                <w:color w:val="auto"/>
              </w:rPr>
              <w:t>Operating Expenses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4"/>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b w:val="1"/>
                <w:bCs w:val="1"/>
                <w:color w:val="auto"/>
                <w:w w:val="94"/>
              </w:rPr>
              <w:t>Three Months Ended June 30,</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0"/>
        </w:trPr>
        <w:tc>
          <w:tcPr>
            <w:tcW w:w="11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center"/>
              <w:ind w:right="160"/>
              <w:spacing w:after="0" w:line="190" w:lineRule="exact"/>
              <w:rPr>
                <w:sz w:val="20"/>
                <w:szCs w:val="20"/>
                <w:color w:val="auto"/>
              </w:rPr>
            </w:pPr>
            <w:r>
              <w:rPr>
                <w:rFonts w:ascii="Arial" w:cs="Arial" w:eastAsia="Arial" w:hAnsi="Arial"/>
                <w:sz w:val="17"/>
                <w:szCs w:val="17"/>
                <w:b w:val="1"/>
                <w:bCs w:val="1"/>
                <w:color w:val="auto"/>
                <w:w w:val="97"/>
              </w:rPr>
              <w:t>% Change</w:t>
            </w:r>
          </w:p>
        </w:tc>
      </w:tr>
      <w:tr>
        <w:trPr>
          <w:trHeight w:val="233"/>
        </w:trPr>
        <w:tc>
          <w:tcPr>
            <w:tcW w:w="11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2020 v 2019</w:t>
            </w:r>
          </w:p>
        </w:tc>
        <w:tc>
          <w:tcPr>
            <w:tcW w:w="16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7"/>
                <w:szCs w:val="17"/>
                <w:i w:val="1"/>
                <w:iCs w:val="1"/>
                <w:color w:val="auto"/>
              </w:rPr>
              <w:t>(in</w:t>
            </w:r>
          </w:p>
        </w:tc>
        <w:tc>
          <w:tcPr>
            <w:tcW w:w="1200" w:type="dxa"/>
            <w:vAlign w:val="bottom"/>
            <w:gridSpan w:val="3"/>
          </w:tcPr>
          <w:p>
            <w:pPr>
              <w:jc w:val="right"/>
              <w:ind w:right="513"/>
              <w:spacing w:after="0"/>
              <w:rPr>
                <w:sz w:val="20"/>
                <w:szCs w:val="20"/>
                <w:color w:val="auto"/>
              </w:rPr>
            </w:pPr>
            <w:r>
              <w:rPr>
                <w:rFonts w:ascii="Arial" w:cs="Arial" w:eastAsia="Arial" w:hAnsi="Arial"/>
                <w:sz w:val="16"/>
                <w:szCs w:val="16"/>
                <w:i w:val="1"/>
                <w:iCs w:val="1"/>
                <w:color w:val="auto"/>
                <w:w w:val="73"/>
              </w:rPr>
              <w:t>thousands)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57.1%</w:t>
            </w:r>
          </w:p>
        </w:tc>
      </w:tr>
      <w:tr>
        <w:trPr>
          <w:trHeight w:val="209"/>
        </w:trPr>
        <w:tc>
          <w:tcPr>
            <w:tcW w:w="11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3,341</w:t>
            </w:r>
          </w:p>
        </w:tc>
        <w:tc>
          <w:tcPr>
            <w:tcW w:w="1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56.3%</w:t>
            </w:r>
          </w:p>
        </w:tc>
      </w:tr>
      <w:tr>
        <w:trPr>
          <w:trHeight w:val="215"/>
        </w:trPr>
        <w:tc>
          <w:tcPr>
            <w:tcW w:w="114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2,205</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0.0%</w:t>
            </w:r>
          </w:p>
        </w:tc>
      </w:tr>
      <w:tr>
        <w:trPr>
          <w:trHeight w:val="209"/>
        </w:trPr>
        <w:tc>
          <w:tcPr>
            <w:tcW w:w="11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12,020</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8,470</w:t>
            </w:r>
          </w:p>
        </w:tc>
        <w:tc>
          <w:tcPr>
            <w:tcW w:w="1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41.9%</w:t>
            </w: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by $1.7 million in the three months ended June 30, 2020 as compared to the corresponding period in 2019.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expense consists primarily of:</w:t>
      </w:r>
    </w:p>
    <w:p>
      <w:pPr>
        <w:spacing w:after="0" w:line="159" w:lineRule="exact"/>
        <w:rPr>
          <w:sz w:val="20"/>
          <w:szCs w:val="20"/>
          <w:color w:val="auto"/>
        </w:rPr>
      </w:pPr>
    </w:p>
    <w:p>
      <w:pPr>
        <w:ind w:left="320" w:hanging="316"/>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37" w:lineRule="exact"/>
        <w:rPr>
          <w:rFonts w:ascii="Arial" w:cs="Arial" w:eastAsia="Arial" w:hAnsi="Arial"/>
          <w:sz w:val="16"/>
          <w:szCs w:val="16"/>
          <w:color w:val="auto"/>
        </w:rPr>
      </w:pPr>
    </w:p>
    <w:p>
      <w:pPr>
        <w:ind w:left="320" w:hanging="316"/>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by $1.9 million in the three months ended June 30, 2020 as compared to the corresponding period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as a result of increases in new product development, testing fees and personnel costs. Research and development expense represented 13.4% and 11.5% of our revenue in the three months ended June 30, 2020 and 2019, respectively. Without reduction by grant amounts received from PRC governmental authorities (see “—Government Research and Development Funding”), gross research and development expense totaled $5.3 million, or 13.7% of revenue, in the three months ended June 30, 2020 and $4.1 million, or 14.0% of revenue, in the corresponding period in 2019. Research and development expense relates to the development of new products and processes and encompasses our research, development and customer support activities. Research and development expense consists primarily of:</w:t>
      </w:r>
    </w:p>
    <w:p>
      <w:pPr>
        <w:spacing w:after="0" w:line="183" w:lineRule="exact"/>
        <w:rPr>
          <w:sz w:val="20"/>
          <w:szCs w:val="20"/>
          <w:color w:val="auto"/>
        </w:rPr>
      </w:pPr>
    </w:p>
    <w:p>
      <w:pPr>
        <w:ind w:left="320" w:hanging="316"/>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 based compensation;</w:t>
      </w:r>
    </w:p>
    <w:p>
      <w:pPr>
        <w:spacing w:after="0" w:line="25" w:lineRule="exact"/>
        <w:rPr>
          <w:rFonts w:ascii="Arial" w:cs="Arial" w:eastAsia="Arial" w:hAnsi="Arial"/>
          <w:sz w:val="17"/>
          <w:szCs w:val="17"/>
          <w:color w:val="auto"/>
        </w:rPr>
      </w:pPr>
    </w:p>
    <w:p>
      <w:pPr>
        <w:ind w:left="320" w:hanging="316"/>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p>
      <w:pPr>
        <w:spacing w:after="0" w:line="287"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was unchanged in the three months ended June 30, 2020 as compared to the corresponding period in 2019.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 consists primarily of:</w:t>
      </w:r>
    </w:p>
    <w:p>
      <w:pPr>
        <w:spacing w:after="0" w:line="159" w:lineRule="exact"/>
        <w:rPr>
          <w:sz w:val="20"/>
          <w:szCs w:val="20"/>
          <w:color w:val="auto"/>
        </w:rPr>
      </w:pPr>
    </w:p>
    <w:p>
      <w:pPr>
        <w:ind w:left="320" w:hanging="316"/>
        <w:spacing w:after="0" w:line="263"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spacing w:after="0" w:line="1" w:lineRule="exact"/>
        <w:rPr>
          <w:rFonts w:ascii="Arial" w:cs="Arial" w:eastAsia="Arial" w:hAnsi="Arial"/>
          <w:sz w:val="17"/>
          <w:szCs w:val="17"/>
          <w:color w:val="auto"/>
        </w:rPr>
      </w:pPr>
    </w:p>
    <w:p>
      <w:pPr>
        <w:ind w:left="320" w:hanging="316"/>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professional fees, including accounting and legal fees;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corporate expenses; and</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gridSpan w:val="2"/>
          </w:tcPr>
          <w:p>
            <w:pPr>
              <w:spacing w:after="0"/>
              <w:rPr>
                <w:sz w:val="20"/>
                <w:szCs w:val="20"/>
                <w:color w:val="auto"/>
              </w:rPr>
            </w:pPr>
            <w:r>
              <w:rPr>
                <w:rFonts w:ascii="Arial" w:cs="Arial" w:eastAsia="Arial" w:hAnsi="Arial"/>
                <w:sz w:val="17"/>
                <w:szCs w:val="17"/>
                <w:i w:val="1"/>
                <w:iCs w:val="1"/>
                <w:color w:val="auto"/>
              </w:rPr>
              <w:t>Other Income and Expenses</w:t>
            </w:r>
          </w:p>
        </w:tc>
        <w:tc>
          <w:tcPr>
            <w:tcW w:w="1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40" w:type="dxa"/>
            <w:vAlign w:val="bottom"/>
            <w:gridSpan w:val="8"/>
          </w:tcPr>
          <w:p>
            <w:pPr>
              <w:ind w:left="1740"/>
              <w:spacing w:after="0"/>
              <w:rPr>
                <w:sz w:val="20"/>
                <w:szCs w:val="20"/>
                <w:color w:val="auto"/>
              </w:rPr>
            </w:pPr>
            <w:r>
              <w:rPr>
                <w:rFonts w:ascii="Arial" w:cs="Arial" w:eastAsia="Arial" w:hAnsi="Arial"/>
                <w:sz w:val="17"/>
                <w:szCs w:val="17"/>
                <w:b w:val="1"/>
                <w:bCs w:val="1"/>
                <w:color w:val="auto"/>
                <w:w w:val="94"/>
              </w:rPr>
              <w:t>Three Months Ended June 30,</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center"/>
              <w:ind w:right="160"/>
              <w:spacing w:after="0" w:line="190" w:lineRule="exact"/>
              <w:rPr>
                <w:sz w:val="20"/>
                <w:szCs w:val="20"/>
                <w:color w:val="auto"/>
              </w:rPr>
            </w:pPr>
            <w:r>
              <w:rPr>
                <w:rFonts w:ascii="Arial" w:cs="Arial" w:eastAsia="Arial" w:hAnsi="Arial"/>
                <w:sz w:val="17"/>
                <w:szCs w:val="17"/>
                <w:b w:val="1"/>
                <w:bCs w:val="1"/>
                <w:color w:val="auto"/>
                <w:w w:val="97"/>
              </w:rPr>
              <w:t>% Change</w:t>
            </w: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2020 v 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gridSpan w:val="2"/>
          </w:tcPr>
          <w:p>
            <w:pPr>
              <w:jc w:val="right"/>
              <w:ind w:right="133"/>
              <w:spacing w:after="0"/>
              <w:rPr>
                <w:sz w:val="20"/>
                <w:szCs w:val="20"/>
                <w:color w:val="auto"/>
              </w:rPr>
            </w:pPr>
            <w:r>
              <w:rPr>
                <w:rFonts w:ascii="Arial" w:cs="Arial" w:eastAsia="Arial" w:hAnsi="Arial"/>
                <w:sz w:val="17"/>
                <w:szCs w:val="17"/>
                <w:i w:val="1"/>
                <w:iCs w:val="1"/>
                <w:color w:val="auto"/>
              </w:rPr>
              <w:t>(in</w:t>
            </w:r>
          </w:p>
        </w:tc>
        <w:tc>
          <w:tcPr>
            <w:tcW w:w="860" w:type="dxa"/>
            <w:vAlign w:val="bottom"/>
            <w:gridSpan w:val="3"/>
          </w:tcPr>
          <w:p>
            <w:pPr>
              <w:jc w:val="right"/>
              <w:ind w:right="178"/>
              <w:spacing w:after="0"/>
              <w:rPr>
                <w:sz w:val="20"/>
                <w:szCs w:val="20"/>
                <w:color w:val="auto"/>
              </w:rPr>
            </w:pPr>
            <w:r>
              <w:rPr>
                <w:rFonts w:ascii="Arial" w:cs="Arial" w:eastAsia="Arial" w:hAnsi="Arial"/>
                <w:sz w:val="16"/>
                <w:szCs w:val="16"/>
                <w:i w:val="1"/>
                <w:iCs w:val="1"/>
                <w:color w:val="auto"/>
                <w:w w:val="73"/>
              </w:rPr>
              <w:t>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420" w:type="dxa"/>
            <w:vAlign w:val="bottom"/>
            <w:gridSpan w:val="2"/>
            <w:shd w:val="clear" w:color="auto" w:fill="CCEEFF"/>
          </w:tcPr>
          <w:p>
            <w:pPr>
              <w:ind w:left="17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Interest Expense</w:t>
            </w: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w w:val="90"/>
              </w:rPr>
              <w:t>(228)</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(194)</w:t>
            </w: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0"/>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-154.1%</w:t>
            </w:r>
          </w:p>
        </w:tc>
        <w:tc>
          <w:tcPr>
            <w:tcW w:w="0" w:type="dxa"/>
            <w:vAlign w:val="bottom"/>
          </w:tcPr>
          <w:p>
            <w:pPr>
              <w:spacing w:after="0"/>
              <w:rPr>
                <w:sz w:val="1"/>
                <w:szCs w:val="1"/>
                <w:color w:val="auto"/>
              </w:rPr>
            </w:pPr>
          </w:p>
        </w:tc>
      </w:tr>
      <w:tr>
        <w:trPr>
          <w:trHeight w:val="201"/>
        </w:trPr>
        <w:tc>
          <w:tcPr>
            <w:tcW w:w="114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24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2420" w:type="dxa"/>
            <w:vAlign w:val="bottom"/>
            <w:gridSpan w:val="2"/>
            <w:shd w:val="clear" w:color="auto" w:fill="CCEEFF"/>
          </w:tcPr>
          <w:p>
            <w:pPr>
              <w:ind w:left="17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income consists of interest earned on our cash and equivalents and restricted cash accounts, offset by interest expense incurred from outstanding short-term borrowings. We earned $92,000 of interest income, net in the three months ended June 30, 2020 as compared to incurring ($170,000) of interest expense, net in the corresponding period in 2019. This was a result of a larger balance of cash and equivalents and restricted cash along and a similar amount of borrowings under short-term bank loans.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declined by $394,000 in the three months ended June 30, 2020 as compared to Other income (expense) in the corresponding period in 2019, due to primarily a change in the amount of gains and losses resulting from changes in the RMB-to-U.S. dollar exchange rate, and higher income related to PRC funding.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financial liability</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11 to the condensed consolidated financial statements included in this report, as of the beginning of the second quarter, Shengxin (Shanghai) Management Consulting Limited Partnership, or SMC, held 242,681 shares of Class A common stock. Those shares had been acquired in March 2017 by the exercise of a warrant, for which SMC paid the exercise price by delivery of a promissory note.</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preparation for the STAR IPO, ACM Shanghai was required to terminate its financial relationship with SMC. In order to facilitate such termination, on April 30, 2020, we entered into agreements pursuant to which, among other things, SMC surrendered its 242,681 Warrant shares to us and we agreed to deliver to SMC, subject to PRC regulatory approvals, one of certain specified types of consideration, which we refer to as the SMC Consideration.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SMC Consideration is accounted for as a financial liability, and we apply the fair value option to measure the SMC Consideration in accordance with Accounting Standards Codification 825-15-4a. On April 30, 2020, the fair value of the SMC Consideration was $9.7 million. Based on the change in our Class A common stock during the period of April 30, 2020 until June 30, 2020, the financial liability was marked to market to a fair value of $15.1 million as of June 30, 2020. Accordingly, we recognized a change in fair value of financial liability of $5.4 million for the three and six months ended June 30, 2020. This was a non-cash, non-operating expense that was excluded from our non-GAAP results.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60" w:type="dxa"/>
            <w:vAlign w:val="bottom"/>
            <w:gridSpan w:val="2"/>
          </w:tcPr>
          <w:p>
            <w:pPr>
              <w:spacing w:after="0"/>
              <w:rPr>
                <w:sz w:val="20"/>
                <w:szCs w:val="20"/>
                <w:color w:val="auto"/>
              </w:rPr>
            </w:pPr>
            <w:r>
              <w:rPr>
                <w:rFonts w:ascii="Arial" w:cs="Arial" w:eastAsia="Arial" w:hAnsi="Arial"/>
                <w:sz w:val="17"/>
                <w:szCs w:val="17"/>
                <w:i w:val="1"/>
                <w:iCs w:val="1"/>
                <w:color w:val="auto"/>
              </w:rPr>
              <w:t>Income Tax Expense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6860" w:type="dxa"/>
            <w:vAlign w:val="bottom"/>
            <w:gridSpan w:val="2"/>
          </w:tcPr>
          <w:p>
            <w:pPr>
              <w:spacing w:after="0"/>
              <w:rPr>
                <w:sz w:val="20"/>
                <w:szCs w:val="20"/>
                <w:color w:val="auto"/>
              </w:rPr>
            </w:pPr>
            <w:r>
              <w:rPr>
                <w:rFonts w:ascii="Arial" w:cs="Arial" w:eastAsia="Arial" w:hAnsi="Arial"/>
                <w:sz w:val="17"/>
                <w:szCs w:val="17"/>
                <w:color w:val="auto"/>
              </w:rPr>
              <w:t>The following presents components of income tax expense for the indicated periods: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11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260" w:type="dxa"/>
            <w:vAlign w:val="bottom"/>
            <w:gridSpan w:val="7"/>
          </w:tcPr>
          <w:p>
            <w:pPr>
              <w:ind w:left="980"/>
              <w:spacing w:after="0"/>
              <w:rPr>
                <w:sz w:val="20"/>
                <w:szCs w:val="20"/>
                <w:color w:val="auto"/>
              </w:rPr>
            </w:pPr>
            <w:r>
              <w:rPr>
                <w:rFonts w:ascii="Arial" w:cs="Arial" w:eastAsia="Arial" w:hAnsi="Arial"/>
                <w:sz w:val="17"/>
                <w:szCs w:val="17"/>
                <w:b w:val="1"/>
                <w:bCs w:val="1"/>
                <w:color w:val="auto"/>
                <w:w w:val="93"/>
              </w:rPr>
              <w:t>Three Months Ended June 30,</w:t>
            </w:r>
          </w:p>
        </w:tc>
      </w:tr>
      <w:tr>
        <w:trPr>
          <w:trHeight w:val="215"/>
        </w:trPr>
        <w:tc>
          <w:tcPr>
            <w:tcW w:w="11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7"/>
                <w:szCs w:val="17"/>
                <w:i w:val="1"/>
                <w:iCs w:val="1"/>
                <w:color w:val="auto"/>
              </w:rPr>
              <w:t>(in</w:t>
            </w:r>
          </w:p>
        </w:tc>
        <w:tc>
          <w:tcPr>
            <w:tcW w:w="1180" w:type="dxa"/>
            <w:vAlign w:val="bottom"/>
            <w:gridSpan w:val="3"/>
          </w:tcPr>
          <w:p>
            <w:pPr>
              <w:jc w:val="right"/>
              <w:ind w:right="513"/>
              <w:spacing w:after="0"/>
              <w:rPr>
                <w:sz w:val="20"/>
                <w:szCs w:val="20"/>
                <w:color w:val="auto"/>
              </w:rPr>
            </w:pPr>
            <w:r>
              <w:rPr>
                <w:rFonts w:ascii="Arial" w:cs="Arial" w:eastAsia="Arial" w:hAnsi="Arial"/>
                <w:sz w:val="16"/>
                <w:szCs w:val="16"/>
                <w:i w:val="1"/>
                <w:iCs w:val="1"/>
                <w:color w:val="auto"/>
                <w:w w:val="70"/>
              </w:rPr>
              <w:t>thousands)</w:t>
            </w:r>
          </w:p>
        </w:tc>
        <w:tc>
          <w:tcPr>
            <w:tcW w:w="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expense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(1,859)  $</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(876)</w:t>
            </w:r>
          </w:p>
        </w:tc>
      </w:tr>
      <w:tr>
        <w:trPr>
          <w:trHeight w:val="26"/>
        </w:trPr>
        <w:tc>
          <w:tcPr>
            <w:tcW w:w="114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Coronavirus Aid, Relief, and Economic Security Act (CARES Act) was enacted on March 27, 2020. It contains several provisions that may have financial statement effects. Key Aspects of the CARES Act include the following:</w:t>
      </w:r>
    </w:p>
    <w:p>
      <w:pPr>
        <w:spacing w:after="0" w:line="185" w:lineRule="exact"/>
        <w:rPr>
          <w:sz w:val="20"/>
          <w:szCs w:val="20"/>
          <w:color w:val="auto"/>
        </w:rPr>
      </w:pPr>
    </w:p>
    <w:p>
      <w:pPr>
        <w:ind w:left="320" w:hanging="316"/>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Repealed the 80% taxable income limitation for 2018, 2019 and 2020. Also allows those years to be carried back up to five years</w:t>
      </w:r>
    </w:p>
    <w:p>
      <w:pPr>
        <w:spacing w:after="0" w:line="25" w:lineRule="exact"/>
        <w:rPr>
          <w:rFonts w:ascii="Arial" w:cs="Arial" w:eastAsia="Arial" w:hAnsi="Arial"/>
          <w:sz w:val="17"/>
          <w:szCs w:val="17"/>
          <w:color w:val="auto"/>
        </w:rPr>
      </w:pPr>
    </w:p>
    <w:p>
      <w:pPr>
        <w:ind w:left="320" w:hanging="316"/>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It also provides for an election to take the entire refundable credit amount in 2018</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Section 163(j) ATI limit raised from 30% to 50% for businesses</w:t>
      </w:r>
    </w:p>
    <w:p>
      <w:pPr>
        <w:spacing w:after="0" w:line="13" w:lineRule="exact"/>
        <w:rPr>
          <w:rFonts w:ascii="Arial" w:cs="Arial" w:eastAsia="Arial" w:hAnsi="Arial"/>
          <w:sz w:val="17"/>
          <w:szCs w:val="17"/>
          <w:color w:val="auto"/>
        </w:rPr>
      </w:pPr>
    </w:p>
    <w:p>
      <w:pPr>
        <w:ind w:left="320" w:hanging="316"/>
        <w:spacing w:after="0" w:line="272"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Technical corrections to TCJA for Qualified Improvement Property (“QIP”). Designates as 15-year property for depreciation purposes, which makes QIP a category eligible for 100% bonus depreciation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CARES Act is not expected have a material impact on income taxes in the Company’s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 Attributable to Non-Controlling Interests and Redeemable Non-Controlling Interests</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above under “—STAR Market Listing and IPO,” in 2019, ACM Shanghai sold a total number of shares representing 8.3% of its outstanding ACM Shanghai shares. ACM Research continues to hold the remaining 91.7% of ACM Shanghai’s outstanding shares. As a result, commencing with the three months ended September 30, 2019, we reflect, as net income attributable to non-controlling interests and redeemable non-controlling interests, the portion of our net income allocable to the minority holders of ACM Shanghai shares. In the three months ended June 30, 2020, this amount totaled $577,000.</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2020 and 2019</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p>
        </w:tc>
        <w:tc>
          <w:tcPr>
            <w:tcW w:w="4700" w:type="dxa"/>
            <w:vAlign w:val="bottom"/>
            <w:gridSpan w:val="7"/>
          </w:tcPr>
          <w:p>
            <w:pPr>
              <w:ind w:left="2600"/>
              <w:spacing w:after="0"/>
              <w:rPr>
                <w:sz w:val="20"/>
                <w:szCs w:val="20"/>
                <w:color w:val="auto"/>
              </w:rPr>
            </w:pPr>
            <w:r>
              <w:rPr>
                <w:rFonts w:ascii="Arial" w:cs="Arial" w:eastAsia="Arial" w:hAnsi="Arial"/>
                <w:sz w:val="17"/>
                <w:szCs w:val="17"/>
                <w:b w:val="1"/>
                <w:bCs w:val="1"/>
                <w:color w:val="auto"/>
                <w:w w:val="94"/>
              </w:rPr>
              <w:t>Six Months Ended June 30,</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31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160"/>
              <w:spacing w:after="0" w:line="190" w:lineRule="exact"/>
              <w:rPr>
                <w:sz w:val="20"/>
                <w:szCs w:val="20"/>
                <w:color w:val="auto"/>
              </w:rPr>
            </w:pPr>
            <w:r>
              <w:rPr>
                <w:rFonts w:ascii="Arial" w:cs="Arial" w:eastAsia="Arial" w:hAnsi="Arial"/>
                <w:sz w:val="17"/>
                <w:szCs w:val="17"/>
                <w:b w:val="1"/>
                <w:bCs w:val="1"/>
                <w:color w:val="auto"/>
                <w:w w:val="97"/>
              </w:rPr>
              <w:t>% Change</w:t>
            </w:r>
          </w:p>
        </w:tc>
      </w:tr>
      <w:tr>
        <w:trPr>
          <w:trHeight w:val="233"/>
        </w:trPr>
        <w:tc>
          <w:tcPr>
            <w:tcW w:w="3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2020 v 2019</w:t>
            </w:r>
          </w:p>
        </w:tc>
        <w:tc>
          <w:tcPr>
            <w:tcW w:w="160" w:type="dxa"/>
            <w:vAlign w:val="bottom"/>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7"/>
                <w:szCs w:val="17"/>
                <w:i w:val="1"/>
                <w:iCs w:val="1"/>
                <w:color w:val="auto"/>
              </w:rPr>
              <w:t>(in</w:t>
            </w:r>
          </w:p>
        </w:tc>
        <w:tc>
          <w:tcPr>
            <w:tcW w:w="1100" w:type="dxa"/>
            <w:vAlign w:val="bottom"/>
            <w:gridSpan w:val="3"/>
          </w:tcPr>
          <w:p>
            <w:pPr>
              <w:jc w:val="right"/>
              <w:ind w:right="433"/>
              <w:spacing w:after="0"/>
              <w:rPr>
                <w:sz w:val="20"/>
                <w:szCs w:val="20"/>
                <w:color w:val="auto"/>
              </w:rPr>
            </w:pPr>
            <w:r>
              <w:rPr>
                <w:rFonts w:ascii="Arial" w:cs="Arial" w:eastAsia="Arial" w:hAnsi="Arial"/>
                <w:sz w:val="16"/>
                <w:szCs w:val="16"/>
                <w:i w:val="1"/>
                <w:iCs w:val="1"/>
                <w:color w:val="auto"/>
                <w:w w:val="70"/>
              </w:rPr>
              <w:t>thousands)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780" w:type="dxa"/>
            <w:vAlign w:val="bottom"/>
            <w:gridSpan w:val="2"/>
            <w:shd w:val="clear" w:color="auto" w:fill="CCEEFF"/>
          </w:tcPr>
          <w:p>
            <w:pPr>
              <w:ind w:left="26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49,489</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28.1%</w:t>
            </w:r>
          </w:p>
        </w:tc>
      </w:tr>
    </w:tbl>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revenue of $13.9 million in the six months ended June 30, 2020 as compared to the same period in 2019 reflected increases in revenue of $18.9 million from single-wafer cleaning and other front-end processing equipment, offset by a decrease in revenue of $5.0 million from back-end wafer assembly and packaging equipment and spares.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20" w:type="dxa"/>
            <w:vAlign w:val="bottom"/>
            <w:gridSpan w:val="2"/>
          </w:tcPr>
          <w:p>
            <w:pPr>
              <w:spacing w:after="0"/>
              <w:rPr>
                <w:sz w:val="20"/>
                <w:szCs w:val="20"/>
                <w:color w:val="auto"/>
              </w:rPr>
            </w:pPr>
            <w:r>
              <w:rPr>
                <w:rFonts w:ascii="Arial" w:cs="Arial" w:eastAsia="Arial" w:hAnsi="Arial"/>
                <w:sz w:val="17"/>
                <w:szCs w:val="17"/>
                <w:i w:val="1"/>
                <w:iCs w:val="1"/>
                <w:color w:val="auto"/>
              </w:rPr>
              <w:t>Cost of Revenue and Gross Margin</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0"/>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60" w:type="dxa"/>
            <w:vAlign w:val="bottom"/>
            <w:gridSpan w:val="7"/>
          </w:tcPr>
          <w:p>
            <w:pPr>
              <w:ind w:left="20"/>
              <w:spacing w:after="0"/>
              <w:rPr>
                <w:sz w:val="20"/>
                <w:szCs w:val="20"/>
                <w:color w:val="auto"/>
              </w:rPr>
            </w:pPr>
            <w:r>
              <w:rPr>
                <w:rFonts w:ascii="Arial" w:cs="Arial" w:eastAsia="Arial" w:hAnsi="Arial"/>
                <w:sz w:val="17"/>
                <w:szCs w:val="17"/>
                <w:b w:val="1"/>
                <w:bCs w:val="1"/>
                <w:color w:val="auto"/>
              </w:rPr>
              <w:t>Six Months Ended June 30,</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0"/>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200"/>
              <w:spacing w:after="0" w:line="190" w:lineRule="exact"/>
              <w:rPr>
                <w:sz w:val="20"/>
                <w:szCs w:val="20"/>
                <w:color w:val="auto"/>
              </w:rPr>
            </w:pPr>
            <w:r>
              <w:rPr>
                <w:rFonts w:ascii="Arial" w:cs="Arial" w:eastAsia="Arial" w:hAnsi="Arial"/>
                <w:sz w:val="17"/>
                <w:szCs w:val="17"/>
                <w:b w:val="1"/>
                <w:bCs w:val="1"/>
                <w:color w:val="auto"/>
                <w:w w:val="99"/>
              </w:rPr>
              <w:t>% Change</w:t>
            </w:r>
          </w:p>
        </w:tc>
      </w:tr>
      <w:tr>
        <w:trPr>
          <w:trHeight w:val="233"/>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2020 v 2019</w:t>
            </w:r>
          </w:p>
        </w:tc>
        <w:tc>
          <w:tcPr>
            <w:tcW w:w="16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7"/>
                <w:szCs w:val="17"/>
                <w:i w:val="1"/>
                <w:iCs w:val="1"/>
                <w:color w:val="auto"/>
              </w:rPr>
              <w:t>(in</w:t>
            </w:r>
          </w:p>
        </w:tc>
        <w:tc>
          <w:tcPr>
            <w:tcW w:w="1160" w:type="dxa"/>
            <w:vAlign w:val="bottom"/>
            <w:gridSpan w:val="4"/>
          </w:tcPr>
          <w:p>
            <w:pPr>
              <w:jc w:val="right"/>
              <w:ind w:right="453"/>
              <w:spacing w:after="0"/>
              <w:rPr>
                <w:sz w:val="20"/>
                <w:szCs w:val="20"/>
                <w:color w:val="auto"/>
              </w:rPr>
            </w:pPr>
            <w:r>
              <w:rPr>
                <w:rFonts w:ascii="Arial" w:cs="Arial" w:eastAsia="Arial" w:hAnsi="Arial"/>
                <w:sz w:val="17"/>
                <w:szCs w:val="17"/>
                <w:i w:val="1"/>
                <w:iCs w:val="1"/>
                <w:color w:val="auto"/>
                <w:w w:val="71"/>
              </w:rPr>
              <w:t>thousands)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33,813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27,532</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22.8%</w:t>
            </w:r>
          </w:p>
        </w:tc>
      </w:tr>
      <w:tr>
        <w:trPr>
          <w:trHeight w:val="209"/>
        </w:trPr>
        <w:tc>
          <w:tcPr>
            <w:tcW w:w="11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Gross profit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29,584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21,957</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34.7%</w:t>
            </w:r>
          </w:p>
        </w:tc>
      </w:tr>
      <w:tr>
        <w:trPr>
          <w:trHeight w:val="209"/>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revenue increased $6.3 million and gross profit increased $7.6 million in the six months ended June 30, 2020, as compared to the corresponding period in 2019, due to increased sales volume and higher gross margin. Gross margin increased by 2.3 percentage points during the six months ended June 30, 2020, versus the comparable period in 2019 due to differences in product mix and production scale.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20" w:type="dxa"/>
            <w:vAlign w:val="bottom"/>
            <w:gridSpan w:val="2"/>
          </w:tcPr>
          <w:p>
            <w:pPr>
              <w:spacing w:after="0"/>
              <w:rPr>
                <w:sz w:val="20"/>
                <w:szCs w:val="20"/>
                <w:color w:val="auto"/>
              </w:rPr>
            </w:pPr>
            <w:r>
              <w:rPr>
                <w:rFonts w:ascii="Arial" w:cs="Arial" w:eastAsia="Arial" w:hAnsi="Arial"/>
                <w:sz w:val="17"/>
                <w:szCs w:val="17"/>
                <w:i w:val="1"/>
                <w:iCs w:val="1"/>
                <w:color w:val="auto"/>
              </w:rPr>
              <w:t>Operating Expenses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0"/>
        </w:trPr>
        <w:tc>
          <w:tcPr>
            <w:tcW w:w="11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100" w:type="dxa"/>
            <w:vAlign w:val="bottom"/>
            <w:gridSpan w:val="6"/>
          </w:tcPr>
          <w:p>
            <w:pPr>
              <w:spacing w:after="0"/>
              <w:rPr>
                <w:sz w:val="20"/>
                <w:szCs w:val="20"/>
                <w:color w:val="auto"/>
              </w:rPr>
            </w:pPr>
            <w:r>
              <w:rPr>
                <w:rFonts w:ascii="Arial" w:cs="Arial" w:eastAsia="Arial" w:hAnsi="Arial"/>
                <w:sz w:val="17"/>
                <w:szCs w:val="17"/>
                <w:b w:val="1"/>
                <w:bCs w:val="1"/>
                <w:color w:val="auto"/>
                <w:w w:val="94"/>
              </w:rPr>
              <w:t>Six Months Ended June 30,</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0"/>
        </w:trPr>
        <w:tc>
          <w:tcPr>
            <w:tcW w:w="11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160"/>
              <w:spacing w:after="0" w:line="190" w:lineRule="exact"/>
              <w:rPr>
                <w:sz w:val="20"/>
                <w:szCs w:val="20"/>
                <w:color w:val="auto"/>
              </w:rPr>
            </w:pPr>
            <w:r>
              <w:rPr>
                <w:rFonts w:ascii="Arial" w:cs="Arial" w:eastAsia="Arial" w:hAnsi="Arial"/>
                <w:sz w:val="17"/>
                <w:szCs w:val="17"/>
                <w:b w:val="1"/>
                <w:bCs w:val="1"/>
                <w:color w:val="auto"/>
                <w:w w:val="97"/>
              </w:rPr>
              <w:t>% Change</w:t>
            </w:r>
          </w:p>
        </w:tc>
      </w:tr>
      <w:tr>
        <w:trPr>
          <w:trHeight w:val="233"/>
        </w:trPr>
        <w:tc>
          <w:tcPr>
            <w:tcW w:w="11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2020 v 2019</w:t>
            </w:r>
          </w:p>
        </w:tc>
        <w:tc>
          <w:tcPr>
            <w:tcW w:w="16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7"/>
                <w:szCs w:val="17"/>
                <w:i w:val="1"/>
                <w:iCs w:val="1"/>
                <w:color w:val="auto"/>
              </w:rPr>
              <w:t>(in</w:t>
            </w:r>
          </w:p>
        </w:tc>
        <w:tc>
          <w:tcPr>
            <w:tcW w:w="1100" w:type="dxa"/>
            <w:vAlign w:val="bottom"/>
            <w:gridSpan w:val="3"/>
          </w:tcPr>
          <w:p>
            <w:pPr>
              <w:jc w:val="right"/>
              <w:ind w:right="433"/>
              <w:spacing w:after="0"/>
              <w:rPr>
                <w:sz w:val="20"/>
                <w:szCs w:val="20"/>
                <w:color w:val="auto"/>
              </w:rPr>
            </w:pPr>
            <w:r>
              <w:rPr>
                <w:rFonts w:ascii="Arial" w:cs="Arial" w:eastAsia="Arial" w:hAnsi="Arial"/>
                <w:sz w:val="16"/>
                <w:szCs w:val="16"/>
                <w:i w:val="1"/>
                <w:iCs w:val="1"/>
                <w:color w:val="auto"/>
                <w:w w:val="70"/>
              </w:rPr>
              <w:t>thousands)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4,793</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58.6%</w:t>
            </w:r>
          </w:p>
        </w:tc>
      </w:tr>
      <w:tr>
        <w:trPr>
          <w:trHeight w:val="209"/>
        </w:trPr>
        <w:tc>
          <w:tcPr>
            <w:tcW w:w="11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8,898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6,106</w:t>
            </w:r>
          </w:p>
        </w:tc>
        <w:tc>
          <w:tcPr>
            <w:tcW w:w="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7"/>
                <w:szCs w:val="17"/>
                <w:color w:val="auto"/>
              </w:rPr>
              <w:t>45.7%</w:t>
            </w:r>
          </w:p>
        </w:tc>
      </w:tr>
      <w:tr>
        <w:trPr>
          <w:trHeight w:val="215"/>
        </w:trPr>
        <w:tc>
          <w:tcPr>
            <w:tcW w:w="114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4,146</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9.3%</w:t>
            </w:r>
          </w:p>
        </w:tc>
      </w:tr>
      <w:tr>
        <w:trPr>
          <w:trHeight w:val="209"/>
        </w:trPr>
        <w:tc>
          <w:tcPr>
            <w:tcW w:w="11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21,030</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15,045</w:t>
            </w:r>
          </w:p>
        </w:tc>
        <w:tc>
          <w:tcPr>
            <w:tcW w:w="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7"/>
                <w:szCs w:val="17"/>
                <w:color w:val="auto"/>
              </w:rPr>
              <w:t>39.8%</w:t>
            </w:r>
          </w:p>
        </w:tc>
      </w:tr>
      <w:tr>
        <w:trPr>
          <w:trHeight w:val="20"/>
        </w:trPr>
        <w:tc>
          <w:tcPr>
            <w:tcW w:w="1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by $2.8 million in the six months ended June 30, 2020, as compared to the corresponding period in 2019.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expense consists primarily of:</w:t>
      </w:r>
    </w:p>
    <w:p>
      <w:pPr>
        <w:spacing w:after="0" w:line="159" w:lineRule="exact"/>
        <w:rPr>
          <w:sz w:val="20"/>
          <w:szCs w:val="20"/>
          <w:color w:val="auto"/>
        </w:rPr>
      </w:pPr>
    </w:p>
    <w:p>
      <w:pPr>
        <w:ind w:left="320" w:hanging="316"/>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37" w:lineRule="exact"/>
        <w:rPr>
          <w:rFonts w:ascii="Arial" w:cs="Arial" w:eastAsia="Arial" w:hAnsi="Arial"/>
          <w:sz w:val="16"/>
          <w:szCs w:val="16"/>
          <w:color w:val="auto"/>
        </w:rPr>
      </w:pPr>
    </w:p>
    <w:p>
      <w:pPr>
        <w:ind w:left="320" w:hanging="316"/>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1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increased by $2.8 million in the six months ended June 30, 2020 as compared to the corresponding period in 2019,</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principally as a result of increases in testing fees and personnel costs. Research and development expense represented 14.0% and 12.3% of our revenue in the six months ended June 30, 2020 and 2019, respectively. Without reduction by grant amounts received from PRC governmental authorities (see “—Government Research and Development Funding”), gross research and development expense totaled $9.2 million, or 14.5% of revenue, in the six months ended June 30, 2020 and $8.1 million, or 16.4% of revenue, in the corresponding period in 2019. Research and development expense relates to the development of new products and processes and encompasses our research, development and customer support activities. Research and development expense consists primarily of:</w:t>
      </w:r>
    </w:p>
    <w:p>
      <w:pPr>
        <w:spacing w:after="0" w:line="151" w:lineRule="exact"/>
        <w:rPr>
          <w:sz w:val="20"/>
          <w:szCs w:val="20"/>
          <w:color w:val="auto"/>
        </w:rPr>
      </w:pPr>
    </w:p>
    <w:p>
      <w:pPr>
        <w:ind w:left="320" w:hanging="316"/>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 based compensation;</w:t>
      </w:r>
    </w:p>
    <w:p>
      <w:pPr>
        <w:spacing w:after="0" w:line="25" w:lineRule="exact"/>
        <w:rPr>
          <w:rFonts w:ascii="Arial" w:cs="Arial" w:eastAsia="Arial" w:hAnsi="Arial"/>
          <w:sz w:val="17"/>
          <w:szCs w:val="17"/>
          <w:color w:val="auto"/>
        </w:rPr>
      </w:pPr>
    </w:p>
    <w:p>
      <w:pPr>
        <w:ind w:left="320" w:hanging="316"/>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36" w:lineRule="exact"/>
        <w:rPr>
          <w:sz w:val="20"/>
          <w:szCs w:val="20"/>
          <w:color w:val="auto"/>
        </w:rPr>
      </w:pPr>
    </w:p>
    <w:p>
      <w:pPr>
        <w:spacing w:after="0" w:line="287"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by $386,000 in the six months ended June 30, 2020 as compared to the corresponding period in 2019.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 consists primarily of:</w:t>
      </w:r>
    </w:p>
    <w:p>
      <w:pPr>
        <w:spacing w:after="0" w:line="159" w:lineRule="exact"/>
        <w:rPr>
          <w:sz w:val="20"/>
          <w:szCs w:val="20"/>
          <w:color w:val="auto"/>
        </w:rPr>
      </w:pPr>
    </w:p>
    <w:p>
      <w:pPr>
        <w:ind w:left="320" w:hanging="316"/>
        <w:spacing w:after="0" w:line="263"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spacing w:after="0" w:line="1" w:lineRule="exact"/>
        <w:rPr>
          <w:rFonts w:ascii="Arial" w:cs="Arial" w:eastAsia="Arial" w:hAnsi="Arial"/>
          <w:sz w:val="17"/>
          <w:szCs w:val="17"/>
          <w:color w:val="auto"/>
        </w:rPr>
      </w:pPr>
    </w:p>
    <w:p>
      <w:pPr>
        <w:ind w:left="320" w:hanging="316"/>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professional fees, including accounting and legal fees;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corporate expenses; and</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7"/>
        </w:trPr>
        <w:tc>
          <w:tcPr>
            <w:tcW w:w="5080" w:type="dxa"/>
            <w:vAlign w:val="bottom"/>
            <w:gridSpan w:val="2"/>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080" w:type="dxa"/>
            <w:vAlign w:val="bottom"/>
            <w:gridSpan w:val="2"/>
          </w:tcPr>
          <w:p>
            <w:pPr>
              <w:spacing w:after="0"/>
              <w:rPr>
                <w:sz w:val="20"/>
                <w:szCs w:val="20"/>
                <w:color w:val="auto"/>
              </w:rPr>
            </w:pPr>
            <w:r>
              <w:rPr>
                <w:rFonts w:ascii="Arial" w:cs="Arial" w:eastAsia="Arial" w:hAnsi="Arial"/>
                <w:sz w:val="17"/>
                <w:szCs w:val="17"/>
                <w:i w:val="1"/>
                <w:iCs w:val="1"/>
                <w:color w:val="auto"/>
              </w:rPr>
              <w:t>Other Income and Expenses</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960" w:type="dxa"/>
            <w:vAlign w:val="bottom"/>
            <w:gridSpan w:val="8"/>
          </w:tcPr>
          <w:p>
            <w:pPr>
              <w:ind w:left="1840"/>
              <w:spacing w:after="0"/>
              <w:rPr>
                <w:sz w:val="20"/>
                <w:szCs w:val="20"/>
                <w:color w:val="auto"/>
              </w:rPr>
            </w:pPr>
            <w:r>
              <w:rPr>
                <w:rFonts w:ascii="Arial" w:cs="Arial" w:eastAsia="Arial" w:hAnsi="Arial"/>
                <w:sz w:val="17"/>
                <w:szCs w:val="17"/>
                <w:b w:val="1"/>
                <w:bCs w:val="1"/>
                <w:color w:val="auto"/>
                <w:w w:val="95"/>
              </w:rPr>
              <w:t>Six Months Ended June 30,</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center"/>
              <w:ind w:right="160"/>
              <w:spacing w:after="0" w:line="190" w:lineRule="exact"/>
              <w:rPr>
                <w:sz w:val="20"/>
                <w:szCs w:val="20"/>
                <w:color w:val="auto"/>
              </w:rPr>
            </w:pPr>
            <w:r>
              <w:rPr>
                <w:rFonts w:ascii="Arial" w:cs="Arial" w:eastAsia="Arial" w:hAnsi="Arial"/>
                <w:sz w:val="17"/>
                <w:szCs w:val="17"/>
                <w:b w:val="1"/>
                <w:bCs w:val="1"/>
                <w:color w:val="auto"/>
                <w:w w:val="97"/>
              </w:rPr>
              <w:t>% Change</w:t>
            </w: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2020 v 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7"/>
                <w:szCs w:val="17"/>
                <w:i w:val="1"/>
                <w:iCs w:val="1"/>
                <w:color w:val="auto"/>
              </w:rPr>
              <w:t>(in</w:t>
            </w:r>
          </w:p>
        </w:tc>
        <w:tc>
          <w:tcPr>
            <w:tcW w:w="1100" w:type="dxa"/>
            <w:vAlign w:val="bottom"/>
            <w:gridSpan w:val="4"/>
          </w:tcPr>
          <w:p>
            <w:pPr>
              <w:jc w:val="right"/>
              <w:ind w:right="433"/>
              <w:spacing w:after="0"/>
              <w:rPr>
                <w:sz w:val="20"/>
                <w:szCs w:val="20"/>
                <w:color w:val="auto"/>
              </w:rPr>
            </w:pPr>
            <w:r>
              <w:rPr>
                <w:rFonts w:ascii="Arial" w:cs="Arial" w:eastAsia="Arial" w:hAnsi="Arial"/>
                <w:sz w:val="16"/>
                <w:szCs w:val="16"/>
                <w:i w:val="1"/>
                <w:iCs w:val="1"/>
                <w:color w:val="auto"/>
                <w:w w:val="70"/>
              </w:rPr>
              <w:t>thousands)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1884.8%</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Interest Expense</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(333)</w:t>
            </w: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-205.3%</w:t>
            </w:r>
          </w:p>
        </w:tc>
        <w:tc>
          <w:tcPr>
            <w:tcW w:w="0" w:type="dxa"/>
            <w:vAlign w:val="bottom"/>
          </w:tcPr>
          <w:p>
            <w:pPr>
              <w:spacing w:after="0"/>
              <w:rPr>
                <w:sz w:val="1"/>
                <w:szCs w:val="1"/>
                <w:color w:val="auto"/>
              </w:rPr>
            </w:pPr>
          </w:p>
        </w:tc>
      </w:tr>
      <w:tr>
        <w:trPr>
          <w:trHeight w:val="201"/>
        </w:trPr>
        <w:tc>
          <w:tcPr>
            <w:tcW w:w="114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192.9%</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income consists of interest earned on our cash and equivalents and restricted cash accounts, offset by interest expense incurred from outstanding short-term borrowings. We earned $316,000 of interest income, net in the six months ended June 30, 2020 as compared to incurring ($300,000) of interest expense, net in the corresponding period in 2019. This was a result of a larger balance of cash and equivalents and restricted cash along with reduced borrowings under short-term bank loans.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Other income (expense),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increased by $544,000 in the six months ended June 30, 2020 as compared to Other income (expense) in the corresponding period in 2019, due to higher income related to PRC funding, and a change in the amount of gains and losses resulting from changes in the RMB-to-U.S. dollar exchange rate.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financial liability</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recognized a change in fair value of financial liability of $5.4 million for the three and six months ended June 30, 2020, as the result of the increase in fair value of the SMC Consideration from $9.7 million on April 30, 2020, when the SMC Consideration was created, to $15.1 million as of June 30, 2020. For more information, please see note 11 to the condensed consolidated financial statements included in this report and “—Comparison of Three Months Ended June 30, 2020 and 2019—Change in fair value of financial liability.”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60" w:type="dxa"/>
            <w:vAlign w:val="bottom"/>
            <w:gridSpan w:val="2"/>
          </w:tcPr>
          <w:p>
            <w:pPr>
              <w:spacing w:after="0"/>
              <w:rPr>
                <w:sz w:val="20"/>
                <w:szCs w:val="20"/>
                <w:color w:val="auto"/>
              </w:rPr>
            </w:pPr>
            <w:r>
              <w:rPr>
                <w:rFonts w:ascii="Arial" w:cs="Arial" w:eastAsia="Arial" w:hAnsi="Arial"/>
                <w:sz w:val="17"/>
                <w:szCs w:val="17"/>
                <w:i w:val="1"/>
                <w:iCs w:val="1"/>
                <w:color w:val="auto"/>
              </w:rPr>
              <w:t>Income Tax Expense</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8"/>
        </w:trPr>
        <w:tc>
          <w:tcPr>
            <w:tcW w:w="6960" w:type="dxa"/>
            <w:vAlign w:val="bottom"/>
            <w:gridSpan w:val="2"/>
          </w:tcPr>
          <w:p>
            <w:pPr>
              <w:spacing w:after="0"/>
              <w:rPr>
                <w:sz w:val="20"/>
                <w:szCs w:val="20"/>
                <w:color w:val="auto"/>
              </w:rPr>
            </w:pPr>
            <w:r>
              <w:rPr>
                <w:rFonts w:ascii="Arial" w:cs="Arial" w:eastAsia="Arial" w:hAnsi="Arial"/>
                <w:sz w:val="17"/>
                <w:szCs w:val="17"/>
                <w:color w:val="auto"/>
              </w:rPr>
              <w:t>The following presents components of income tax expense for the indicated periods: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11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160" w:type="dxa"/>
            <w:vAlign w:val="bottom"/>
            <w:gridSpan w:val="7"/>
          </w:tcPr>
          <w:p>
            <w:pPr>
              <w:ind w:left="1060"/>
              <w:spacing w:after="0"/>
              <w:rPr>
                <w:sz w:val="20"/>
                <w:szCs w:val="20"/>
                <w:color w:val="auto"/>
              </w:rPr>
            </w:pPr>
            <w:r>
              <w:rPr>
                <w:rFonts w:ascii="Arial" w:cs="Arial" w:eastAsia="Arial" w:hAnsi="Arial"/>
                <w:sz w:val="17"/>
                <w:szCs w:val="17"/>
                <w:b w:val="1"/>
                <w:bCs w:val="1"/>
                <w:color w:val="auto"/>
                <w:w w:val="94"/>
              </w:rPr>
              <w:t>Six Months Ended June 30,</w:t>
            </w:r>
          </w:p>
        </w:tc>
      </w:tr>
      <w:tr>
        <w:trPr>
          <w:trHeight w:val="215"/>
        </w:trPr>
        <w:tc>
          <w:tcPr>
            <w:tcW w:w="11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7"/>
                <w:szCs w:val="17"/>
                <w:i w:val="1"/>
                <w:iCs w:val="1"/>
                <w:color w:val="auto"/>
              </w:rPr>
              <w:t>(in</w:t>
            </w:r>
          </w:p>
        </w:tc>
        <w:tc>
          <w:tcPr>
            <w:tcW w:w="1100" w:type="dxa"/>
            <w:vAlign w:val="bottom"/>
            <w:gridSpan w:val="3"/>
          </w:tcPr>
          <w:p>
            <w:pPr>
              <w:jc w:val="right"/>
              <w:ind w:right="413"/>
              <w:spacing w:after="0"/>
              <w:rPr>
                <w:sz w:val="20"/>
                <w:szCs w:val="20"/>
                <w:color w:val="auto"/>
              </w:rPr>
            </w:pPr>
            <w:r>
              <w:rPr>
                <w:rFonts w:ascii="Arial" w:cs="Arial" w:eastAsia="Arial" w:hAnsi="Arial"/>
                <w:sz w:val="16"/>
                <w:szCs w:val="16"/>
                <w:i w:val="1"/>
                <w:iCs w:val="1"/>
                <w:color w:val="auto"/>
                <w:w w:val="73"/>
              </w:rPr>
              <w:t>thousands)</w:t>
            </w:r>
          </w:p>
        </w:tc>
        <w:tc>
          <w:tcPr>
            <w:tcW w:w="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expense</w:t>
            </w:r>
          </w:p>
        </w:tc>
        <w:tc>
          <w:tcPr>
            <w:tcW w:w="126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(2,163)  $</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(995)</w:t>
            </w:r>
          </w:p>
        </w:tc>
      </w:tr>
      <w:tr>
        <w:trPr>
          <w:trHeight w:val="26"/>
        </w:trPr>
        <w:tc>
          <w:tcPr>
            <w:tcW w:w="1140" w:type="dxa"/>
            <w:vAlign w:val="bottom"/>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Coronavirus Aid, Relief, and Economic Security Act (CARES Act) was enacted on March 27, 2020. It contains several provisions that may have financial statement effects. Key Aspects of the CARES Act include the following:</w:t>
      </w:r>
    </w:p>
    <w:p>
      <w:pPr>
        <w:spacing w:after="0" w:line="185" w:lineRule="exact"/>
        <w:rPr>
          <w:sz w:val="20"/>
          <w:szCs w:val="20"/>
          <w:color w:val="auto"/>
        </w:rPr>
      </w:pPr>
    </w:p>
    <w:p>
      <w:pPr>
        <w:ind w:left="320" w:hanging="316"/>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repealed the 80% taxable income limitation for 2018, 2019 and 2020, and also allows those years to be carried back up to five years;</w:t>
      </w:r>
    </w:p>
    <w:p>
      <w:pPr>
        <w:spacing w:after="0" w:line="25" w:lineRule="exact"/>
        <w:rPr>
          <w:rFonts w:ascii="Arial" w:cs="Arial" w:eastAsia="Arial" w:hAnsi="Arial"/>
          <w:sz w:val="17"/>
          <w:szCs w:val="17"/>
          <w:color w:val="auto"/>
        </w:rPr>
      </w:pPr>
    </w:p>
    <w:p>
      <w:pPr>
        <w:ind w:left="320" w:hanging="316"/>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and also provides for an election to take the entire refundable credit amount in 2018;</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raises Section 163(j) ATI limit from 30% to 50% for businesses; and</w:t>
      </w:r>
    </w:p>
    <w:p>
      <w:pPr>
        <w:spacing w:after="0" w:line="13" w:lineRule="exact"/>
        <w:rPr>
          <w:rFonts w:ascii="Arial" w:cs="Arial" w:eastAsia="Arial" w:hAnsi="Arial"/>
          <w:sz w:val="17"/>
          <w:szCs w:val="17"/>
          <w:color w:val="auto"/>
        </w:rPr>
      </w:pPr>
    </w:p>
    <w:p>
      <w:pPr>
        <w:ind w:left="320" w:hanging="316"/>
        <w:spacing w:after="0" w:line="272"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makes technical corrections to TCJA for Qualified Improvement Property (“QIP”), and designates QIP as 15-year property for depreciation purposes, which makes QIP a category eligible for 100% bonus depreciation.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CARES Act is not expected have a material impact on income taxes in the Company’s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 Attributable to Non-Controlling Interests and Redeemable Non-Controlling Interests</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above under “—STAR Market Listing and IPO,” in 2019 ACM Shanghai sold 8.3% of its shares to private placement investors in connection with the STAR Listing. ACM Research continues to hold the remaining 91.7% of ACM Shanghai’s outstanding shares. As a result, commencing with the three months ended September 30, 2019, we have reflected, as net income attributable to non-controlling interests and redeemable non-controlling interests, the portion of our net income allocable to the minority holders of ACM Shanghai shares. In the six months ended June 30, 2020, this amount totaled $835,000.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six months of 2020, we funded our technology development and operations principally through our beginning cash balance, including application of net proceeds from our initial public offering and follow-on public offering of Class A common stock in 2017 and 2019, respectively, and short-term borrowings by ACM Shanghai from local financial institutions.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Funds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Cash Flow from Operating Activities. </w:t>
      </w:r>
      <w:r>
        <w:rPr>
          <w:rFonts w:ascii="Arial" w:cs="Arial" w:eastAsia="Arial" w:hAnsi="Arial"/>
          <w:sz w:val="16"/>
          <w:szCs w:val="16"/>
          <w:color w:val="auto"/>
        </w:rPr>
        <w:t>Our operations used cash flow of $10.7 million in the first six months of 2020. Our cash flow from operating activities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Equity and Equity-related Securities. </w:t>
      </w:r>
      <w:r>
        <w:rPr>
          <w:rFonts w:ascii="Arial" w:cs="Arial" w:eastAsia="Arial" w:hAnsi="Arial"/>
          <w:sz w:val="17"/>
          <w:szCs w:val="17"/>
          <w:color w:val="auto"/>
        </w:rPr>
        <w:t>During the six months ended June 30, 2020, we received proceeds of $873,000 from sales of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option exercises.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Release of Voluntarily Restricted Proceeds. </w:t>
      </w:r>
      <w:r>
        <w:rPr>
          <w:rFonts w:ascii="Arial" w:cs="Arial" w:eastAsia="Arial" w:hAnsi="Arial"/>
          <w:sz w:val="17"/>
          <w:szCs w:val="17"/>
          <w:color w:val="auto"/>
        </w:rPr>
        <w:t>During the six months ended June 30, 2020, we released the restrictions on $58.8 million of the cash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from the private placement investors that purchased ACM Shanghai shares in anticipation of the STAR Listing (see “—Recent Developments—STAR Market Listing and IPO” above). Previously, due to the investors’ redemption rights, we had voluntarily chosen to hold the proceeds as restricted cash. These redemption rights were removed upon submission of the STAR Listing application.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Short-Term Loan Facilities. </w:t>
      </w:r>
      <w:r>
        <w:rPr>
          <w:rFonts w:ascii="Arial" w:cs="Arial" w:eastAsia="Arial" w:hAnsi="Arial"/>
          <w:sz w:val="17"/>
          <w:szCs w:val="17"/>
          <w:color w:val="auto"/>
        </w:rPr>
        <w:t>We have short-term borrowings with three banks,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Annual</w:t>
            </w:r>
          </w:p>
        </w:tc>
        <w:tc>
          <w:tcPr>
            <w:tcW w:w="1800" w:type="dxa"/>
            <w:vAlign w:val="bottom"/>
            <w:gridSpan w:val="4"/>
          </w:tcPr>
          <w:p>
            <w:pPr>
              <w:spacing w:after="0"/>
              <w:rPr>
                <w:sz w:val="20"/>
                <w:szCs w:val="20"/>
                <w:color w:val="auto"/>
              </w:rPr>
            </w:pPr>
            <w:r>
              <w:rPr>
                <w:rFonts w:ascii="Arial" w:cs="Arial" w:eastAsia="Arial" w:hAnsi="Arial"/>
                <w:sz w:val="17"/>
                <w:szCs w:val="17"/>
                <w:b w:val="1"/>
                <w:bCs w:val="1"/>
                <w:color w:val="auto"/>
              </w:rPr>
              <w:t>Maximum Borrowing</w:t>
            </w:r>
          </w:p>
        </w:tc>
        <w:tc>
          <w:tcPr>
            <w:tcW w:w="1660" w:type="dxa"/>
            <w:vAlign w:val="bottom"/>
            <w:gridSpan w:val="3"/>
          </w:tcPr>
          <w:p>
            <w:pPr>
              <w:spacing w:after="0"/>
              <w:rPr>
                <w:sz w:val="20"/>
                <w:szCs w:val="20"/>
                <w:color w:val="auto"/>
              </w:rPr>
            </w:pPr>
            <w:r>
              <w:rPr>
                <w:rFonts w:ascii="Arial" w:cs="Arial" w:eastAsia="Arial" w:hAnsi="Arial"/>
                <w:sz w:val="17"/>
                <w:szCs w:val="17"/>
                <w:b w:val="1"/>
                <w:bCs w:val="1"/>
                <w:color w:val="auto"/>
                <w:w w:val="96"/>
              </w:rPr>
              <w:t>Amount Outstanding</w:t>
            </w:r>
          </w:p>
        </w:tc>
      </w:tr>
      <w:tr>
        <w:trPr>
          <w:trHeight w:val="233"/>
        </w:trPr>
        <w:tc>
          <w:tcPr>
            <w:tcW w:w="22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auto"/>
              </w:rPr>
              <w:t>Lender</w:t>
            </w:r>
          </w:p>
        </w:tc>
        <w:tc>
          <w:tcPr>
            <w:tcW w:w="186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auto"/>
              </w:rPr>
              <w:t>Agreement Date</w:t>
            </w: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7"/>
                <w:szCs w:val="17"/>
                <w:b w:val="1"/>
                <w:bCs w:val="1"/>
                <w:color w:val="auto"/>
              </w:rPr>
              <w:t>Maturity Date</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Interest Rate</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Amount(1)</w:t>
            </w:r>
          </w:p>
        </w:tc>
        <w:tc>
          <w:tcPr>
            <w:tcW w:w="20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3"/>
              </w:rPr>
              <w:t>at June 30, 2020</w:t>
            </w:r>
          </w:p>
        </w:tc>
        <w:tc>
          <w:tcPr>
            <w:tcW w:w="80" w:type="dxa"/>
            <w:vAlign w:val="bottom"/>
          </w:tcPr>
          <w:p>
            <w:pPr>
              <w:spacing w:after="0"/>
              <w:rPr>
                <w:sz w:val="20"/>
                <w:szCs w:val="20"/>
                <w:color w:val="auto"/>
              </w:rPr>
            </w:pPr>
          </w:p>
        </w:tc>
      </w:tr>
      <w:tr>
        <w:trPr>
          <w:trHeight w:val="196"/>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ind w:left="940"/>
              <w:spacing w:after="0"/>
              <w:rPr>
                <w:sz w:val="20"/>
                <w:szCs w:val="20"/>
                <w:color w:val="auto"/>
              </w:rPr>
            </w:pPr>
            <w:r>
              <w:rPr>
                <w:rFonts w:ascii="Arial" w:cs="Arial" w:eastAsia="Arial" w:hAnsi="Arial"/>
                <w:sz w:val="17"/>
                <w:szCs w:val="17"/>
                <w:i w:val="1"/>
                <w:iCs w:val="1"/>
                <w:color w:val="auto"/>
              </w:rPr>
              <w:t>(in</w:t>
            </w:r>
          </w:p>
        </w:tc>
        <w:tc>
          <w:tcPr>
            <w:tcW w:w="1780" w:type="dxa"/>
            <w:vAlign w:val="bottom"/>
            <w:gridSpan w:val="4"/>
          </w:tcPr>
          <w:p>
            <w:pPr>
              <w:jc w:val="right"/>
              <w:ind w:right="1113"/>
              <w:spacing w:after="0"/>
              <w:rPr>
                <w:sz w:val="20"/>
                <w:szCs w:val="20"/>
                <w:color w:val="auto"/>
              </w:rPr>
            </w:pPr>
            <w:r>
              <w:rPr>
                <w:rFonts w:ascii="Arial" w:cs="Arial" w:eastAsia="Arial" w:hAnsi="Arial"/>
                <w:sz w:val="16"/>
                <w:szCs w:val="16"/>
                <w:i w:val="1"/>
                <w:iCs w:val="1"/>
                <w:color w:val="auto"/>
                <w:w w:val="70"/>
              </w:rPr>
              <w:t>thousands)</w:t>
            </w:r>
          </w:p>
        </w:tc>
        <w:tc>
          <w:tcPr>
            <w:tcW w:w="80" w:type="dxa"/>
            <w:vAlign w:val="bottom"/>
          </w:tcPr>
          <w:p>
            <w:pPr>
              <w:spacing w:after="0"/>
              <w:rPr>
                <w:sz w:val="17"/>
                <w:szCs w:val="17"/>
                <w:color w:val="auto"/>
              </w:rPr>
            </w:pPr>
          </w:p>
        </w:tc>
      </w:tr>
      <w:tr>
        <w:trPr>
          <w:trHeight w:val="221"/>
        </w:trPr>
        <w:tc>
          <w:tcPr>
            <w:tcW w:w="2260" w:type="dxa"/>
            <w:vAlign w:val="bottom"/>
          </w:tcPr>
          <w:p>
            <w:pPr>
              <w:spacing w:after="0"/>
              <w:rPr>
                <w:sz w:val="20"/>
                <w:szCs w:val="20"/>
                <w:color w:val="auto"/>
              </w:rPr>
            </w:pPr>
            <w:r>
              <w:rPr>
                <w:rFonts w:ascii="Arial" w:cs="Arial" w:eastAsia="Arial" w:hAnsi="Arial"/>
                <w:sz w:val="17"/>
                <w:szCs w:val="17"/>
                <w:color w:val="auto"/>
                <w:w w:val="97"/>
              </w:rPr>
              <w:t>Bank of China Pudong Branch</w:t>
            </w:r>
          </w:p>
        </w:tc>
        <w:tc>
          <w:tcPr>
            <w:tcW w:w="1860" w:type="dxa"/>
            <w:vAlign w:val="bottom"/>
          </w:tcPr>
          <w:p>
            <w:pPr>
              <w:ind w:left="120"/>
              <w:spacing w:after="0"/>
              <w:rPr>
                <w:sz w:val="20"/>
                <w:szCs w:val="20"/>
                <w:color w:val="auto"/>
              </w:rPr>
            </w:pPr>
            <w:r>
              <w:rPr>
                <w:rFonts w:ascii="Arial" w:cs="Arial" w:eastAsia="Arial" w:hAnsi="Arial"/>
                <w:sz w:val="17"/>
                <w:szCs w:val="17"/>
                <w:color w:val="auto"/>
              </w:rPr>
              <w:t>June 2020</w:t>
            </w:r>
          </w:p>
        </w:tc>
        <w:tc>
          <w:tcPr>
            <w:tcW w:w="2260" w:type="dxa"/>
            <w:vAlign w:val="bottom"/>
          </w:tcPr>
          <w:p>
            <w:pPr>
              <w:ind w:left="160"/>
              <w:spacing w:after="0"/>
              <w:rPr>
                <w:sz w:val="20"/>
                <w:szCs w:val="20"/>
                <w:color w:val="auto"/>
              </w:rPr>
            </w:pPr>
            <w:r>
              <w:rPr>
                <w:rFonts w:ascii="Arial" w:cs="Arial" w:eastAsia="Arial" w:hAnsi="Arial"/>
                <w:sz w:val="17"/>
                <w:szCs w:val="17"/>
                <w:color w:val="auto"/>
              </w:rPr>
              <w:t>December 2020</w:t>
            </w:r>
          </w:p>
        </w:tc>
        <w:tc>
          <w:tcPr>
            <w:tcW w:w="1400" w:type="dxa"/>
            <w:vAlign w:val="bottom"/>
            <w:gridSpan w:val="3"/>
          </w:tcPr>
          <w:p>
            <w:pPr>
              <w:jc w:val="right"/>
              <w:ind w:right="100"/>
              <w:spacing w:after="0"/>
              <w:rPr>
                <w:sz w:val="20"/>
                <w:szCs w:val="20"/>
                <w:color w:val="auto"/>
              </w:rPr>
            </w:pPr>
            <w:r>
              <w:rPr>
                <w:rFonts w:ascii="Arial" w:cs="Arial" w:eastAsia="Arial" w:hAnsi="Arial"/>
                <w:sz w:val="17"/>
                <w:szCs w:val="17"/>
                <w:color w:val="auto"/>
              </w:rPr>
              <w:t>4.35%</w:t>
            </w:r>
          </w:p>
        </w:tc>
        <w:tc>
          <w:tcPr>
            <w:tcW w:w="240" w:type="dxa"/>
            <w:vAlign w:val="bottom"/>
          </w:tcPr>
          <w:p>
            <w:pPr>
              <w:spacing w:after="0"/>
              <w:rPr>
                <w:sz w:val="19"/>
                <w:szCs w:val="19"/>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7"/>
                <w:szCs w:val="17"/>
                <w:color w:val="auto"/>
              </w:rPr>
              <w:t>RMB30,000</w:t>
            </w:r>
          </w:p>
        </w:tc>
        <w:tc>
          <w:tcPr>
            <w:tcW w:w="14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RMB17,000</w:t>
            </w:r>
          </w:p>
        </w:tc>
      </w:tr>
      <w:tr>
        <w:trPr>
          <w:trHeight w:val="209"/>
        </w:trPr>
        <w:tc>
          <w:tcPr>
            <w:tcW w:w="2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2,402</w:t>
            </w:r>
          </w:p>
        </w:tc>
      </w:tr>
      <w:tr>
        <w:trPr>
          <w:trHeight w:val="209"/>
        </w:trPr>
        <w:tc>
          <w:tcPr>
            <w:tcW w:w="4120" w:type="dxa"/>
            <w:vAlign w:val="bottom"/>
            <w:gridSpan w:val="2"/>
          </w:tcPr>
          <w:p>
            <w:pPr>
              <w:spacing w:after="0"/>
              <w:rPr>
                <w:sz w:val="20"/>
                <w:szCs w:val="20"/>
                <w:color w:val="auto"/>
              </w:rPr>
            </w:pPr>
            <w:r>
              <w:rPr>
                <w:rFonts w:ascii="Arial" w:cs="Arial" w:eastAsia="Arial" w:hAnsi="Arial"/>
                <w:sz w:val="17"/>
                <w:szCs w:val="17"/>
                <w:color w:val="auto"/>
              </w:rPr>
              <w:t>Bank of Shanghai Pudong BranchApril 2020</w:t>
            </w:r>
          </w:p>
        </w:tc>
        <w:tc>
          <w:tcPr>
            <w:tcW w:w="2260" w:type="dxa"/>
            <w:vAlign w:val="bottom"/>
          </w:tcPr>
          <w:p>
            <w:pPr>
              <w:ind w:left="160"/>
              <w:spacing w:after="0"/>
              <w:rPr>
                <w:sz w:val="20"/>
                <w:szCs w:val="20"/>
                <w:color w:val="auto"/>
              </w:rPr>
            </w:pPr>
            <w:r>
              <w:rPr>
                <w:rFonts w:ascii="Arial" w:cs="Arial" w:eastAsia="Arial" w:hAnsi="Arial"/>
                <w:sz w:val="17"/>
                <w:szCs w:val="17"/>
                <w:color w:val="auto"/>
              </w:rPr>
              <w:t>May 2021 - June 2021</w:t>
            </w:r>
          </w:p>
        </w:tc>
        <w:tc>
          <w:tcPr>
            <w:tcW w:w="1400" w:type="dxa"/>
            <w:vAlign w:val="bottom"/>
            <w:gridSpan w:val="3"/>
          </w:tcPr>
          <w:p>
            <w:pPr>
              <w:jc w:val="right"/>
              <w:ind w:right="100"/>
              <w:spacing w:after="0"/>
              <w:rPr>
                <w:sz w:val="20"/>
                <w:szCs w:val="20"/>
                <w:color w:val="auto"/>
              </w:rPr>
            </w:pPr>
            <w:r>
              <w:rPr>
                <w:rFonts w:ascii="Arial" w:cs="Arial" w:eastAsia="Arial" w:hAnsi="Arial"/>
                <w:sz w:val="17"/>
                <w:szCs w:val="17"/>
                <w:color w:val="auto"/>
              </w:rPr>
              <w:t>3.48%-4.68%</w:t>
            </w:r>
          </w:p>
        </w:tc>
        <w:tc>
          <w:tcPr>
            <w:tcW w:w="24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7"/>
                <w:szCs w:val="17"/>
                <w:color w:val="auto"/>
              </w:rPr>
              <w:t>RMB70,000</w:t>
            </w: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RMB66,858</w:t>
            </w:r>
          </w:p>
        </w:tc>
      </w:tr>
      <w:tr>
        <w:trPr>
          <w:trHeight w:val="209"/>
        </w:trPr>
        <w:tc>
          <w:tcPr>
            <w:tcW w:w="2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9,447</w:t>
            </w:r>
          </w:p>
        </w:tc>
      </w:tr>
      <w:tr>
        <w:trPr>
          <w:trHeight w:val="209"/>
        </w:trPr>
        <w:tc>
          <w:tcPr>
            <w:tcW w:w="2260" w:type="dxa"/>
            <w:vAlign w:val="bottom"/>
          </w:tcPr>
          <w:p>
            <w:pPr>
              <w:spacing w:after="0"/>
              <w:rPr>
                <w:sz w:val="20"/>
                <w:szCs w:val="20"/>
                <w:color w:val="auto"/>
              </w:rPr>
            </w:pPr>
            <w:r>
              <w:rPr>
                <w:rFonts w:ascii="Arial" w:cs="Arial" w:eastAsia="Arial" w:hAnsi="Arial"/>
                <w:sz w:val="17"/>
                <w:szCs w:val="17"/>
                <w:color w:val="auto"/>
              </w:rPr>
              <w:t>Bank of Communications</w:t>
            </w:r>
          </w:p>
        </w:tc>
        <w:tc>
          <w:tcPr>
            <w:tcW w:w="1860" w:type="dxa"/>
            <w:vAlign w:val="bottom"/>
          </w:tcPr>
          <w:p>
            <w:pPr>
              <w:ind w:left="120"/>
              <w:spacing w:after="0"/>
              <w:rPr>
                <w:sz w:val="20"/>
                <w:szCs w:val="20"/>
                <w:color w:val="auto"/>
              </w:rPr>
            </w:pPr>
            <w:r>
              <w:rPr>
                <w:rFonts w:ascii="Arial" w:cs="Arial" w:eastAsia="Arial" w:hAnsi="Arial"/>
                <w:sz w:val="17"/>
                <w:szCs w:val="17"/>
                <w:color w:val="auto"/>
              </w:rPr>
              <w:t>April 2020</w:t>
            </w:r>
          </w:p>
        </w:tc>
        <w:tc>
          <w:tcPr>
            <w:tcW w:w="2260" w:type="dxa"/>
            <w:vAlign w:val="bottom"/>
          </w:tcPr>
          <w:p>
            <w:pPr>
              <w:ind w:left="160"/>
              <w:spacing w:after="0"/>
              <w:rPr>
                <w:sz w:val="20"/>
                <w:szCs w:val="20"/>
                <w:color w:val="auto"/>
              </w:rPr>
            </w:pPr>
            <w:r>
              <w:rPr>
                <w:rFonts w:ascii="Arial" w:cs="Arial" w:eastAsia="Arial" w:hAnsi="Arial"/>
                <w:sz w:val="17"/>
                <w:szCs w:val="17"/>
                <w:color w:val="auto"/>
              </w:rPr>
              <w:t>April 2021 - May 2021</w:t>
            </w:r>
          </w:p>
        </w:tc>
        <w:tc>
          <w:tcPr>
            <w:tcW w:w="1400" w:type="dxa"/>
            <w:vAlign w:val="bottom"/>
            <w:gridSpan w:val="3"/>
          </w:tcPr>
          <w:p>
            <w:pPr>
              <w:jc w:val="right"/>
              <w:ind w:right="100"/>
              <w:spacing w:after="0"/>
              <w:rPr>
                <w:sz w:val="20"/>
                <w:szCs w:val="20"/>
                <w:color w:val="auto"/>
              </w:rPr>
            </w:pPr>
            <w:r>
              <w:rPr>
                <w:rFonts w:ascii="Arial" w:cs="Arial" w:eastAsia="Arial" w:hAnsi="Arial"/>
                <w:sz w:val="17"/>
                <w:szCs w:val="17"/>
                <w:color w:val="auto"/>
              </w:rPr>
              <w:t>3.65%-4.65%</w:t>
            </w:r>
          </w:p>
        </w:tc>
        <w:tc>
          <w:tcPr>
            <w:tcW w:w="24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7"/>
                <w:szCs w:val="17"/>
                <w:color w:val="auto"/>
              </w:rPr>
              <w:t>RMB20,000</w:t>
            </w: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RMB20,000</w:t>
            </w:r>
          </w:p>
        </w:tc>
      </w:tr>
      <w:tr>
        <w:trPr>
          <w:trHeight w:val="209"/>
        </w:trPr>
        <w:tc>
          <w:tcPr>
            <w:tcW w:w="2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2,826</w:t>
            </w:r>
          </w:p>
        </w:tc>
      </w:tr>
      <w:tr>
        <w:trPr>
          <w:trHeight w:val="209"/>
        </w:trPr>
        <w:tc>
          <w:tcPr>
            <w:tcW w:w="2260" w:type="dxa"/>
            <w:vAlign w:val="bottom"/>
          </w:tcPr>
          <w:p>
            <w:pPr>
              <w:spacing w:after="0"/>
              <w:rPr>
                <w:sz w:val="20"/>
                <w:szCs w:val="20"/>
                <w:color w:val="auto"/>
              </w:rPr>
            </w:pPr>
            <w:r>
              <w:rPr>
                <w:rFonts w:ascii="Arial" w:cs="Arial" w:eastAsia="Arial" w:hAnsi="Arial"/>
                <w:sz w:val="17"/>
                <w:szCs w:val="17"/>
                <w:color w:val="auto"/>
              </w:rPr>
              <w:t>China Everbright Bank</w:t>
            </w:r>
          </w:p>
        </w:tc>
        <w:tc>
          <w:tcPr>
            <w:tcW w:w="1860" w:type="dxa"/>
            <w:vAlign w:val="bottom"/>
          </w:tcPr>
          <w:p>
            <w:pPr>
              <w:ind w:left="120"/>
              <w:spacing w:after="0"/>
              <w:rPr>
                <w:sz w:val="20"/>
                <w:szCs w:val="20"/>
                <w:color w:val="auto"/>
              </w:rPr>
            </w:pPr>
            <w:r>
              <w:rPr>
                <w:rFonts w:ascii="Arial" w:cs="Arial" w:eastAsia="Arial" w:hAnsi="Arial"/>
                <w:sz w:val="17"/>
                <w:szCs w:val="17"/>
                <w:color w:val="auto"/>
              </w:rPr>
              <w:t>February 2020</w:t>
            </w:r>
          </w:p>
        </w:tc>
        <w:tc>
          <w:tcPr>
            <w:tcW w:w="2260" w:type="dxa"/>
            <w:vAlign w:val="bottom"/>
          </w:tcPr>
          <w:p>
            <w:pPr>
              <w:ind w:left="160"/>
              <w:spacing w:after="0"/>
              <w:rPr>
                <w:sz w:val="20"/>
                <w:szCs w:val="20"/>
                <w:color w:val="auto"/>
              </w:rPr>
            </w:pPr>
            <w:r>
              <w:rPr>
                <w:rFonts w:ascii="Arial" w:cs="Arial" w:eastAsia="Arial" w:hAnsi="Arial"/>
                <w:sz w:val="17"/>
                <w:szCs w:val="17"/>
                <w:color w:val="auto"/>
              </w:rPr>
              <w:t>August 2020</w:t>
            </w:r>
          </w:p>
        </w:tc>
        <w:tc>
          <w:tcPr>
            <w:tcW w:w="1400" w:type="dxa"/>
            <w:vAlign w:val="bottom"/>
            <w:gridSpan w:val="3"/>
          </w:tcPr>
          <w:p>
            <w:pPr>
              <w:jc w:val="right"/>
              <w:ind w:right="100"/>
              <w:spacing w:after="0"/>
              <w:rPr>
                <w:sz w:val="20"/>
                <w:szCs w:val="20"/>
                <w:color w:val="auto"/>
              </w:rPr>
            </w:pPr>
            <w:r>
              <w:rPr>
                <w:rFonts w:ascii="Arial" w:cs="Arial" w:eastAsia="Arial" w:hAnsi="Arial"/>
                <w:sz w:val="17"/>
                <w:szCs w:val="17"/>
                <w:color w:val="auto"/>
              </w:rPr>
              <w:t>5.22%</w:t>
            </w:r>
          </w:p>
        </w:tc>
        <w:tc>
          <w:tcPr>
            <w:tcW w:w="24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7"/>
                <w:szCs w:val="17"/>
                <w:color w:val="auto"/>
              </w:rPr>
              <w:t>RMB50,000</w:t>
            </w: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RMB19,000</w:t>
            </w:r>
          </w:p>
        </w:tc>
      </w:tr>
      <w:tr>
        <w:trPr>
          <w:trHeight w:val="209"/>
        </w:trPr>
        <w:tc>
          <w:tcPr>
            <w:tcW w:w="2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2,685</w:t>
            </w:r>
          </w:p>
        </w:tc>
      </w:tr>
      <w:tr>
        <w:trPr>
          <w:trHeight w:val="209"/>
        </w:trPr>
        <w:tc>
          <w:tcPr>
            <w:tcW w:w="2260" w:type="dxa"/>
            <w:vAlign w:val="bottom"/>
          </w:tcPr>
          <w:p>
            <w:pPr>
              <w:spacing w:after="0"/>
              <w:rPr>
                <w:sz w:val="20"/>
                <w:szCs w:val="20"/>
                <w:color w:val="auto"/>
              </w:rPr>
            </w:pPr>
            <w:r>
              <w:rPr>
                <w:rFonts w:ascii="Arial" w:cs="Arial" w:eastAsia="Arial" w:hAnsi="Arial"/>
                <w:sz w:val="17"/>
                <w:szCs w:val="17"/>
                <w:color w:val="auto"/>
              </w:rPr>
              <w:t>China Everbright Bank</w:t>
            </w:r>
          </w:p>
        </w:tc>
        <w:tc>
          <w:tcPr>
            <w:tcW w:w="1860" w:type="dxa"/>
            <w:vAlign w:val="bottom"/>
          </w:tcPr>
          <w:p>
            <w:pPr>
              <w:ind w:left="120"/>
              <w:spacing w:after="0"/>
              <w:rPr>
                <w:sz w:val="20"/>
                <w:szCs w:val="20"/>
                <w:color w:val="auto"/>
              </w:rPr>
            </w:pPr>
            <w:r>
              <w:rPr>
                <w:rFonts w:ascii="Arial" w:cs="Arial" w:eastAsia="Arial" w:hAnsi="Arial"/>
                <w:sz w:val="17"/>
                <w:szCs w:val="17"/>
                <w:color w:val="auto"/>
              </w:rPr>
              <w:t>April 2020</w:t>
            </w:r>
          </w:p>
        </w:tc>
        <w:tc>
          <w:tcPr>
            <w:tcW w:w="2260" w:type="dxa"/>
            <w:vAlign w:val="bottom"/>
          </w:tcPr>
          <w:p>
            <w:pPr>
              <w:ind w:left="160"/>
              <w:spacing w:after="0"/>
              <w:rPr>
                <w:sz w:val="20"/>
                <w:szCs w:val="20"/>
                <w:color w:val="auto"/>
              </w:rPr>
            </w:pPr>
            <w:r>
              <w:rPr>
                <w:rFonts w:ascii="Arial" w:cs="Arial" w:eastAsia="Arial" w:hAnsi="Arial"/>
                <w:sz w:val="17"/>
                <w:szCs w:val="17"/>
                <w:color w:val="auto"/>
              </w:rPr>
              <w:t>April 2021 - June 2021</w:t>
            </w:r>
          </w:p>
        </w:tc>
        <w:tc>
          <w:tcPr>
            <w:tcW w:w="1400" w:type="dxa"/>
            <w:vAlign w:val="bottom"/>
            <w:gridSpan w:val="3"/>
          </w:tcPr>
          <w:p>
            <w:pPr>
              <w:jc w:val="right"/>
              <w:ind w:right="100"/>
              <w:spacing w:after="0"/>
              <w:rPr>
                <w:sz w:val="20"/>
                <w:szCs w:val="20"/>
                <w:color w:val="auto"/>
              </w:rPr>
            </w:pPr>
            <w:r>
              <w:rPr>
                <w:rFonts w:ascii="Arial" w:cs="Arial" w:eastAsia="Arial" w:hAnsi="Arial"/>
                <w:sz w:val="17"/>
                <w:szCs w:val="17"/>
                <w:color w:val="auto"/>
              </w:rPr>
              <w:t>2.7%-4.7%</w:t>
            </w:r>
          </w:p>
        </w:tc>
        <w:tc>
          <w:tcPr>
            <w:tcW w:w="24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7"/>
                <w:szCs w:val="17"/>
                <w:color w:val="auto"/>
              </w:rPr>
              <w:t>RMB80,000</w:t>
            </w: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RMB59,531</w:t>
            </w:r>
          </w:p>
        </w:tc>
      </w:tr>
      <w:tr>
        <w:trPr>
          <w:trHeight w:val="209"/>
        </w:trPr>
        <w:tc>
          <w:tcPr>
            <w:tcW w:w="2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8,412</w:t>
            </w:r>
          </w:p>
        </w:tc>
      </w:tr>
      <w:tr>
        <w:trPr>
          <w:trHeight w:val="209"/>
        </w:trPr>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35,325</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25,772</w:t>
            </w:r>
          </w:p>
        </w:tc>
      </w:tr>
      <w:tr>
        <w:trPr>
          <w:trHeight w:val="20"/>
        </w:trPr>
        <w:tc>
          <w:tcPr>
            <w:tcW w:w="2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ind w:left="480" w:hanging="476"/>
        <w:spacing w:after="0"/>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Converted from RMB to dollars as of June 30, 2020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of the amounts owing under the line of credit with China Everbright Bank and Bank of China Pudong Branch are guaranteed by Dr. David Wang, our Chief Executive Officer, President and Chair of the Board. All of the amounts owing under the line of credit with Bank of Shanghai Pudong Branch are guaranteed by Dr. David Wang, our Chief Executive Officer, President and Chair of the Board, and CleanChip Technologies LTD, a wholly owned subsidiary of ACM Shanghai.</w:t>
      </w:r>
    </w:p>
    <w:p>
      <w:pPr>
        <w:spacing w:after="0" w:line="20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i w:val="1"/>
          <w:iCs w:val="1"/>
          <w:color w:val="auto"/>
        </w:rPr>
        <w:t xml:space="preserve">Government Research and Development Grants. </w:t>
      </w:r>
      <w:r>
        <w:rPr>
          <w:rFonts w:ascii="Arial" w:cs="Arial" w:eastAsia="Arial" w:hAnsi="Arial"/>
          <w:sz w:val="15"/>
          <w:szCs w:val="15"/>
          <w:color w:val="auto"/>
        </w:rPr>
        <w:t>As described under “Government Research and Development Funding,” ACM Shanghai has received research</w:t>
      </w:r>
      <w:r>
        <w:rPr>
          <w:rFonts w:ascii="Arial" w:cs="Arial" w:eastAsia="Arial" w:hAnsi="Arial"/>
          <w:sz w:val="15"/>
          <w:szCs w:val="15"/>
          <w:i w:val="1"/>
          <w:iCs w:val="1"/>
          <w:color w:val="auto"/>
        </w:rPr>
        <w:t xml:space="preserve"> </w:t>
      </w:r>
      <w:r>
        <w:rPr>
          <w:rFonts w:ascii="Arial" w:cs="Arial" w:eastAsia="Arial" w:hAnsi="Arial"/>
          <w:sz w:val="15"/>
          <w:szCs w:val="15"/>
          <w:color w:val="auto"/>
        </w:rPr>
        <w:t>and development grants from local and central PRC governmental authorities. ACM Shanghai received cash payments of $2.8 million related to such grants received in the six months ended June 30, 2020, as compared to cash payments of $1.5 million related to such grants received during the same period in 2019.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960" w:type="dxa"/>
            <w:vAlign w:val="bottom"/>
            <w:gridSpan w:val="2"/>
          </w:tcPr>
          <w:p>
            <w:pPr>
              <w:spacing w:after="0"/>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The following table sets forth selected working capital information: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50"/>
        </w:trPr>
        <w:tc>
          <w:tcPr>
            <w:tcW w:w="11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b w:val="1"/>
                <w:bCs w:val="1"/>
                <w:color w:val="auto"/>
                <w:w w:val="95"/>
              </w:rPr>
              <w:t>June 30, 2020</w:t>
            </w:r>
          </w:p>
        </w:tc>
        <w:tc>
          <w:tcPr>
            <w:tcW w:w="8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i w:val="1"/>
                <w:iCs w:val="1"/>
                <w:color w:val="auto"/>
                <w:w w:val="90"/>
              </w:rPr>
              <w:t>(in thousands)</w:t>
            </w:r>
          </w:p>
        </w:tc>
        <w:tc>
          <w:tcPr>
            <w:tcW w:w="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3"/>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86,397</w:t>
            </w:r>
          </w:p>
        </w:tc>
        <w:tc>
          <w:tcPr>
            <w:tcW w:w="80" w:type="dxa"/>
            <w:vAlign w:val="bottom"/>
            <w:shd w:val="clear" w:color="auto" w:fill="CCEEFF"/>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58,903</w:t>
            </w:r>
          </w:p>
        </w:tc>
        <w:tc>
          <w:tcPr>
            <w:tcW w:w="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color w:val="auto"/>
              </w:rPr>
              <w:t>Inventory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49,772</w:t>
            </w:r>
          </w:p>
        </w:tc>
        <w:tc>
          <w:tcPr>
            <w:tcW w:w="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195,072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cash and cash equivalents at June 30, 2020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Funds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We incurred $1.6 million in capital expenditures in the first six months of 2020, versus $0.4 million during the same period in 2019.</w:t>
      </w:r>
    </w:p>
    <w:p>
      <w:pPr>
        <w:spacing w:after="0" w:line="2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Long-term Investments. </w:t>
      </w:r>
      <w:r>
        <w:rPr>
          <w:rFonts w:ascii="Arial" w:cs="Arial" w:eastAsia="Arial" w:hAnsi="Arial"/>
          <w:sz w:val="17"/>
          <w:szCs w:val="17"/>
          <w:color w:val="auto"/>
        </w:rPr>
        <w:t>ACM Shanghai made a $14.1 million long-term investment in the Qingdao Limited Partnership Fund during the first six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2020, which partnership was formed to establish a special fund that would purchase, in a strategic placement, shares of Semiconductor Manufacturing International Corporation to be listed on the STAR Market.</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Other Long-term Assets</w:t>
      </w:r>
      <w:r>
        <w:rPr>
          <w:rFonts w:ascii="Arial" w:cs="Arial" w:eastAsia="Arial" w:hAnsi="Arial"/>
          <w:sz w:val="17"/>
          <w:szCs w:val="17"/>
          <w:color w:val="auto"/>
        </w:rPr>
        <w:t>. ACM Shanghai made cash payments totaling $15.4 million in the first six months of 2020 in connection with its project to build a</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production center in the Lingang region of Shanghai.</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jc w:val="both"/>
        <w:spacing w:after="0" w:line="215" w:lineRule="exact"/>
        <w:rPr>
          <w:sz w:val="20"/>
          <w:szCs w:val="20"/>
          <w:color w:val="auto"/>
        </w:rPr>
      </w:pPr>
      <w:r>
        <w:rPr>
          <w:rFonts w:ascii="Arial" w:cs="Arial" w:eastAsia="Arial" w:hAnsi="Arial"/>
          <w:sz w:val="17"/>
          <w:szCs w:val="17"/>
          <w:color w:val="auto"/>
        </w:rPr>
        <w:t>As of June 30, 2020, we did not have any significant off-balance sheet arrangements, as defined in Item303 (a)(4)(ii) of Regulation S</w:t>
      </w:r>
      <w:r>
        <w:rPr>
          <w:rFonts w:ascii="MS PGothic" w:cs="MS PGothic" w:eastAsia="MS PGothic" w:hAnsi="MS PGothic"/>
          <w:sz w:val="17"/>
          <w:szCs w:val="17"/>
          <w:color w:val="auto"/>
        </w:rPr>
        <w:t>‑</w:t>
      </w:r>
      <w:r>
        <w:rPr>
          <w:rFonts w:ascii="Arial" w:cs="Arial" w:eastAsia="Arial" w:hAnsi="Arial"/>
          <w:sz w:val="17"/>
          <w:szCs w:val="17"/>
          <w:color w:val="auto"/>
        </w:rPr>
        <w:t>K under the Securities Act of 1933.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December 31, 2020, at which time we will become a “large accelerated filer” for purposes of the SEC’s disclosure requirements as the result of the market value of our capital stock held by non-affiliates exceeding $700 million as of June 30, 2020. We have chosen to take advantage of some of the emerging growth company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Risks</w:t>
      </w:r>
    </w:p>
    <w:p>
      <w:pPr>
        <w:spacing w:after="0" w:line="228"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color w:val="auto"/>
        </w:rPr>
        <w:t>We are a smaller reporting company as defined by Item 10(f)(1) of Regulation S-K under the Securities Act of 1933 and as such are not required to provide information under this Item.</w:t>
      </w:r>
    </w:p>
    <w:p>
      <w:pPr>
        <w:spacing w:after="0" w:line="17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2020.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rules and forms of the SEC.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2020, our chief executive officer and chief financial officer concluded that, as of such date, our disclosure controls and procedures over financial reporting were effective.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During the three months ended June 30, 2020, no changes were identified to our internal control over financial reporting that materially affected, or were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2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There have been no material developments with regard to legal proceedings in the six months ended June 30, 2020 or in the subsequent period up to the date of this report.</w:t>
      </w:r>
    </w:p>
    <w:p>
      <w:pPr>
        <w:spacing w:after="0" w:line="15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the STAR Listing and the STAR IPO are completed, ACM Research and ACM Shanghai both will be public reporting companies but each will be subject to separate, and potentially inconsistent, accounting and disclosure requirements, which may lead to investor confusion or uncertainty that could cause decreased demand for, or fluctuations in the price of, one or both of the companies’ publicly traded shares.</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If ACM Shanghai completes the STAR Listing and the STAR IPO, it will be subject to accounting, disclosure and other regulatory requirements of the STAR Market. At the same time, ACM Research will remain subject to accounting, disclosure and other regulatory requirements of the SEC and the Nasdaq Global Market, or Nasdaq. As a result, ACM Research and ACM Shanghai periodically will disclose information simultaneously pursuant to differing laws and regulations. Even though substantially all of the operations of ACM Research are currently conducted through ACM Shanghai, the information disclosed by the two companies will differ, and may differ materially from time to time, due to the distinct, and potentially inconsistent, accounting standards applicable to the two companies and disclosure requirements imposed by securities regulatory authorities, as well as differences in language, culture and expression habit, in composition of investors in the United States and PRC, and in the capital markets of the United States and the PRC.</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Differing disclosures could lead to confusion or uncertainty among investors in the publicly traded shares of one or both companies. Differences between the price of ACM Shanghai shares on the STAR Market and the price of ACM Research Class A common stock on Nasdaq could lead to increased volatility, as some investors seek to arbitrage price differences. Moreover, such volatility could be exacerbated by the fact that ACM Shanghai shares currently represent substantially all of the assets of ACM Research.</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could be adversely affected if proposed legislation is adopted regarding improved access to audit and other information and audit inspections of accounting firms, including registered public accounting firms operating in the PRC such as our auditor, or if Nasdaq’s proposals requiring additional criteria to companies operating in “restrictive markets” become effective.</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BDO China Shu Lun Pan Certified Public Accountants LLP, our independent registered public accounting firm, is not inspected by the Public Company Accounting Oversight Board, or PCAOB. See “Item 1A. Risk Factors—Risks Related to Our Business and Our Industry—Our auditor, as a registered public accounting firm operating in the PRC, is not permitted to be inspected by the Public Company Accounting Oversight Board, and consequently investors may be deprived of the benefits of such inspections” of Part I of our Annual Report. ACM is 1 of 283 companies named in PCAOB’s list of “Public Companies that are Audit Clients of PCAOB-Registered Firms from Non-U.S. Jurisdictions where the PCAOB is Denied Access to Conduct Inspections.”</w:t>
      </w:r>
    </w:p>
    <w:p>
      <w:pPr>
        <w:sectPr>
          <w:pgSz w:w="11900" w:h="16838" w:orient="portrait"/>
          <w:cols w:equalWidth="0" w:num="1">
            <w:col w:w="11240"/>
          </w:cols>
          <w:pgMar w:left="320" w:top="122" w:right="339" w:bottom="481"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481"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2020, the SEC and the PCAOB issued a joint statement highlighting the significant disclosure, financial reporting and other risks associated with emerging market investments, including the PCAOB’s continued inability to inspect audit work papers of auditors in the PRC. This statement is the latest in a series of recent proposed actions:</w:t>
      </w:r>
    </w:p>
    <w:p>
      <w:pPr>
        <w:spacing w:after="0" w:line="197" w:lineRule="exact"/>
        <w:rPr>
          <w:sz w:val="20"/>
          <w:szCs w:val="20"/>
          <w:color w:val="auto"/>
        </w:rPr>
      </w:pPr>
    </w:p>
    <w:p>
      <w:pPr>
        <w:ind w:left="300" w:hanging="296"/>
        <w:spacing w:after="0" w:line="287"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December 2018 the SEC and the PCAOB issued a joint statement highlighting continued challenges faced by U.S. regulators in their oversight of financial statement audits of U.S.-listed reporting companies with significant operations in the PRC.</w:t>
      </w:r>
    </w:p>
    <w:p>
      <w:pPr>
        <w:spacing w:after="0" w:line="185" w:lineRule="exact"/>
        <w:rPr>
          <w:rFonts w:ascii="Arial" w:cs="Arial" w:eastAsia="Arial" w:hAnsi="Arial"/>
          <w:sz w:val="17"/>
          <w:szCs w:val="17"/>
          <w:color w:val="auto"/>
        </w:rPr>
      </w:pPr>
    </w:p>
    <w:p>
      <w:pPr>
        <w:jc w:val="both"/>
        <w:ind w:left="300" w:hanging="296"/>
        <w:spacing w:after="0" w:line="264"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June 2019 a bipartisan group of lawmakers introduced bills in both houses of the U.S. Congress that, if passed, would have required the SEC to maintain a list of foreign reporting companies for which the PCAOB is not able to inspect or investigate an auditor report issued by a foreign public accounting firm. The proposed Ensuring Quality Information and Transparency for Abroad-Based Listings on our Exchanges Act, or EQUITABLE Act, would have prescribed increased disclosure requirements for these reporting companies and, beginning in 2025, provided for the delisting from U.S. stock exchanges of reporting companies included on the SEC’s list for three consecutive years.</w:t>
      </w:r>
    </w:p>
    <w:p>
      <w:pPr>
        <w:spacing w:after="0" w:line="204" w:lineRule="exact"/>
        <w:rPr>
          <w:rFonts w:ascii="Arial" w:cs="Arial" w:eastAsia="Arial" w:hAnsi="Arial"/>
          <w:sz w:val="17"/>
          <w:szCs w:val="17"/>
          <w:color w:val="auto"/>
        </w:rPr>
      </w:pPr>
    </w:p>
    <w:p>
      <w:pPr>
        <w:jc w:val="both"/>
        <w:ind w:left="300" w:hanging="296"/>
        <w:spacing w:after="0" w:line="272"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May 2020 the U.S. Senate approved a bill entitled the “Holding Foreign Companies Accountable Act”, which, if also approved by the U.S. House of Representatives, would allow the SEC to delist the stocks of foreign companies listed on US exchanges that are audited by firms not allowed to be inspected by the PCAOB.</w:t>
      </w:r>
    </w:p>
    <w:p>
      <w:pPr>
        <w:spacing w:after="0" w:line="196" w:lineRule="exact"/>
        <w:rPr>
          <w:rFonts w:ascii="Arial" w:cs="Arial" w:eastAsia="Arial" w:hAnsi="Arial"/>
          <w:sz w:val="17"/>
          <w:szCs w:val="17"/>
          <w:color w:val="auto"/>
        </w:rPr>
      </w:pPr>
    </w:p>
    <w:p>
      <w:pPr>
        <w:jc w:val="both"/>
        <w:ind w:left="300" w:hanging="296"/>
        <w:spacing w:after="0" w:line="260"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May 2020 Nasdaq requested approval by the SEC of proposals that would impact companies with businesses principally administered in jurisdictions defined as “restrictive markets,” which likely would encompass the PRC. These proposals contemplate, among other things, the application of more stringent listing criteria if a listed company’s auditor does not demonstrate a PCAOB inspection record (as is the case with our auditor), employee expertise and training, or geographic or other resources sufficient to perform the company’s audit satisfactorily. Examples of more stringent criteria that Nasdaq could apply include requiring: (a) higher levels of equity, assets, earnings or liquidity than are otherwise needed; (b) that any public offering to be underwritten on a firm commitment basis (involving more due diligence by the underwriter); and (c) the imposition of lock-up restrictions on directors and officers to allow market mechanisms to determine an appropriate price for shares before the insiders could sell. Alternatively, Nasdaq could deny continued listing to a company.</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It remains unclear what further actions the SEC, the PCAOB or Nasdaq will take to address these issues and what impact those actions will have on US companies that have significant operations in the PRC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Initial Public Offering Proceeds</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net proceeds of our initial public offering of Class A common stock in November 2017, after deducting underwriting discounts and commissions and offering expenses, were $17.3 million. There was no material change in the planned use of proceeds from that described in the final prospectus filed with the SEC pursuant to Rule 424(b)(4) under the Securities Act of 1933 on November 3, 2017. As of June 30, 2020, we had applied all of the net proceeds to purchase inventory and ordinary course of business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as part of this report: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0" w:type="dxa"/>
            <w:vAlign w:val="bottom"/>
          </w:tcPr>
          <w:p>
            <w:pPr>
              <w:ind w:left="620"/>
              <w:spacing w:after="0"/>
              <w:rPr>
                <w:sz w:val="20"/>
                <w:szCs w:val="20"/>
                <w:color w:val="auto"/>
              </w:rPr>
            </w:pPr>
            <w:r>
              <w:rPr>
                <w:rFonts w:ascii="Arial" w:cs="Arial" w:eastAsia="Arial" w:hAnsi="Arial"/>
                <w:sz w:val="17"/>
                <w:szCs w:val="17"/>
                <w:b w:val="1"/>
                <w:bCs w:val="1"/>
                <w:color w:val="auto"/>
              </w:rPr>
              <w:t>Exhibit</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r>
      <w:tr>
        <w:trPr>
          <w:trHeight w:val="233"/>
        </w:trPr>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Number</w:t>
            </w:r>
          </w:p>
        </w:tc>
        <w:tc>
          <w:tcPr>
            <w:tcW w:w="440" w:type="dxa"/>
            <w:vAlign w:val="bottom"/>
            <w:tcBorders>
              <w:bottom w:val="single" w:sz="8" w:color="CCEEFF"/>
            </w:tcBorders>
          </w:tcPr>
          <w:p>
            <w:pPr>
              <w:spacing w:after="0"/>
              <w:rPr>
                <w:sz w:val="20"/>
                <w:szCs w:val="20"/>
                <w:color w:val="auto"/>
              </w:rPr>
            </w:pPr>
          </w:p>
        </w:tc>
        <w:tc>
          <w:tcPr>
            <w:tcW w:w="9000" w:type="dxa"/>
            <w:vAlign w:val="bottom"/>
            <w:tcBorders>
              <w:bottom w:val="single" w:sz="8" w:color="auto"/>
            </w:tcBorders>
          </w:tcPr>
          <w:p>
            <w:pPr>
              <w:ind w:left="4080"/>
              <w:spacing w:after="0"/>
              <w:rPr>
                <w:sz w:val="20"/>
                <w:szCs w:val="20"/>
                <w:color w:val="auto"/>
              </w:rPr>
            </w:pPr>
            <w:r>
              <w:rPr>
                <w:rFonts w:ascii="Arial" w:cs="Arial" w:eastAsia="Arial" w:hAnsi="Arial"/>
                <w:sz w:val="17"/>
                <w:szCs w:val="17"/>
                <w:b w:val="1"/>
                <w:bCs w:val="1"/>
                <w:color w:val="auto"/>
              </w:rPr>
              <w:t>Description</w:t>
            </w:r>
          </w:p>
        </w:tc>
      </w:tr>
      <w:tr>
        <w:trPr>
          <w:trHeight w:val="196"/>
        </w:trPr>
        <w:tc>
          <w:tcPr>
            <w:tcW w:w="1800" w:type="dxa"/>
            <w:vAlign w:val="bottom"/>
            <w:shd w:val="clear" w:color="auto" w:fill="CCEEFF"/>
          </w:tcPr>
          <w:p>
            <w:pPr>
              <w:ind w:left="40"/>
              <w:spacing w:after="0"/>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4.01‡</w:t>
              </w:r>
            </w:hyperlink>
          </w:p>
        </w:tc>
        <w:tc>
          <w:tcPr>
            <w:tcW w:w="440" w:type="dxa"/>
            <w:vAlign w:val="bottom"/>
            <w:shd w:val="clear" w:color="auto" w:fill="CCEEFF"/>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w w:val="93"/>
              </w:rPr>
              <w:t>Warrant to Purchase Class A Common Stock issued to Shengxin (Shanghai) Management Consulting Limited Partnership dated</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July 29, 2020</w:t>
            </w:r>
          </w:p>
        </w:tc>
      </w:tr>
      <w:tr>
        <w:trPr>
          <w:trHeight w:val="196"/>
        </w:trPr>
        <w:tc>
          <w:tcPr>
            <w:tcW w:w="1800" w:type="dxa"/>
            <w:vAlign w:val="bottom"/>
          </w:tcPr>
          <w:p>
            <w:pPr>
              <w:spacing w:after="0"/>
              <w:rPr>
                <w:rFonts w:ascii="Arial" w:cs="Arial" w:eastAsia="Arial" w:hAnsi="Arial"/>
                <w:sz w:val="17"/>
                <w:szCs w:val="17"/>
                <w:u w:val="single" w:color="auto"/>
                <w:color w:val="0000EE"/>
              </w:rPr>
            </w:pPr>
            <w:hyperlink r:id="rId49">
              <w:r>
                <w:rPr>
                  <w:rFonts w:ascii="Arial" w:cs="Arial" w:eastAsia="Arial" w:hAnsi="Arial"/>
                  <w:sz w:val="17"/>
                  <w:szCs w:val="17"/>
                  <w:u w:val="single" w:color="auto"/>
                  <w:color w:val="0000EE"/>
                </w:rPr>
                <w:t>10.01+‡</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5"/>
              </w:rPr>
              <w:t>Grant Contract for State-owned Construction Land Use Right in Shanghai City (Category of R&amp;D Headquarters and Industrial</w:t>
            </w:r>
          </w:p>
        </w:tc>
      </w:tr>
      <w:tr>
        <w:trPr>
          <w:trHeight w:val="209"/>
        </w:trPr>
        <w:tc>
          <w:tcPr>
            <w:tcW w:w="1800" w:type="dxa"/>
            <w:vAlign w:val="bottom"/>
          </w:tcPr>
          <w:p>
            <w:pPr>
              <w:spacing w:after="0"/>
              <w:rPr>
                <w:sz w:val="18"/>
                <w:szCs w:val="18"/>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2"/>
              </w:rPr>
              <w:t>Projects) dated as of May 7, 2020 between ACM Research (Lingang), Inc. and China (Shanghai) Pilot Free Trade Zone Lin-gang</w:t>
            </w:r>
          </w:p>
        </w:tc>
      </w:tr>
      <w:tr>
        <w:trPr>
          <w:trHeight w:val="221"/>
        </w:trPr>
        <w:tc>
          <w:tcPr>
            <w:tcW w:w="1800" w:type="dxa"/>
            <w:vAlign w:val="bottom"/>
          </w:tcPr>
          <w:p>
            <w:pPr>
              <w:spacing w:after="0"/>
              <w:rPr>
                <w:sz w:val="19"/>
                <w:szCs w:val="19"/>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Special Area Administration</w:t>
            </w:r>
          </w:p>
        </w:tc>
      </w:tr>
      <w:tr>
        <w:trPr>
          <w:trHeight w:val="209"/>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50">
              <w:r>
                <w:rPr>
                  <w:rFonts w:ascii="Arial" w:cs="Arial" w:eastAsia="Arial" w:hAnsi="Arial"/>
                  <w:sz w:val="17"/>
                  <w:szCs w:val="17"/>
                  <w:u w:val="single" w:color="auto"/>
                  <w:color w:val="0000EE"/>
                </w:rPr>
                <w:t>10.02+</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Commitment Letter Regarding the Lock-up of Shares, effective as of May 26, 2020, of ACM Research, Inc.</w:t>
            </w:r>
          </w:p>
        </w:tc>
      </w:tr>
      <w:tr>
        <w:trPr>
          <w:trHeight w:val="196"/>
        </w:trPr>
        <w:tc>
          <w:tcPr>
            <w:tcW w:w="1800" w:type="dxa"/>
            <w:vAlign w:val="bottom"/>
          </w:tcPr>
          <w:p>
            <w:pPr>
              <w:spacing w:after="0"/>
              <w:rPr>
                <w:rFonts w:ascii="Arial" w:cs="Arial" w:eastAsia="Arial" w:hAnsi="Arial"/>
                <w:sz w:val="17"/>
                <w:szCs w:val="17"/>
                <w:u w:val="single" w:color="auto"/>
                <w:color w:val="0000EE"/>
              </w:rPr>
            </w:pPr>
            <w:hyperlink r:id="rId51">
              <w:r>
                <w:rPr>
                  <w:rFonts w:ascii="Arial" w:cs="Arial" w:eastAsia="Arial" w:hAnsi="Arial"/>
                  <w:sz w:val="17"/>
                  <w:szCs w:val="17"/>
                  <w:u w:val="single" w:color="auto"/>
                  <w:color w:val="0000EE"/>
                </w:rPr>
                <w:t>10.03+</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5"/>
              </w:rPr>
              <w:t>Commitment Letter Regarding Shareholding Intent and Intent to Reduce Shareholding, effective as of May 26, 2020, of ACM</w:t>
            </w:r>
          </w:p>
        </w:tc>
      </w:tr>
      <w:tr>
        <w:trPr>
          <w:trHeight w:val="221"/>
        </w:trPr>
        <w:tc>
          <w:tcPr>
            <w:tcW w:w="1800" w:type="dxa"/>
            <w:vAlign w:val="bottom"/>
          </w:tcPr>
          <w:p>
            <w:pPr>
              <w:spacing w:after="0"/>
              <w:rPr>
                <w:sz w:val="19"/>
                <w:szCs w:val="19"/>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Research, Inc. and David H. Wang</w:t>
            </w:r>
          </w:p>
        </w:tc>
      </w:tr>
      <w:tr>
        <w:trPr>
          <w:trHeight w:val="197"/>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52">
              <w:r>
                <w:rPr>
                  <w:rFonts w:ascii="Arial" w:cs="Arial" w:eastAsia="Arial" w:hAnsi="Arial"/>
                  <w:sz w:val="17"/>
                  <w:szCs w:val="17"/>
                  <w:u w:val="single" w:color="auto"/>
                  <w:color w:val="0000EE"/>
                </w:rPr>
                <w:t>10.04+</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3"/>
              </w:rPr>
              <w:t>Commitment Letter Regarding the Plan and Binding Measures for Stabilizing the Stock Price of ACM Research (Shanghai), Inc.</w:t>
            </w:r>
          </w:p>
        </w:tc>
      </w:tr>
      <w:tr>
        <w:trPr>
          <w:trHeight w:val="209"/>
        </w:trPr>
        <w:tc>
          <w:tcPr>
            <w:tcW w:w="1800" w:type="dxa"/>
            <w:vAlign w:val="bottom"/>
            <w:shd w:val="clear" w:color="auto" w:fill="CCEEFF"/>
          </w:tcPr>
          <w:p>
            <w:pPr>
              <w:spacing w:after="0"/>
              <w:rPr>
                <w:sz w:val="18"/>
                <w:szCs w:val="18"/>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6"/>
              </w:rPr>
              <w:t>Within Three Years After Listing, effective as of May 26, 2020, of ACM Research, Inc., ACM Research (Shanghai), Inc., and</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certain individuals named therein</w:t>
            </w:r>
          </w:p>
        </w:tc>
      </w:tr>
      <w:tr>
        <w:trPr>
          <w:trHeight w:val="196"/>
        </w:trPr>
        <w:tc>
          <w:tcPr>
            <w:tcW w:w="1800" w:type="dxa"/>
            <w:vAlign w:val="bottom"/>
          </w:tcPr>
          <w:p>
            <w:pPr>
              <w:spacing w:after="0"/>
              <w:rPr>
                <w:rFonts w:ascii="Arial" w:cs="Arial" w:eastAsia="Arial" w:hAnsi="Arial"/>
                <w:sz w:val="17"/>
                <w:szCs w:val="17"/>
                <w:u w:val="single" w:color="auto"/>
                <w:color w:val="0000EE"/>
              </w:rPr>
            </w:pPr>
            <w:hyperlink r:id="rId53">
              <w:r>
                <w:rPr>
                  <w:rFonts w:ascii="Arial" w:cs="Arial" w:eastAsia="Arial" w:hAnsi="Arial"/>
                  <w:sz w:val="17"/>
                  <w:szCs w:val="17"/>
                  <w:u w:val="single" w:color="auto"/>
                  <w:color w:val="0000EE"/>
                </w:rPr>
                <w:t>10.05+</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7"/>
              </w:rPr>
              <w:t>Commitment Letter Regarding Fraudulent Issuance of Listed Shares, effective as of May 26, 2020, of ACM Research, Inc.,</w:t>
            </w:r>
          </w:p>
        </w:tc>
      </w:tr>
      <w:tr>
        <w:trPr>
          <w:trHeight w:val="221"/>
        </w:trPr>
        <w:tc>
          <w:tcPr>
            <w:tcW w:w="1800" w:type="dxa"/>
            <w:vAlign w:val="bottom"/>
          </w:tcPr>
          <w:p>
            <w:pPr>
              <w:spacing w:after="0"/>
              <w:rPr>
                <w:sz w:val="19"/>
                <w:szCs w:val="19"/>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ACM Research (Shanghai), Inc. and David H. Wang</w:t>
            </w:r>
          </w:p>
        </w:tc>
      </w:tr>
      <w:tr>
        <w:trPr>
          <w:trHeight w:val="197"/>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54">
              <w:r>
                <w:rPr>
                  <w:rFonts w:ascii="Arial" w:cs="Arial" w:eastAsia="Arial" w:hAnsi="Arial"/>
                  <w:sz w:val="17"/>
                  <w:szCs w:val="17"/>
                  <w:u w:val="single" w:color="auto"/>
                  <w:color w:val="0000EE"/>
                </w:rPr>
                <w:t>10.06+‡</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Commitment Letter Regarding the Lack of False Records, Misleading Statements or Major Omissions in the Preliminary</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Information Document, effective as of May 26, 2020, of ACM Research, Inc.</w:t>
            </w:r>
          </w:p>
        </w:tc>
      </w:tr>
      <w:tr>
        <w:trPr>
          <w:trHeight w:val="209"/>
        </w:trPr>
        <w:tc>
          <w:tcPr>
            <w:tcW w:w="1800" w:type="dxa"/>
            <w:vAlign w:val="bottom"/>
          </w:tcPr>
          <w:p>
            <w:pPr>
              <w:spacing w:after="0"/>
              <w:rPr>
                <w:rFonts w:ascii="Arial" w:cs="Arial" w:eastAsia="Arial" w:hAnsi="Arial"/>
                <w:sz w:val="17"/>
                <w:szCs w:val="17"/>
                <w:u w:val="single" w:color="auto"/>
                <w:color w:val="0000EE"/>
              </w:rPr>
            </w:pPr>
            <w:hyperlink r:id="rId55">
              <w:r>
                <w:rPr>
                  <w:rFonts w:ascii="Arial" w:cs="Arial" w:eastAsia="Arial" w:hAnsi="Arial"/>
                  <w:sz w:val="17"/>
                  <w:szCs w:val="17"/>
                  <w:u w:val="single" w:color="auto"/>
                  <w:color w:val="0000EE"/>
                </w:rPr>
                <w:t>10.07+</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4"/>
              </w:rPr>
              <w:t>Commitment Letter Regarding Making Up for Diluted Immediate Returns, effective as of May 26, 2020, of ACM Research, Inc.</w:t>
            </w:r>
          </w:p>
        </w:tc>
      </w:tr>
      <w:tr>
        <w:trPr>
          <w:trHeight w:val="196"/>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56">
              <w:r>
                <w:rPr>
                  <w:rFonts w:ascii="Arial" w:cs="Arial" w:eastAsia="Arial" w:hAnsi="Arial"/>
                  <w:sz w:val="17"/>
                  <w:szCs w:val="17"/>
                  <w:u w:val="single" w:color="auto"/>
                  <w:color w:val="0000EE"/>
                </w:rPr>
                <w:t>10.08+‡</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5"/>
              </w:rPr>
              <w:t>Commitment Letter Regarding Unfulfilled Commitment on Binding Measures, effective as of May 26, 2020, of ACM Research,</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Inc. and David H. Wang</w:t>
            </w:r>
          </w:p>
        </w:tc>
      </w:tr>
      <w:tr>
        <w:trPr>
          <w:trHeight w:val="196"/>
        </w:trPr>
        <w:tc>
          <w:tcPr>
            <w:tcW w:w="1800" w:type="dxa"/>
            <w:vAlign w:val="bottom"/>
          </w:tcPr>
          <w:p>
            <w:pPr>
              <w:spacing w:after="0"/>
              <w:rPr>
                <w:rFonts w:ascii="Arial" w:cs="Arial" w:eastAsia="Arial" w:hAnsi="Arial"/>
                <w:sz w:val="17"/>
                <w:szCs w:val="17"/>
                <w:u w:val="single" w:color="auto"/>
                <w:color w:val="0000EE"/>
              </w:rPr>
            </w:pPr>
            <w:hyperlink r:id="rId57">
              <w:r>
                <w:rPr>
                  <w:rFonts w:ascii="Arial" w:cs="Arial" w:eastAsia="Arial" w:hAnsi="Arial"/>
                  <w:sz w:val="17"/>
                  <w:szCs w:val="17"/>
                  <w:u w:val="single" w:color="auto"/>
                  <w:color w:val="0000EE"/>
                </w:rPr>
                <w:t>10.09+</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9"/>
              </w:rPr>
              <w:t>Commitment Letter Regarding the Avoidance of Competition in the Same Industry, effective as of May 26, 2020, of ACM</w:t>
            </w:r>
          </w:p>
        </w:tc>
      </w:tr>
      <w:tr>
        <w:trPr>
          <w:trHeight w:val="221"/>
        </w:trPr>
        <w:tc>
          <w:tcPr>
            <w:tcW w:w="1800" w:type="dxa"/>
            <w:vAlign w:val="bottom"/>
          </w:tcPr>
          <w:p>
            <w:pPr>
              <w:spacing w:after="0"/>
              <w:rPr>
                <w:sz w:val="19"/>
                <w:szCs w:val="19"/>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Research, Inc.</w:t>
            </w:r>
          </w:p>
        </w:tc>
      </w:tr>
      <w:tr>
        <w:trPr>
          <w:trHeight w:val="197"/>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58">
              <w:r>
                <w:rPr>
                  <w:rFonts w:ascii="Arial" w:cs="Arial" w:eastAsia="Arial" w:hAnsi="Arial"/>
                  <w:sz w:val="17"/>
                  <w:szCs w:val="17"/>
                  <w:u w:val="single" w:color="auto"/>
                  <w:color w:val="0000EE"/>
                </w:rPr>
                <w:t>10.10+</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7"/>
              </w:rPr>
              <w:t>Commitment Letter Regarding the Standardization and Reduction of Related Transactions, effective as of May 26, 2020, of</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ACM Research, Inc.</w:t>
            </w:r>
          </w:p>
        </w:tc>
      </w:tr>
      <w:tr>
        <w:trPr>
          <w:trHeight w:val="196"/>
        </w:trPr>
        <w:tc>
          <w:tcPr>
            <w:tcW w:w="1800" w:type="dxa"/>
            <w:vAlign w:val="bottom"/>
          </w:tcPr>
          <w:p>
            <w:pPr>
              <w:spacing w:after="0"/>
              <w:rPr>
                <w:rFonts w:ascii="Arial" w:cs="Arial" w:eastAsia="Arial" w:hAnsi="Arial"/>
                <w:sz w:val="17"/>
                <w:szCs w:val="17"/>
                <w:u w:val="single" w:color="auto"/>
                <w:color w:val="0000EE"/>
              </w:rPr>
            </w:pPr>
            <w:hyperlink r:id="rId59">
              <w:r>
                <w:rPr>
                  <w:rFonts w:ascii="Arial" w:cs="Arial" w:eastAsia="Arial" w:hAnsi="Arial"/>
                  <w:sz w:val="17"/>
                  <w:szCs w:val="17"/>
                  <w:u w:val="single" w:color="auto"/>
                  <w:color w:val="0000EE"/>
                </w:rPr>
                <w:t>10.11+</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3"/>
              </w:rPr>
              <w:t>Commitment Letter Regarding the Avoidance of Funds Occupation and Illegal Guarantee, effective as of May 26, 2020, of ACM</w:t>
            </w:r>
          </w:p>
        </w:tc>
      </w:tr>
      <w:tr>
        <w:trPr>
          <w:trHeight w:val="221"/>
        </w:trPr>
        <w:tc>
          <w:tcPr>
            <w:tcW w:w="1800" w:type="dxa"/>
            <w:vAlign w:val="bottom"/>
          </w:tcPr>
          <w:p>
            <w:pPr>
              <w:spacing w:after="0"/>
              <w:rPr>
                <w:sz w:val="19"/>
                <w:szCs w:val="19"/>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Research, Inc.</w:t>
            </w:r>
          </w:p>
        </w:tc>
      </w:tr>
      <w:tr>
        <w:trPr>
          <w:trHeight w:val="209"/>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60">
              <w:r>
                <w:rPr>
                  <w:rFonts w:ascii="Arial" w:cs="Arial" w:eastAsia="Arial" w:hAnsi="Arial"/>
                  <w:sz w:val="17"/>
                  <w:szCs w:val="17"/>
                  <w:u w:val="single" w:color="auto"/>
                  <w:color w:val="0000EE"/>
                </w:rPr>
                <w:t>10.12+‡</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Statement and Commitment Letter, effective as of May 26, 2020, of ACM Research, Inc.</w:t>
            </w:r>
          </w:p>
        </w:tc>
      </w:tr>
      <w:tr>
        <w:trPr>
          <w:trHeight w:val="209"/>
        </w:trPr>
        <w:tc>
          <w:tcPr>
            <w:tcW w:w="1800" w:type="dxa"/>
            <w:vAlign w:val="bottom"/>
          </w:tcPr>
          <w:p>
            <w:pPr>
              <w:spacing w:after="0"/>
              <w:rPr>
                <w:rFonts w:ascii="Arial" w:cs="Arial" w:eastAsia="Arial" w:hAnsi="Arial"/>
                <w:sz w:val="17"/>
                <w:szCs w:val="17"/>
                <w:u w:val="single" w:color="auto"/>
                <w:color w:val="0000EE"/>
              </w:rPr>
            </w:pPr>
            <w:hyperlink r:id="rId61">
              <w:r>
                <w:rPr>
                  <w:rFonts w:ascii="Arial" w:cs="Arial" w:eastAsia="Arial" w:hAnsi="Arial"/>
                  <w:sz w:val="17"/>
                  <w:szCs w:val="17"/>
                  <w:u w:val="single" w:color="auto"/>
                  <w:color w:val="0000EE"/>
                </w:rPr>
                <w:t>10.13+</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Commitment Letter Regarding Property Lease Matters, effective as of May 26, 2020, of ACM Research, Inc.</w:t>
            </w:r>
          </w:p>
        </w:tc>
      </w:tr>
      <w:tr>
        <w:trPr>
          <w:trHeight w:val="196"/>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62">
              <w:r>
                <w:rPr>
                  <w:rFonts w:ascii="Arial" w:cs="Arial" w:eastAsia="Arial" w:hAnsi="Arial"/>
                  <w:sz w:val="17"/>
                  <w:szCs w:val="17"/>
                  <w:u w:val="single" w:color="auto"/>
                  <w:color w:val="0000EE"/>
                </w:rPr>
                <w:t>10.14+</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6"/>
              </w:rPr>
              <w:t>Commitment Letter Regarding Social Insurance and Housing Provident Fund Matters, effective as of May 26, 2020, of ACM</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Research, Inc.</w:t>
            </w:r>
          </w:p>
        </w:tc>
      </w:tr>
      <w:tr>
        <w:trPr>
          <w:trHeight w:val="209"/>
        </w:trPr>
        <w:tc>
          <w:tcPr>
            <w:tcW w:w="1800" w:type="dxa"/>
            <w:vAlign w:val="bottom"/>
          </w:tcPr>
          <w:p>
            <w:pPr>
              <w:spacing w:after="0"/>
              <w:rPr>
                <w:rFonts w:ascii="Arial" w:cs="Arial" w:eastAsia="Arial" w:hAnsi="Arial"/>
                <w:sz w:val="17"/>
                <w:szCs w:val="17"/>
                <w:u w:val="single" w:color="auto"/>
                <w:color w:val="0000EE"/>
              </w:rPr>
            </w:pPr>
            <w:hyperlink r:id="rId63">
              <w:r>
                <w:rPr>
                  <w:rFonts w:ascii="Arial" w:cs="Arial" w:eastAsia="Arial" w:hAnsi="Arial"/>
                  <w:sz w:val="17"/>
                  <w:szCs w:val="17"/>
                  <w:u w:val="single" w:color="auto"/>
                  <w:color w:val="0000EE"/>
                </w:rPr>
                <w:t>10.15+</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Commitment Letter Regarding Foreign Exchange Matters, effective as of May 26, 2020, of ACM Research, Inc.</w:t>
            </w:r>
          </w:p>
        </w:tc>
      </w:tr>
      <w:tr>
        <w:trPr>
          <w:trHeight w:val="196"/>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64">
              <w:r>
                <w:rPr>
                  <w:rFonts w:ascii="Arial" w:cs="Arial" w:eastAsia="Arial" w:hAnsi="Arial"/>
                  <w:sz w:val="17"/>
                  <w:szCs w:val="17"/>
                  <w:u w:val="single" w:color="auto"/>
                  <w:color w:val="0000EE"/>
                </w:rPr>
                <w:t>10.16+</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Confirmation and Commitment Letter Regarding the Historical Evolution Related Matters Regarding ACM Research</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(Shanghai), Inc., effective as of May 26, 2020, of ACM Research, Inc.</w:t>
            </w:r>
          </w:p>
        </w:tc>
      </w:tr>
      <w:tr>
        <w:trPr>
          <w:trHeight w:val="209"/>
        </w:trPr>
        <w:tc>
          <w:tcPr>
            <w:tcW w:w="1800" w:type="dxa"/>
            <w:vAlign w:val="bottom"/>
          </w:tcPr>
          <w:p>
            <w:pPr>
              <w:spacing w:after="0"/>
              <w:rPr>
                <w:rFonts w:ascii="Arial" w:cs="Arial" w:eastAsia="Arial" w:hAnsi="Arial"/>
                <w:sz w:val="17"/>
                <w:szCs w:val="17"/>
                <w:u w:val="single" w:color="auto"/>
                <w:color w:val="0000EE"/>
              </w:rPr>
            </w:pPr>
            <w:hyperlink r:id="rId65">
              <w:r>
                <w:rPr>
                  <w:rFonts w:ascii="Arial" w:cs="Arial" w:eastAsia="Arial" w:hAnsi="Arial"/>
                  <w:sz w:val="17"/>
                  <w:szCs w:val="17"/>
                  <w:u w:val="single" w:color="auto"/>
                  <w:color w:val="0000EE"/>
                </w:rPr>
                <w:t>10.17+</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Confirmation Letter, effective as of May 26, 2020, of ACM Research, Inc.</w:t>
            </w:r>
          </w:p>
        </w:tc>
      </w:tr>
      <w:tr>
        <w:trPr>
          <w:trHeight w:val="196"/>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66">
              <w:r>
                <w:rPr>
                  <w:rFonts w:ascii="Arial" w:cs="Arial" w:eastAsia="Arial" w:hAnsi="Arial"/>
                  <w:sz w:val="17"/>
                  <w:szCs w:val="17"/>
                  <w:u w:val="single" w:color="auto"/>
                  <w:color w:val="0000EE"/>
                </w:rPr>
                <w:t>10.18+‡</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5"/>
              </w:rPr>
              <w:t>Qingdao Fortune-Tech Xinxing Capital Partnership (L.P.) Partnership Agreement, dated June 9, 2020, among China Fortune</w:t>
            </w:r>
          </w:p>
        </w:tc>
      </w:tr>
      <w:tr>
        <w:trPr>
          <w:trHeight w:val="209"/>
        </w:trPr>
        <w:tc>
          <w:tcPr>
            <w:tcW w:w="1800" w:type="dxa"/>
            <w:vAlign w:val="bottom"/>
            <w:shd w:val="clear" w:color="auto" w:fill="CCEEFF"/>
          </w:tcPr>
          <w:p>
            <w:pPr>
              <w:spacing w:after="0"/>
              <w:rPr>
                <w:sz w:val="18"/>
                <w:szCs w:val="18"/>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3"/>
              </w:rPr>
              <w:t>Tech Capital Co., Ltd., as general partner, and the several limited partners named therein, including ACM Research (Shanghai),</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Inc.</w:t>
            </w:r>
          </w:p>
        </w:tc>
      </w:tr>
      <w:tr>
        <w:trPr>
          <w:trHeight w:val="196"/>
        </w:trPr>
        <w:tc>
          <w:tcPr>
            <w:tcW w:w="1800" w:type="dxa"/>
            <w:vAlign w:val="bottom"/>
          </w:tcPr>
          <w:p>
            <w:pPr>
              <w:spacing w:after="0"/>
              <w:rPr>
                <w:rFonts w:ascii="Arial" w:cs="Arial" w:eastAsia="Arial" w:hAnsi="Arial"/>
                <w:sz w:val="17"/>
                <w:szCs w:val="17"/>
                <w:u w:val="single" w:color="auto"/>
                <w:color w:val="0000EE"/>
              </w:rPr>
            </w:pPr>
            <w:hyperlink r:id="rId67">
              <w:r>
                <w:rPr>
                  <w:rFonts w:ascii="Arial" w:cs="Arial" w:eastAsia="Arial" w:hAnsi="Arial"/>
                  <w:sz w:val="17"/>
                  <w:szCs w:val="17"/>
                  <w:u w:val="single" w:color="auto"/>
                  <w:color w:val="0000EE"/>
                </w:rPr>
                <w:t>10.19+‡</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5"/>
              </w:rPr>
              <w:t>Supplementary Agreement to Partnership Agreement of Qingdao Fortune-Tech Xinxing Capital Partnership (L.P.), dated June</w:t>
            </w:r>
          </w:p>
        </w:tc>
      </w:tr>
      <w:tr>
        <w:trPr>
          <w:trHeight w:val="209"/>
        </w:trPr>
        <w:tc>
          <w:tcPr>
            <w:tcW w:w="1800" w:type="dxa"/>
            <w:vAlign w:val="bottom"/>
          </w:tcPr>
          <w:p>
            <w:pPr>
              <w:spacing w:after="0"/>
              <w:rPr>
                <w:sz w:val="18"/>
                <w:szCs w:val="18"/>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7"/>
              </w:rPr>
              <w:t>15, 2020, among China Fortune Tech Capital Co., Ltd., as general partner, and the several limited partners named therein,</w:t>
            </w:r>
          </w:p>
        </w:tc>
      </w:tr>
      <w:tr>
        <w:trPr>
          <w:trHeight w:val="221"/>
        </w:trPr>
        <w:tc>
          <w:tcPr>
            <w:tcW w:w="1800" w:type="dxa"/>
            <w:vAlign w:val="bottom"/>
          </w:tcPr>
          <w:p>
            <w:pPr>
              <w:spacing w:after="0"/>
              <w:rPr>
                <w:sz w:val="19"/>
                <w:szCs w:val="19"/>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including ACM Research (Shanghai), Inc.</w:t>
            </w:r>
          </w:p>
        </w:tc>
      </w:tr>
      <w:tr>
        <w:trPr>
          <w:trHeight w:val="197"/>
        </w:trPr>
        <w:tc>
          <w:tcPr>
            <w:tcW w:w="1800" w:type="dxa"/>
            <w:vAlign w:val="bottom"/>
            <w:shd w:val="clear" w:color="auto" w:fill="CCEEFF"/>
          </w:tcPr>
          <w:p>
            <w:pPr>
              <w:spacing w:after="0"/>
              <w:rPr>
                <w:rFonts w:ascii="Arial" w:cs="Arial" w:eastAsia="Arial" w:hAnsi="Arial"/>
                <w:sz w:val="17"/>
                <w:szCs w:val="17"/>
                <w:u w:val="single" w:color="auto"/>
                <w:color w:val="0000EE"/>
              </w:rPr>
            </w:pPr>
            <w:hyperlink r:id="rId68">
              <w:r>
                <w:rPr>
                  <w:rFonts w:ascii="Arial" w:cs="Arial" w:eastAsia="Arial" w:hAnsi="Arial"/>
                  <w:sz w:val="17"/>
                  <w:szCs w:val="17"/>
                  <w:u w:val="single" w:color="auto"/>
                  <w:color w:val="0000EE"/>
                </w:rPr>
                <w:t>10.20</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9"/>
              </w:rPr>
              <w:t>Note Assignment and Cancellation Agreement dated April 30, 2020 by and among ACM Research, Inc., ACM Research</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(Shanghai), Inc. and Shengxin (Shanghai) Management Consulting Limited Partnership</w:t>
            </w:r>
          </w:p>
        </w:tc>
      </w:tr>
      <w:tr>
        <w:trPr>
          <w:trHeight w:val="196"/>
        </w:trPr>
        <w:tc>
          <w:tcPr>
            <w:tcW w:w="1800" w:type="dxa"/>
            <w:vAlign w:val="bottom"/>
          </w:tcPr>
          <w:p>
            <w:pPr>
              <w:spacing w:after="0"/>
              <w:rPr>
                <w:rFonts w:ascii="Arial" w:cs="Arial" w:eastAsia="Arial" w:hAnsi="Arial"/>
                <w:sz w:val="17"/>
                <w:szCs w:val="17"/>
                <w:u w:val="single" w:color="auto"/>
                <w:color w:val="0000EE"/>
              </w:rPr>
            </w:pPr>
            <w:hyperlink r:id="rId69">
              <w:r>
                <w:rPr>
                  <w:rFonts w:ascii="Arial" w:cs="Arial" w:eastAsia="Arial" w:hAnsi="Arial"/>
                  <w:sz w:val="17"/>
                  <w:szCs w:val="17"/>
                  <w:u w:val="single" w:color="auto"/>
                  <w:color w:val="0000EE"/>
                </w:rPr>
                <w:t>10.21(a)</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4"/>
              </w:rPr>
              <w:t>Share Transfer and Note Cancellation Agreement dated April 30, 2020 between ACM Research, Inc. and Shengxin (Shanghai)</w:t>
            </w:r>
          </w:p>
        </w:tc>
      </w:tr>
      <w:tr>
        <w:trPr>
          <w:trHeight w:val="221"/>
        </w:trPr>
        <w:tc>
          <w:tcPr>
            <w:tcW w:w="1800" w:type="dxa"/>
            <w:vAlign w:val="bottom"/>
          </w:tcPr>
          <w:p>
            <w:pPr>
              <w:spacing w:after="0"/>
              <w:rPr>
                <w:sz w:val="19"/>
                <w:szCs w:val="19"/>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Management Consulting Limited Partnership</w:t>
            </w:r>
          </w:p>
        </w:tc>
      </w:tr>
      <w:tr>
        <w:trPr>
          <w:trHeight w:val="197"/>
        </w:trPr>
        <w:tc>
          <w:tcPr>
            <w:tcW w:w="1800" w:type="dxa"/>
            <w:vAlign w:val="bottom"/>
            <w:shd w:val="clear" w:color="auto" w:fill="CCEEFF"/>
          </w:tcPr>
          <w:p>
            <w:pPr>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10.21(b)</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Amendment No. 1 to Share Transfer and Note Cancellation Agreement dated July 29, 2020 between ACM Research, Inc. and</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Shengxin (Shanghai) Management Consulting Limited Partnership</w:t>
            </w:r>
          </w:p>
        </w:tc>
      </w:tr>
      <w:tr>
        <w:trPr>
          <w:trHeight w:val="196"/>
        </w:trPr>
        <w:tc>
          <w:tcPr>
            <w:tcW w:w="1800" w:type="dxa"/>
            <w:vAlign w:val="bottom"/>
          </w:tcPr>
          <w:p>
            <w:pPr>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10.22</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7"/>
              </w:rPr>
              <w:t>Adoption Agreement dated July 29, 2020 between ACM Research, Inc. and Shengxin (Shanghai) Management Consulting</w:t>
            </w:r>
          </w:p>
        </w:tc>
      </w:tr>
      <w:tr>
        <w:trPr>
          <w:trHeight w:val="209"/>
        </w:trPr>
        <w:tc>
          <w:tcPr>
            <w:tcW w:w="1800" w:type="dxa"/>
            <w:vAlign w:val="bottom"/>
          </w:tcPr>
          <w:p>
            <w:pPr>
              <w:spacing w:after="0"/>
              <w:rPr>
                <w:sz w:val="18"/>
                <w:szCs w:val="18"/>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2"/>
              </w:rPr>
              <w:t>Limited Partnership (amending the Second Amended and Restated Registration Rights Agreement between ACM Research, Inc.</w:t>
            </w:r>
          </w:p>
        </w:tc>
      </w:tr>
      <w:tr>
        <w:trPr>
          <w:trHeight w:val="209"/>
        </w:trPr>
        <w:tc>
          <w:tcPr>
            <w:tcW w:w="1800" w:type="dxa"/>
            <w:vAlign w:val="bottom"/>
          </w:tcPr>
          <w:p>
            <w:pPr>
              <w:spacing w:after="0"/>
              <w:rPr>
                <w:sz w:val="18"/>
                <w:szCs w:val="18"/>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w w:val="97"/>
              </w:rPr>
              <w:t>and certain of its stockholders filed with the SEC on October 18, 2017 as Exhibit 10.09 to Amendment No. 1 to Registration</w:t>
            </w:r>
          </w:p>
        </w:tc>
      </w:tr>
      <w:tr>
        <w:trPr>
          <w:trHeight w:val="221"/>
        </w:trPr>
        <w:tc>
          <w:tcPr>
            <w:tcW w:w="1800" w:type="dxa"/>
            <w:vAlign w:val="bottom"/>
          </w:tcPr>
          <w:p>
            <w:pPr>
              <w:spacing w:after="0"/>
              <w:rPr>
                <w:sz w:val="19"/>
                <w:szCs w:val="19"/>
                <w:color w:val="auto"/>
              </w:rPr>
            </w:pP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Statement on Form S-1)</w:t>
            </w:r>
          </w:p>
        </w:tc>
      </w:tr>
      <w:tr>
        <w:trPr>
          <w:trHeight w:val="209"/>
        </w:trPr>
        <w:tc>
          <w:tcPr>
            <w:tcW w:w="1800" w:type="dxa"/>
            <w:vAlign w:val="bottom"/>
            <w:shd w:val="clear" w:color="auto" w:fill="CCEEFF"/>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31.01</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Certification of Principal Executive Officer Pursuant to Section 302 of the Sarbanes-Oxley Act of 2002</w:t>
            </w:r>
          </w:p>
        </w:tc>
      </w:tr>
      <w:tr>
        <w:trPr>
          <w:trHeight w:val="209"/>
        </w:trPr>
        <w:tc>
          <w:tcPr>
            <w:tcW w:w="1800" w:type="dxa"/>
            <w:vAlign w:val="bottom"/>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31.02</w:t>
              </w:r>
            </w:hyperlink>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Certification of Principal Financial Officer Pursuant to Section 302 of the Sarbanes-Oxley Act of 2002</w:t>
            </w:r>
          </w:p>
        </w:tc>
      </w:tr>
      <w:tr>
        <w:trPr>
          <w:trHeight w:val="196"/>
        </w:trPr>
        <w:tc>
          <w:tcPr>
            <w:tcW w:w="1800" w:type="dxa"/>
            <w:vAlign w:val="bottom"/>
            <w:shd w:val="clear" w:color="auto" w:fill="CCEEFF"/>
          </w:tcPr>
          <w:p>
            <w:pPr>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32.01*</w:t>
              </w:r>
            </w:hyperlink>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6"/>
              </w:rPr>
              <w:t>Certification of Principal Executive Officer and Principal Financial Officer Pursuant to Section 906 of the Sarbanes-Oxley Act</w:t>
            </w:r>
          </w:p>
        </w:tc>
      </w:tr>
      <w:tr>
        <w:trPr>
          <w:trHeight w:val="221"/>
        </w:trPr>
        <w:tc>
          <w:tcPr>
            <w:tcW w:w="180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of 2002</w:t>
            </w:r>
          </w:p>
        </w:tc>
      </w:tr>
      <w:tr>
        <w:trPr>
          <w:trHeight w:val="209"/>
        </w:trPr>
        <w:tc>
          <w:tcPr>
            <w:tcW w:w="1800" w:type="dxa"/>
            <w:vAlign w:val="bottom"/>
          </w:tcPr>
          <w:p>
            <w:pPr>
              <w:spacing w:after="0"/>
              <w:rPr>
                <w:sz w:val="20"/>
                <w:szCs w:val="20"/>
                <w:color w:val="auto"/>
              </w:rPr>
            </w:pPr>
            <w:r>
              <w:rPr>
                <w:rFonts w:ascii="Arial" w:cs="Arial" w:eastAsia="Arial" w:hAnsi="Arial"/>
                <w:sz w:val="17"/>
                <w:szCs w:val="17"/>
                <w:color w:val="auto"/>
              </w:rPr>
              <w:t>101.INS</w:t>
            </w: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XBRL Instance Document</w:t>
            </w: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XBRL Taxonomy Extension Schema Document</w:t>
            </w:r>
          </w:p>
        </w:tc>
      </w:tr>
      <w:tr>
        <w:trPr>
          <w:trHeight w:val="209"/>
        </w:trPr>
        <w:tc>
          <w:tcPr>
            <w:tcW w:w="1800" w:type="dxa"/>
            <w:vAlign w:val="bottom"/>
          </w:tcPr>
          <w:p>
            <w:pPr>
              <w:spacing w:after="0"/>
              <w:rPr>
                <w:sz w:val="20"/>
                <w:szCs w:val="20"/>
                <w:color w:val="auto"/>
              </w:rPr>
            </w:pPr>
            <w:r>
              <w:rPr>
                <w:rFonts w:ascii="Arial" w:cs="Arial" w:eastAsia="Arial" w:hAnsi="Arial"/>
                <w:sz w:val="17"/>
                <w:szCs w:val="17"/>
                <w:color w:val="auto"/>
              </w:rPr>
              <w:t>101.CAL</w:t>
            </w: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XBRL Taxonomy Extension Definition Linkbase Document</w:t>
            </w:r>
          </w:p>
        </w:tc>
      </w:tr>
      <w:tr>
        <w:trPr>
          <w:trHeight w:val="209"/>
        </w:trPr>
        <w:tc>
          <w:tcPr>
            <w:tcW w:w="1800" w:type="dxa"/>
            <w:vAlign w:val="bottom"/>
          </w:tcPr>
          <w:p>
            <w:pPr>
              <w:spacing w:after="0"/>
              <w:rPr>
                <w:sz w:val="20"/>
                <w:szCs w:val="20"/>
                <w:color w:val="auto"/>
              </w:rPr>
            </w:pPr>
            <w:r>
              <w:rPr>
                <w:rFonts w:ascii="Arial" w:cs="Arial" w:eastAsia="Arial" w:hAnsi="Arial"/>
                <w:sz w:val="17"/>
                <w:szCs w:val="17"/>
                <w:color w:val="auto"/>
              </w:rPr>
              <w:t>101.LAB</w:t>
            </w:r>
          </w:p>
        </w:tc>
        <w:tc>
          <w:tcPr>
            <w:tcW w:w="9440" w:type="dxa"/>
            <w:vAlign w:val="bottom"/>
            <w:gridSpan w:val="2"/>
          </w:tcPr>
          <w:p>
            <w:pPr>
              <w:ind w:left="440"/>
              <w:spacing w:after="0"/>
              <w:rPr>
                <w:sz w:val="20"/>
                <w:szCs w:val="20"/>
                <w:color w:val="auto"/>
              </w:rPr>
            </w:pPr>
            <w:r>
              <w:rPr>
                <w:rFonts w:ascii="Arial" w:cs="Arial" w:eastAsia="Arial" w:hAnsi="Arial"/>
                <w:sz w:val="17"/>
                <w:szCs w:val="17"/>
                <w:color w:val="auto"/>
              </w:rPr>
              <w:t>XBRL Taxonomy Extension Label Linkbase Document</w:t>
            </w: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9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XBRL Taxonomy Extension Presentation Linkbase Document</w:t>
            </w:r>
          </w:p>
        </w:tc>
      </w:tr>
    </w:tbl>
    <w:p>
      <w:pPr>
        <w:ind w:left="140" w:hanging="136"/>
        <w:spacing w:after="0"/>
        <w:tabs>
          <w:tab w:leader="none" w:pos="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Unofficial English translation of original document prepared in Mandarin Chinese.</w:t>
      </w:r>
    </w:p>
    <w:p>
      <w:pPr>
        <w:spacing w:after="0" w:line="13" w:lineRule="exact"/>
        <w:rPr>
          <w:rFonts w:ascii="Arial" w:cs="Arial" w:eastAsia="Arial" w:hAnsi="Arial"/>
          <w:sz w:val="17"/>
          <w:szCs w:val="17"/>
          <w:color w:val="auto"/>
        </w:rPr>
      </w:pPr>
    </w:p>
    <w:p>
      <w:pPr>
        <w:ind w:right="7200"/>
        <w:spacing w:after="0" w:line="272" w:lineRule="auto"/>
        <w:rPr>
          <w:rFonts w:ascii="Arial" w:cs="Arial" w:eastAsia="Arial" w:hAnsi="Arial"/>
          <w:sz w:val="17"/>
          <w:szCs w:val="17"/>
          <w:color w:val="auto"/>
        </w:rPr>
      </w:pPr>
      <w:r>
        <w:rPr>
          <w:rFonts w:ascii="Arial" w:cs="Arial" w:eastAsia="Arial" w:hAnsi="Arial"/>
          <w:sz w:val="16"/>
          <w:szCs w:val="16"/>
          <w:color w:val="auto"/>
        </w:rPr>
        <w:t>‡ Certain information redacted and replaced with “[***]”. †Indicates management contract or compensatory plan.</w:t>
      </w:r>
    </w:p>
    <w:p>
      <w:pPr>
        <w:jc w:val="both"/>
        <w:spacing w:after="0" w:line="264" w:lineRule="auto"/>
        <w:rPr>
          <w:rFonts w:ascii="Arial" w:cs="Arial" w:eastAsia="Arial" w:hAnsi="Arial"/>
          <w:sz w:val="17"/>
          <w:szCs w:val="17"/>
          <w:color w:val="auto"/>
        </w:rPr>
      </w:pPr>
      <w:r>
        <w:rPr>
          <w:rFonts w:ascii="Arial" w:cs="Arial" w:eastAsia="Arial" w:hAnsi="Arial"/>
          <w:sz w:val="17"/>
          <w:szCs w:val="17"/>
          <w:color w:val="auto"/>
        </w:rPr>
        <w:t>*The certifications attached as Exhibit 32.01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ectPr>
          <w:pgSz w:w="11900" w:h="16838" w:orient="portrait"/>
          <w:cols w:equalWidth="0" w:num="1">
            <w:col w:w="11240"/>
          </w:cols>
          <w:pgMar w:left="320" w:top="122" w:right="339" w:bottom="324"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676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2" w:right="339" w:bottom="324"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28" w:lineRule="exact"/>
        <w:rPr>
          <w:sz w:val="20"/>
          <w:szCs w:val="20"/>
          <w:color w:val="auto"/>
        </w:rPr>
      </w:pPr>
    </w:p>
    <w:p>
      <w:pPr>
        <w:ind w:firstLine="627"/>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Pr>
          <w:p>
            <w:pPr>
              <w:spacing w:after="0"/>
              <w:rPr>
                <w:sz w:val="18"/>
                <w:szCs w:val="18"/>
                <w:color w:val="auto"/>
              </w:rPr>
            </w:pPr>
          </w:p>
        </w:tc>
        <w:tc>
          <w:tcPr>
            <w:tcW w:w="6840" w:type="dxa"/>
            <w:vAlign w:val="bottom"/>
            <w:gridSpan w:val="3"/>
          </w:tcPr>
          <w:p>
            <w:pPr>
              <w:ind w:left="1860"/>
              <w:spacing w:after="0"/>
              <w:rPr>
                <w:sz w:val="20"/>
                <w:szCs w:val="20"/>
                <w:color w:val="auto"/>
              </w:rPr>
            </w:pPr>
            <w:r>
              <w:rPr>
                <w:rFonts w:ascii="Arial" w:cs="Arial" w:eastAsia="Arial" w:hAnsi="Arial"/>
                <w:sz w:val="17"/>
                <w:szCs w:val="17"/>
                <w:color w:val="auto"/>
              </w:rPr>
              <w:t>ACM RESEARCH, INC.</w:t>
            </w:r>
          </w:p>
        </w:tc>
      </w:tr>
      <w:tr>
        <w:trPr>
          <w:trHeight w:val="227"/>
        </w:trPr>
        <w:tc>
          <w:tcPr>
            <w:tcW w:w="3440" w:type="dxa"/>
            <w:vAlign w:val="bottom"/>
          </w:tcPr>
          <w:p>
            <w:pPr>
              <w:spacing w:after="0"/>
              <w:rPr>
                <w:sz w:val="20"/>
                <w:szCs w:val="20"/>
                <w:color w:val="auto"/>
              </w:rPr>
            </w:pPr>
            <w:r>
              <w:rPr>
                <w:rFonts w:ascii="Arial" w:cs="Arial" w:eastAsia="Arial" w:hAnsi="Arial"/>
                <w:sz w:val="17"/>
                <w:szCs w:val="17"/>
                <w:color w:val="auto"/>
              </w:rPr>
              <w:t>Date: August 10, 2020</w:t>
            </w:r>
          </w:p>
        </w:tc>
        <w:tc>
          <w:tcPr>
            <w:tcW w:w="2400" w:type="dxa"/>
            <w:vAlign w:val="bottom"/>
          </w:tcPr>
          <w:p>
            <w:pPr>
              <w:ind w:left="1860"/>
              <w:spacing w:after="0"/>
              <w:rPr>
                <w:sz w:val="20"/>
                <w:szCs w:val="20"/>
                <w:color w:val="auto"/>
              </w:rPr>
            </w:pPr>
            <w:r>
              <w:rPr>
                <w:rFonts w:ascii="Arial" w:cs="Arial" w:eastAsia="Arial" w:hAnsi="Arial"/>
                <w:sz w:val="17"/>
                <w:szCs w:val="17"/>
                <w:color w:val="auto"/>
              </w:rPr>
              <w:t>By:</w:t>
            </w:r>
          </w:p>
        </w:tc>
        <w:tc>
          <w:tcPr>
            <w:tcW w:w="4440" w:type="dxa"/>
            <w:vAlign w:val="bottom"/>
            <w:gridSpan w:val="2"/>
          </w:tcPr>
          <w:p>
            <w:pPr>
              <w:spacing w:after="0"/>
              <w:rPr>
                <w:sz w:val="20"/>
                <w:szCs w:val="20"/>
                <w:color w:val="auto"/>
              </w:rPr>
            </w:pPr>
            <w:r>
              <w:rPr>
                <w:rFonts w:ascii="Arial" w:cs="Arial" w:eastAsia="Arial" w:hAnsi="Arial"/>
                <w:sz w:val="17"/>
                <w:szCs w:val="17"/>
                <w:color w:val="auto"/>
              </w:rPr>
              <w:t>/s/ Mark McKechnie</w:t>
            </w:r>
          </w:p>
        </w:tc>
      </w:tr>
      <w:tr>
        <w:trPr>
          <w:trHeight w:val="196"/>
        </w:trPr>
        <w:tc>
          <w:tcPr>
            <w:tcW w:w="3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Mark McKechnie</w:t>
            </w:r>
          </w:p>
        </w:tc>
        <w:tc>
          <w:tcPr>
            <w:tcW w:w="380" w:type="dxa"/>
            <w:vAlign w:val="bottom"/>
          </w:tcPr>
          <w:p>
            <w:pPr>
              <w:spacing w:after="0"/>
              <w:rPr>
                <w:sz w:val="17"/>
                <w:szCs w:val="17"/>
                <w:color w:val="auto"/>
              </w:rPr>
            </w:pPr>
          </w:p>
        </w:tc>
      </w:tr>
      <w:tr>
        <w:trPr>
          <w:trHeight w:val="209"/>
        </w:trPr>
        <w:tc>
          <w:tcPr>
            <w:tcW w:w="3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w w:val="92"/>
              </w:rPr>
              <w:t>Chief Financial Officer, Executive Vice President and Treasurer</w:t>
            </w:r>
          </w:p>
        </w:tc>
      </w:tr>
      <w:tr>
        <w:trPr>
          <w:trHeight w:val="221"/>
        </w:trPr>
        <w:tc>
          <w:tcPr>
            <w:tcW w:w="3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10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4.01</w:t>
      </w:r>
    </w:p>
    <w:p>
      <w:pPr>
        <w:spacing w:after="0" w:line="234" w:lineRule="exact"/>
        <w:rPr>
          <w:sz w:val="20"/>
          <w:szCs w:val="20"/>
          <w:color w:val="auto"/>
        </w:rPr>
      </w:pPr>
    </w:p>
    <w:p>
      <w:pPr>
        <w:jc w:val="center"/>
        <w:ind w:left="340" w:right="80"/>
        <w:spacing w:after="0" w:line="267" w:lineRule="auto"/>
        <w:rPr>
          <w:sz w:val="20"/>
          <w:szCs w:val="20"/>
          <w:color w:val="auto"/>
        </w:rPr>
      </w:pPr>
      <w:r>
        <w:rPr>
          <w:rFonts w:ascii="Arial" w:cs="Arial" w:eastAsia="Arial" w:hAnsi="Arial"/>
          <w:sz w:val="17"/>
          <w:szCs w:val="17"/>
          <w:b w:val="1"/>
          <w:bCs w:val="1"/>
          <w:color w:val="auto"/>
        </w:rPr>
        <w:t>THIS WARRANT AND THE SHARES ISSUABLE UPON EXERCISE OF THIS WARRANT HAVE BEEN ACQUIRED FOR INVESTMENT AND HAVE NOT BEEN REGISTERED UNDER THE U.S. SECURITIES ACT OF1933. SUCH SECURITIES MAY NOT BE SOLD, PLEDGED, OR TRANSFERRED IN THE ABSENCE OF SUCH REGISTRATION OR A VALID EXEMPTION FROM THE REGISTRATION OF THE U.S. SECURITIES ACT OF 1933.</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ARRANT TO</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URCHASE</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LASS</w:t>
      </w:r>
      <w:r>
        <w:rPr>
          <w:rFonts w:ascii="Arial" w:cs="Arial" w:eastAsia="Arial" w:hAnsi="Arial"/>
          <w:sz w:val="17"/>
          <w:szCs w:val="17"/>
          <w:b w:val="1"/>
          <w:bCs w:val="1"/>
          <w:color w:val="auto"/>
        </w:rPr>
        <w:t xml:space="preserve"> A C</w:t>
      </w:r>
      <w:r>
        <w:rPr>
          <w:rFonts w:ascii="Arial" w:cs="Arial" w:eastAsia="Arial" w:hAnsi="Arial"/>
          <w:sz w:val="11"/>
          <w:szCs w:val="11"/>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w:t>
      </w:r>
    </w:p>
    <w:p>
      <w:pPr>
        <w:spacing w:after="0" w:line="222" w:lineRule="exact"/>
        <w:rPr>
          <w:sz w:val="20"/>
          <w:szCs w:val="20"/>
          <w:color w:val="auto"/>
        </w:rPr>
      </w:pPr>
    </w:p>
    <w:p>
      <w:pPr>
        <w:spacing w:after="0"/>
        <w:tabs>
          <w:tab w:leader="none" w:pos="6160" w:val="left"/>
        </w:tabs>
        <w:rPr>
          <w:sz w:val="20"/>
          <w:szCs w:val="20"/>
          <w:color w:val="auto"/>
        </w:rPr>
      </w:pPr>
      <w:r>
        <w:rPr>
          <w:rFonts w:ascii="Arial" w:cs="Arial" w:eastAsia="Arial" w:hAnsi="Arial"/>
          <w:sz w:val="17"/>
          <w:szCs w:val="17"/>
          <w:b w:val="1"/>
          <w:bCs w:val="1"/>
          <w:color w:val="auto"/>
        </w:rPr>
        <w:t>Certificate No. A-20-01</w:t>
      </w:r>
      <w:r>
        <w:rPr>
          <w:sz w:val="20"/>
          <w:szCs w:val="20"/>
          <w:color w:val="auto"/>
        </w:rPr>
        <w:tab/>
      </w:r>
      <w:r>
        <w:rPr>
          <w:rFonts w:ascii="Arial" w:cs="Arial" w:eastAsia="Arial" w:hAnsi="Arial"/>
          <w:sz w:val="15"/>
          <w:szCs w:val="15"/>
          <w:b w:val="1"/>
          <w:bCs w:val="1"/>
          <w:color w:val="auto"/>
        </w:rPr>
        <w:t>Original Issue Date: July 29, 2020</w:t>
      </w:r>
    </w:p>
    <w:p>
      <w:pPr>
        <w:spacing w:after="0" w:line="228"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F</w:t>
      </w:r>
      <w:r>
        <w:rPr>
          <w:rFonts w:ascii="Arial" w:cs="Arial" w:eastAsia="Arial" w:hAnsi="Arial"/>
          <w:sz w:val="11"/>
          <w:szCs w:val="11"/>
          <w:color w:val="auto"/>
        </w:rPr>
        <w:t>OR</w:t>
      </w:r>
      <w:r>
        <w:rPr>
          <w:rFonts w:ascii="Arial" w:cs="Arial" w:eastAsia="Arial" w:hAnsi="Arial"/>
          <w:sz w:val="17"/>
          <w:szCs w:val="17"/>
          <w:color w:val="auto"/>
        </w:rPr>
        <w:t xml:space="preserve"> V</w:t>
      </w:r>
      <w:r>
        <w:rPr>
          <w:rFonts w:ascii="Arial" w:cs="Arial" w:eastAsia="Arial" w:hAnsi="Arial"/>
          <w:sz w:val="11"/>
          <w:szCs w:val="11"/>
          <w:color w:val="auto"/>
        </w:rPr>
        <w:t>ALUE</w:t>
      </w:r>
      <w:r>
        <w:rPr>
          <w:rFonts w:ascii="Arial" w:cs="Arial" w:eastAsia="Arial" w:hAnsi="Arial"/>
          <w:sz w:val="17"/>
          <w:szCs w:val="17"/>
          <w:color w:val="auto"/>
        </w:rPr>
        <w:t xml:space="preserve"> R</w:t>
      </w:r>
      <w:r>
        <w:rPr>
          <w:rFonts w:ascii="Arial" w:cs="Arial" w:eastAsia="Arial" w:hAnsi="Arial"/>
          <w:sz w:val="11"/>
          <w:szCs w:val="11"/>
          <w:color w:val="auto"/>
        </w:rPr>
        <w:t>ECEIVED</w:t>
      </w:r>
      <w:r>
        <w:rPr>
          <w:rFonts w:ascii="Arial" w:cs="Arial" w:eastAsia="Arial" w:hAnsi="Arial"/>
          <w:sz w:val="17"/>
          <w:szCs w:val="17"/>
          <w:color w:val="auto"/>
        </w:rPr>
        <w:t>, ACM Research,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certifies that Shengxin (Shanghai) Management Consulting Limited Partnership or its registered assigns (the “</w:t>
      </w:r>
      <w:r>
        <w:rPr>
          <w:rFonts w:ascii="Arial" w:cs="Arial" w:eastAsia="Arial" w:hAnsi="Arial"/>
          <w:sz w:val="17"/>
          <w:szCs w:val="17"/>
          <w:i w:val="1"/>
          <w:iCs w:val="1"/>
          <w:color w:val="auto"/>
        </w:rPr>
        <w:t>Holder</w:t>
      </w:r>
      <w:r>
        <w:rPr>
          <w:rFonts w:ascii="Arial" w:cs="Arial" w:eastAsia="Arial" w:hAnsi="Arial"/>
          <w:sz w:val="17"/>
          <w:szCs w:val="17"/>
          <w:color w:val="auto"/>
        </w:rPr>
        <w:t>”) is entitled to purchase from the Company a total of 242,681 shares (the “</w:t>
      </w:r>
      <w:r>
        <w:rPr>
          <w:rFonts w:ascii="Arial" w:cs="Arial" w:eastAsia="Arial" w:hAnsi="Arial"/>
          <w:sz w:val="17"/>
          <w:szCs w:val="17"/>
          <w:i w:val="1"/>
          <w:iCs w:val="1"/>
          <w:color w:val="auto"/>
        </w:rPr>
        <w:t>Warrant Shares</w:t>
      </w:r>
      <w:r>
        <w:rPr>
          <w:rFonts w:ascii="Arial" w:cs="Arial" w:eastAsia="Arial" w:hAnsi="Arial"/>
          <w:sz w:val="17"/>
          <w:szCs w:val="17"/>
          <w:color w:val="auto"/>
        </w:rPr>
        <w:t>”) of the Company’s Class A Common Stock, $0.0001 par value per share (“</w:t>
      </w:r>
      <w:r>
        <w:rPr>
          <w:rFonts w:ascii="Arial" w:cs="Arial" w:eastAsia="Arial" w:hAnsi="Arial"/>
          <w:sz w:val="17"/>
          <w:szCs w:val="17"/>
          <w:i w:val="1"/>
          <w:iCs w:val="1"/>
          <w:color w:val="auto"/>
        </w:rPr>
        <w:t>Class A Shares</w:t>
      </w:r>
      <w:r>
        <w:rPr>
          <w:rFonts w:ascii="Arial" w:cs="Arial" w:eastAsia="Arial" w:hAnsi="Arial"/>
          <w:sz w:val="17"/>
          <w:szCs w:val="17"/>
          <w:color w:val="auto"/>
        </w:rPr>
        <w:t>”), at a purchase price per share of $7.50 (subject to adjustment as provided in this Warrant, the “</w:t>
      </w:r>
      <w:r>
        <w:rPr>
          <w:rFonts w:ascii="Arial" w:cs="Arial" w:eastAsia="Arial" w:hAnsi="Arial"/>
          <w:sz w:val="17"/>
          <w:szCs w:val="17"/>
          <w:i w:val="1"/>
          <w:iCs w:val="1"/>
          <w:color w:val="auto"/>
        </w:rPr>
        <w:t>Exercise Price</w:t>
      </w:r>
      <w:r>
        <w:rPr>
          <w:rFonts w:ascii="Arial" w:cs="Arial" w:eastAsia="Arial" w:hAnsi="Arial"/>
          <w:sz w:val="17"/>
          <w:szCs w:val="17"/>
          <w:color w:val="auto"/>
        </w:rPr>
        <w:t>”), all subject to the terms, conditions and adjustments set forth below in this Warrant.</w:t>
      </w:r>
    </w:p>
    <w:p>
      <w:pPr>
        <w:spacing w:after="0" w:line="178" w:lineRule="exact"/>
        <w:rPr>
          <w:sz w:val="20"/>
          <w:szCs w:val="20"/>
          <w:color w:val="auto"/>
        </w:rPr>
      </w:pPr>
    </w:p>
    <w:p>
      <w:pPr>
        <w:ind w:left="780" w:right="3300" w:hanging="306"/>
        <w:spacing w:after="0" w:line="512" w:lineRule="auto"/>
        <w:tabs>
          <w:tab w:leader="none" w:pos="77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Warrant, the following terms have the respective meanings set forth below: “</w:t>
      </w:r>
      <w:r>
        <w:rPr>
          <w:rFonts w:ascii="Arial" w:cs="Arial" w:eastAsia="Arial" w:hAnsi="Arial"/>
          <w:sz w:val="17"/>
          <w:szCs w:val="17"/>
          <w:i w:val="1"/>
          <w:iCs w:val="1"/>
          <w:color w:val="auto"/>
        </w:rPr>
        <w:t>Aggregate Exercise Price</w:t>
      </w:r>
      <w:r>
        <w:rPr>
          <w:rFonts w:ascii="Arial" w:cs="Arial" w:eastAsia="Arial" w:hAnsi="Arial"/>
          <w:sz w:val="17"/>
          <w:szCs w:val="17"/>
          <w:color w:val="auto"/>
        </w:rPr>
        <w:t>” means $1,820,107.50.</w:t>
      </w:r>
    </w:p>
    <w:p>
      <w:pPr>
        <w:spacing w:after="0" w:line="1" w:lineRule="exact"/>
        <w:rPr>
          <w:sz w:val="20"/>
          <w:szCs w:val="20"/>
          <w:color w:val="auto"/>
        </w:rPr>
      </w:pPr>
    </w:p>
    <w:p>
      <w:pPr>
        <w:ind w:firstLine="783"/>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other than (a) a Saturday or Sunday or (b) any day on which either the Federal Reserve Bank of New York or the Federal Reserve Bank of San Francisco is closed.</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Exercise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2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Original Issue Date</w:t>
      </w:r>
      <w:r>
        <w:rPr>
          <w:rFonts w:ascii="Arial" w:cs="Arial" w:eastAsia="Arial" w:hAnsi="Arial"/>
          <w:sz w:val="17"/>
          <w:szCs w:val="17"/>
          <w:color w:val="auto"/>
        </w:rPr>
        <w:t>” means the Original Issue Date set forth above.</w:t>
      </w:r>
    </w:p>
    <w:p>
      <w:pPr>
        <w:spacing w:after="0" w:line="222" w:lineRule="exact"/>
        <w:rPr>
          <w:sz w:val="20"/>
          <w:szCs w:val="20"/>
          <w:color w:val="auto"/>
        </w:rPr>
      </w:pPr>
    </w:p>
    <w:p>
      <w:pPr>
        <w:ind w:firstLine="783"/>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sole proprietorship, partnership, limited liability company, corporation, joint venture, trust, incorporated organization or government or department or agency thereof.</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This “</w:t>
      </w:r>
      <w:r>
        <w:rPr>
          <w:rFonts w:ascii="Arial" w:cs="Arial" w:eastAsia="Arial" w:hAnsi="Arial"/>
          <w:sz w:val="17"/>
          <w:szCs w:val="17"/>
          <w:i w:val="1"/>
          <w:iCs w:val="1"/>
          <w:color w:val="auto"/>
        </w:rPr>
        <w:t>Warrant</w:t>
      </w:r>
      <w:r>
        <w:rPr>
          <w:rFonts w:ascii="Arial" w:cs="Arial" w:eastAsia="Arial" w:hAnsi="Arial"/>
          <w:sz w:val="17"/>
          <w:szCs w:val="17"/>
          <w:color w:val="auto"/>
        </w:rPr>
        <w:t>” means this Warrant and all warrants issued upon division or combination of, or in substitution for, this Warrant.</w:t>
      </w:r>
    </w:p>
    <w:p>
      <w:pPr>
        <w:spacing w:after="0" w:line="222" w:lineRule="exact"/>
        <w:rPr>
          <w:sz w:val="20"/>
          <w:szCs w:val="20"/>
          <w:color w:val="auto"/>
        </w:rPr>
      </w:pPr>
    </w:p>
    <w:p>
      <w:pPr>
        <w:jc w:val="both"/>
        <w:ind w:firstLine="474"/>
        <w:spacing w:after="0" w:line="296" w:lineRule="auto"/>
        <w:tabs>
          <w:tab w:leader="none" w:pos="78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Warrant may be exercised on any Business Day during the period (the “</w:t>
      </w:r>
      <w:r>
        <w:rPr>
          <w:rFonts w:ascii="Arial" w:cs="Arial" w:eastAsia="Arial" w:hAnsi="Arial"/>
          <w:sz w:val="16"/>
          <w:szCs w:val="16"/>
          <w:i w:val="1"/>
          <w:iCs w:val="1"/>
          <w:color w:val="auto"/>
        </w:rPr>
        <w:t>Exercise Period</w:t>
      </w:r>
      <w:r>
        <w:rPr>
          <w:rFonts w:ascii="Arial" w:cs="Arial" w:eastAsia="Arial" w:hAnsi="Arial"/>
          <w:sz w:val="16"/>
          <w:szCs w:val="16"/>
          <w:color w:val="auto"/>
        </w:rPr>
        <w:t>”) beginning immediately after the receipt by the Holder of all approvals required of governmental department and other regulatory bodies of the People’s Republic of China, which receipt shall have been confirmed by a certificate of the Holder delivered to the Company, and ending as of 5 P.M., Eastern standard time, on December 31, 2023.</w:t>
      </w:r>
    </w:p>
    <w:p>
      <w:pPr>
        <w:spacing w:after="0" w:line="154" w:lineRule="exact"/>
        <w:rPr>
          <w:rFonts w:ascii="Arial" w:cs="Arial" w:eastAsia="Arial" w:hAnsi="Arial"/>
          <w:sz w:val="16"/>
          <w:szCs w:val="16"/>
          <w:color w:val="auto"/>
        </w:rPr>
      </w:pPr>
    </w:p>
    <w:p>
      <w:pPr>
        <w:ind w:left="780" w:hanging="306"/>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1280" w:hanging="492"/>
        <w:spacing w:after="0"/>
        <w:tabs>
          <w:tab w:leader="none" w:pos="128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 This Warrant may be exercised, on one occasion, in either of the following manners:</w:t>
      </w:r>
    </w:p>
    <w:p>
      <w:pPr>
        <w:spacing w:after="0" w:line="222" w:lineRule="exact"/>
        <w:rPr>
          <w:rFonts w:ascii="Arial" w:cs="Arial" w:eastAsia="Arial" w:hAnsi="Arial"/>
          <w:sz w:val="17"/>
          <w:szCs w:val="17"/>
          <w:color w:val="auto"/>
        </w:rPr>
      </w:pPr>
    </w:p>
    <w:p>
      <w:pPr>
        <w:jc w:val="both"/>
        <w:ind w:firstLine="1258"/>
        <w:spacing w:after="0" w:line="272" w:lineRule="auto"/>
        <w:tabs>
          <w:tab w:leader="none" w:pos="1722" w:val="left"/>
        </w:tabs>
        <w:numPr>
          <w:ilvl w:val="2"/>
          <w:numId w:val="30"/>
        </w:numPr>
        <w:rPr>
          <w:rFonts w:ascii="Arial" w:cs="Arial" w:eastAsia="Arial" w:hAnsi="Arial"/>
          <w:sz w:val="17"/>
          <w:szCs w:val="17"/>
          <w:color w:val="auto"/>
        </w:rPr>
      </w:pPr>
      <w:r>
        <w:rPr>
          <w:rFonts w:ascii="Arial" w:cs="Arial" w:eastAsia="Arial" w:hAnsi="Arial"/>
          <w:sz w:val="17"/>
          <w:szCs w:val="17"/>
          <w:u w:val="single" w:color="auto"/>
          <w:color w:val="auto"/>
        </w:rPr>
        <w:t>Cash Exercise</w:t>
      </w:r>
      <w:r>
        <w:rPr>
          <w:rFonts w:ascii="Arial" w:cs="Arial" w:eastAsia="Arial" w:hAnsi="Arial"/>
          <w:sz w:val="17"/>
          <w:szCs w:val="17"/>
          <w:color w:val="auto"/>
        </w:rPr>
        <w:t>. The Holder may exercise this Warrant for all, but not less than all, of the Warrant Shares by (i) surrendering this Warrant to the Company at the Company’s then principal executive offices and (ii) paying the Aggregate Exercise Price by wire transfer of immediately available funds to an account designated in writing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3676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3" w:name="page44"/>
    <w:bookmarkEnd w:id="43"/>
    <w:p>
      <w:pPr>
        <w:jc w:val="both"/>
        <w:ind w:firstLine="1258"/>
        <w:spacing w:after="0" w:line="266" w:lineRule="auto"/>
        <w:tabs>
          <w:tab w:leader="none" w:pos="1796"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The Holder may exercise this Warrant in full by instructing the Company to withhold, in payment of the Aggregate Exercise Price, a number of Warrant Shares then issuable upon exercise of this Warrant equal to the quotient (rounded upward to the nearest whole share) of (A) the Aggregate Exercise Price divided by (B) the average of the closing prices of the Class A Shares for the five trading days immediately preceding the date of exercise.</w:t>
      </w:r>
    </w:p>
    <w:p>
      <w:pPr>
        <w:spacing w:after="0" w:line="177" w:lineRule="exact"/>
        <w:rPr>
          <w:rFonts w:ascii="Arial" w:cs="Arial" w:eastAsia="Arial" w:hAnsi="Arial"/>
          <w:sz w:val="17"/>
          <w:szCs w:val="17"/>
          <w:color w:val="auto"/>
        </w:rPr>
      </w:pPr>
    </w:p>
    <w:p>
      <w:pPr>
        <w:jc w:val="both"/>
        <w:ind w:firstLine="788"/>
        <w:spacing w:after="0" w:line="301" w:lineRule="auto"/>
        <w:tabs>
          <w:tab w:leader="none" w:pos="1269"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Delivery of Stock Certificates</w:t>
      </w:r>
      <w:r>
        <w:rPr>
          <w:rFonts w:ascii="Arial" w:cs="Arial" w:eastAsia="Arial" w:hAnsi="Arial"/>
          <w:sz w:val="15"/>
          <w:szCs w:val="15"/>
          <w:color w:val="auto"/>
        </w:rPr>
        <w:t xml:space="preserve">. Upon compliance by the Holder with the provisions of </w:t>
      </w:r>
      <w:r>
        <w:rPr>
          <w:rFonts w:ascii="Arial" w:cs="Arial" w:eastAsia="Arial" w:hAnsi="Arial"/>
          <w:sz w:val="15"/>
          <w:szCs w:val="15"/>
          <w:u w:val="single" w:color="auto"/>
          <w:color w:val="auto"/>
        </w:rPr>
        <w:t>Section 3(a)</w:t>
      </w:r>
      <w:r>
        <w:rPr>
          <w:rFonts w:ascii="Arial" w:cs="Arial" w:eastAsia="Arial" w:hAnsi="Arial"/>
          <w:sz w:val="15"/>
          <w:szCs w:val="15"/>
          <w:color w:val="auto"/>
        </w:rPr>
        <w:t xml:space="preserve">, the Company shall, within ten Business Days following the Exercise Time, execute (or cause to be executed) and deliver (or cause to be delivered) to the Holder a certificate representing (i) in the case of an exercise in accordance with </w:t>
      </w:r>
      <w:r>
        <w:rPr>
          <w:rFonts w:ascii="Arial" w:cs="Arial" w:eastAsia="Arial" w:hAnsi="Arial"/>
          <w:sz w:val="15"/>
          <w:szCs w:val="15"/>
          <w:u w:val="single" w:color="auto"/>
          <w:color w:val="auto"/>
        </w:rPr>
        <w:t>Section 3(a)(i)</w:t>
      </w:r>
      <w:r>
        <w:rPr>
          <w:rFonts w:ascii="Arial" w:cs="Arial" w:eastAsia="Arial" w:hAnsi="Arial"/>
          <w:sz w:val="15"/>
          <w:szCs w:val="15"/>
          <w:color w:val="auto"/>
        </w:rPr>
        <w:t xml:space="preserve">, all of the Warrant Shares or (ii) in the case of an exercise in accordance with </w:t>
      </w:r>
      <w:r>
        <w:rPr>
          <w:rFonts w:ascii="Arial" w:cs="Arial" w:eastAsia="Arial" w:hAnsi="Arial"/>
          <w:sz w:val="15"/>
          <w:szCs w:val="15"/>
          <w:u w:val="single" w:color="auto"/>
          <w:color w:val="auto"/>
        </w:rPr>
        <w:t>Section 3(a)(ii)</w:t>
      </w:r>
      <w:r>
        <w:rPr>
          <w:rFonts w:ascii="Arial" w:cs="Arial" w:eastAsia="Arial" w:hAnsi="Arial"/>
          <w:sz w:val="15"/>
          <w:szCs w:val="15"/>
          <w:color w:val="auto"/>
        </w:rPr>
        <w:t xml:space="preserve">, all of the Warrant Shares not withheld in payment of the Aggregate Exercise Price. The stock certificate so delivered shall be registered in the name of the Holder or, subject to compliance with </w:t>
      </w:r>
      <w:r>
        <w:rPr>
          <w:rFonts w:ascii="Arial" w:cs="Arial" w:eastAsia="Arial" w:hAnsi="Arial"/>
          <w:sz w:val="15"/>
          <w:szCs w:val="15"/>
          <w:u w:val="single" w:color="auto"/>
          <w:color w:val="auto"/>
        </w:rPr>
        <w:t>Section 8</w:t>
      </w:r>
      <w:r>
        <w:rPr>
          <w:rFonts w:ascii="Arial" w:cs="Arial" w:eastAsia="Arial" w:hAnsi="Arial"/>
          <w:sz w:val="15"/>
          <w:szCs w:val="15"/>
          <w:color w:val="auto"/>
        </w:rPr>
        <w:t>, such other Person's name as shall be designated by the Holder in writing. This Warrant shall be deemed to have been exercised and such certificate representing Warrant Shares shall be deemed to have been issued, and the Holder or any other Person so designated to be named therein shall be deemed to have become a holder of record of such Warrant Shares for all purposes, as of 5 P.M., Eastern time, on the date of exercise.</w:t>
      </w:r>
    </w:p>
    <w:p>
      <w:pPr>
        <w:spacing w:after="0" w:line="156" w:lineRule="exact"/>
        <w:rPr>
          <w:rFonts w:ascii="Arial" w:cs="Arial" w:eastAsia="Arial" w:hAnsi="Arial"/>
          <w:sz w:val="15"/>
          <w:szCs w:val="15"/>
          <w:color w:val="auto"/>
        </w:rPr>
      </w:pPr>
    </w:p>
    <w:p>
      <w:pPr>
        <w:ind w:left="1240" w:hanging="452"/>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Representations of the Company</w:t>
      </w:r>
      <w:r>
        <w:rPr>
          <w:rFonts w:ascii="Arial" w:cs="Arial" w:eastAsia="Arial" w:hAnsi="Arial"/>
          <w:sz w:val="17"/>
          <w:szCs w:val="17"/>
          <w:color w:val="auto"/>
        </w:rPr>
        <w:t>. With respect to the exercise of this warrant, the Company represents, covenants and agrees:</w:t>
      </w:r>
    </w:p>
    <w:p>
      <w:pPr>
        <w:spacing w:after="0" w:line="222" w:lineRule="exact"/>
        <w:rPr>
          <w:rFonts w:ascii="Arial" w:cs="Arial" w:eastAsia="Arial" w:hAnsi="Arial"/>
          <w:sz w:val="17"/>
          <w:szCs w:val="17"/>
          <w:color w:val="auto"/>
        </w:rPr>
      </w:pPr>
    </w:p>
    <w:p>
      <w:pPr>
        <w:ind w:left="1720" w:hanging="462"/>
        <w:spacing w:after="0" w:line="287" w:lineRule="auto"/>
        <w:tabs>
          <w:tab w:leader="none" w:pos="17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this Warrant is, and any Warrant issued in substitution for or replacement of this Warrant will be upon issuance, duly authorized and validly issued;</w:t>
      </w:r>
    </w:p>
    <w:p>
      <w:pPr>
        <w:spacing w:after="0" w:line="159" w:lineRule="exact"/>
        <w:rPr>
          <w:sz w:val="20"/>
          <w:szCs w:val="20"/>
          <w:color w:val="auto"/>
        </w:rPr>
      </w:pPr>
    </w:p>
    <w:p>
      <w:pPr>
        <w:jc w:val="both"/>
        <w:ind w:left="1720" w:hanging="462"/>
        <w:spacing w:after="0" w:line="272" w:lineRule="auto"/>
        <w:tabs>
          <w:tab w:leader="none" w:pos="1720" w:val="left"/>
        </w:tabs>
        <w:numPr>
          <w:ilvl w:val="2"/>
          <w:numId w:val="33"/>
        </w:numPr>
        <w:rPr>
          <w:rFonts w:ascii="Arial" w:cs="Arial" w:eastAsia="Arial" w:hAnsi="Arial"/>
          <w:sz w:val="17"/>
          <w:szCs w:val="17"/>
          <w:color w:val="auto"/>
        </w:rPr>
      </w:pPr>
      <w:r>
        <w:rPr>
          <w:rFonts w:ascii="Arial" w:cs="Arial" w:eastAsia="Arial" w:hAnsi="Arial"/>
          <w:sz w:val="17"/>
          <w:szCs w:val="17"/>
          <w:color w:val="auto"/>
        </w:rPr>
        <w:t>at all times during the Exercise Period, the Company will reserve and keep available out of its authorized but unissued Class A Shares or other securities constituting Warrant Shares, solely for the purpose of issuance upon the exercise of this Warrant, the maximum number of Warrant Shares issuable upon the exercise of this Warrant; and</w:t>
      </w:r>
    </w:p>
    <w:p>
      <w:pPr>
        <w:spacing w:after="0" w:line="170" w:lineRule="exact"/>
        <w:rPr>
          <w:rFonts w:ascii="Arial" w:cs="Arial" w:eastAsia="Arial" w:hAnsi="Arial"/>
          <w:sz w:val="17"/>
          <w:szCs w:val="17"/>
          <w:color w:val="auto"/>
        </w:rPr>
      </w:pPr>
    </w:p>
    <w:p>
      <w:pPr>
        <w:jc w:val="both"/>
        <w:ind w:left="1720" w:hanging="462"/>
        <w:spacing w:after="0" w:line="272" w:lineRule="auto"/>
        <w:tabs>
          <w:tab w:leader="none" w:pos="1720" w:val="left"/>
        </w:tabs>
        <w:numPr>
          <w:ilvl w:val="2"/>
          <w:numId w:val="33"/>
        </w:numPr>
        <w:rPr>
          <w:rFonts w:ascii="Arial" w:cs="Arial" w:eastAsia="Arial" w:hAnsi="Arial"/>
          <w:sz w:val="17"/>
          <w:szCs w:val="17"/>
          <w:color w:val="auto"/>
        </w:rPr>
      </w:pPr>
      <w:r>
        <w:rPr>
          <w:rFonts w:ascii="Arial" w:cs="Arial" w:eastAsia="Arial" w:hAnsi="Arial"/>
          <w:sz w:val="17"/>
          <w:szCs w:val="17"/>
          <w:color w:val="auto"/>
        </w:rPr>
        <w:t>the Warrant Shares will be, upon issuance, and the Company will take all such actions as may be necessary or appropriate in order that the Warrant Shares are, validly issued, fully paid and non-assessable, issued without violation of any preemptive or similar rights of any stockholder of the Company and free and clear of all taxes, liens and charges.</w:t>
      </w:r>
    </w:p>
    <w:p>
      <w:pPr>
        <w:spacing w:after="0" w:line="170" w:lineRule="exact"/>
        <w:rPr>
          <w:rFonts w:ascii="Arial" w:cs="Arial" w:eastAsia="Arial" w:hAnsi="Arial"/>
          <w:sz w:val="17"/>
          <w:szCs w:val="17"/>
          <w:color w:val="auto"/>
        </w:rPr>
      </w:pPr>
    </w:p>
    <w:p>
      <w:pPr>
        <w:jc w:val="both"/>
        <w:ind w:firstLine="474"/>
        <w:spacing w:after="0" w:line="272" w:lineRule="auto"/>
        <w:tabs>
          <w:tab w:leader="none" w:pos="85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 and Number of Warrant Shares</w:t>
      </w:r>
      <w:r>
        <w:rPr>
          <w:rFonts w:ascii="Arial" w:cs="Arial" w:eastAsia="Arial" w:hAnsi="Arial"/>
          <w:sz w:val="17"/>
          <w:szCs w:val="17"/>
          <w:color w:val="auto"/>
        </w:rPr>
        <w:t xml:space="preserve">. In order to prevent dilution of the purchase rights granted under this Warrant, the Exercise Price and the number of Warrant Shares shall be subject to adjustment from time to time as provided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 each case, after taking into consideration any prior adjustments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ind w:firstLine="788"/>
        <w:spacing w:after="0" w:line="287" w:lineRule="auto"/>
        <w:tabs>
          <w:tab w:leader="none" w:pos="1355"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Dividend, Distribution, Subdivision or Combination of Class A Shares</w:t>
      </w:r>
      <w:r>
        <w:rPr>
          <w:rFonts w:ascii="Arial" w:cs="Arial" w:eastAsia="Arial" w:hAnsi="Arial"/>
          <w:sz w:val="17"/>
          <w:szCs w:val="17"/>
          <w:color w:val="auto"/>
        </w:rPr>
        <w:t>. If the Company shall, at any time or from time to time after the Original Issue Date:</w:t>
      </w:r>
    </w:p>
    <w:p>
      <w:pPr>
        <w:spacing w:after="0" w:line="159" w:lineRule="exact"/>
        <w:rPr>
          <w:rFonts w:ascii="Arial" w:cs="Arial" w:eastAsia="Arial" w:hAnsi="Arial"/>
          <w:sz w:val="17"/>
          <w:szCs w:val="17"/>
          <w:color w:val="auto"/>
        </w:rPr>
      </w:pPr>
    </w:p>
    <w:p>
      <w:pPr>
        <w:ind w:left="1720" w:hanging="462"/>
        <w:spacing w:after="0" w:line="287" w:lineRule="auto"/>
        <w:tabs>
          <w:tab w:leader="none" w:pos="1720" w:val="left"/>
        </w:tabs>
        <w:numPr>
          <w:ilvl w:val="2"/>
          <w:numId w:val="34"/>
        </w:numPr>
        <w:rPr>
          <w:rFonts w:ascii="Arial" w:cs="Arial" w:eastAsia="Arial" w:hAnsi="Arial"/>
          <w:sz w:val="17"/>
          <w:szCs w:val="17"/>
          <w:color w:val="auto"/>
        </w:rPr>
      </w:pPr>
      <w:r>
        <w:rPr>
          <w:rFonts w:ascii="Arial" w:cs="Arial" w:eastAsia="Arial" w:hAnsi="Arial"/>
          <w:sz w:val="17"/>
          <w:szCs w:val="17"/>
          <w:color w:val="auto"/>
        </w:rPr>
        <w:t>pay a dividend or make any other distribution upon any capital stock of the Company payable either in Class A Shares or in securities that are convertible into Class A Shares without payment of any consideration; or</w:t>
      </w:r>
    </w:p>
    <w:p>
      <w:pPr>
        <w:spacing w:after="0" w:line="159" w:lineRule="exact"/>
        <w:rPr>
          <w:rFonts w:ascii="Arial" w:cs="Arial" w:eastAsia="Arial" w:hAnsi="Arial"/>
          <w:sz w:val="17"/>
          <w:szCs w:val="17"/>
          <w:color w:val="auto"/>
        </w:rPr>
      </w:pPr>
    </w:p>
    <w:p>
      <w:pPr>
        <w:ind w:left="1720" w:hanging="462"/>
        <w:spacing w:after="0"/>
        <w:tabs>
          <w:tab w:leader="none" w:pos="1720" w:val="left"/>
        </w:tabs>
        <w:numPr>
          <w:ilvl w:val="2"/>
          <w:numId w:val="34"/>
        </w:numPr>
        <w:rPr>
          <w:rFonts w:ascii="Arial" w:cs="Arial" w:eastAsia="Arial" w:hAnsi="Arial"/>
          <w:sz w:val="17"/>
          <w:szCs w:val="17"/>
          <w:color w:val="auto"/>
        </w:rPr>
      </w:pPr>
      <w:r>
        <w:rPr>
          <w:rFonts w:ascii="Arial" w:cs="Arial" w:eastAsia="Arial" w:hAnsi="Arial"/>
          <w:sz w:val="17"/>
          <w:szCs w:val="17"/>
          <w:color w:val="auto"/>
        </w:rPr>
        <w:t>subdivide (by any stock split, recapitalization or otherwise) outstanding Class A Shares into a greater number of shares;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3676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7"/>
          <w:szCs w:val="17"/>
          <w:color w:val="auto"/>
        </w:rPr>
        <w:t xml:space="preserve">the Exercise Price in effect immediately prior to any such dividend, distribution or subdivision shall be proportionately reduced and the number of Warrant Shares shall be proportionately increased. If the Company at any time combines (by combination, reverse stock split or otherwise) outstanding Class A Shares into a smaller number of shares, the Exercise Price in effect immediately prior to such combination shall be proportionately increased and the number of Warrant Shares shall be proportionately decreased. Any adjustment under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shall become effective at the close of business on the date the dividend, distribution, subdivision or combination becomes effective.</w:t>
      </w:r>
    </w:p>
    <w:p>
      <w:pPr>
        <w:spacing w:after="0" w:line="178" w:lineRule="exact"/>
        <w:rPr>
          <w:sz w:val="20"/>
          <w:szCs w:val="20"/>
          <w:color w:val="auto"/>
        </w:rPr>
      </w:pPr>
    </w:p>
    <w:p>
      <w:pPr>
        <w:ind w:left="1260" w:hanging="472"/>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Reorganization, Reclassification, Consolidation or Merger</w:t>
      </w:r>
      <w:r>
        <w:rPr>
          <w:rFonts w:ascii="Arial" w:cs="Arial" w:eastAsia="Arial" w:hAnsi="Arial"/>
          <w:sz w:val="17"/>
          <w:szCs w:val="17"/>
          <w:color w:val="auto"/>
        </w:rPr>
        <w:t>. In the event of any:</w:t>
      </w:r>
    </w:p>
    <w:p>
      <w:pPr>
        <w:spacing w:after="0" w:line="222" w:lineRule="exact"/>
        <w:rPr>
          <w:rFonts w:ascii="Arial" w:cs="Arial" w:eastAsia="Arial" w:hAnsi="Arial"/>
          <w:sz w:val="17"/>
          <w:szCs w:val="17"/>
          <w:color w:val="auto"/>
        </w:rPr>
      </w:pPr>
    </w:p>
    <w:p>
      <w:pPr>
        <w:ind w:left="1720" w:hanging="462"/>
        <w:spacing w:after="0"/>
        <w:tabs>
          <w:tab w:leader="none" w:pos="17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capital reorganization of the Company;</w:t>
      </w:r>
    </w:p>
    <w:p>
      <w:pPr>
        <w:spacing w:after="0" w:line="222" w:lineRule="exact"/>
        <w:rPr>
          <w:rFonts w:ascii="Arial" w:cs="Arial" w:eastAsia="Arial" w:hAnsi="Arial"/>
          <w:sz w:val="17"/>
          <w:szCs w:val="17"/>
          <w:color w:val="auto"/>
        </w:rPr>
      </w:pPr>
    </w:p>
    <w:p>
      <w:pPr>
        <w:ind w:left="1720" w:hanging="462"/>
        <w:spacing w:after="0" w:line="287" w:lineRule="auto"/>
        <w:tabs>
          <w:tab w:leader="none" w:pos="17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reclassification of the stock of the Company (other than a change in par value or from par value to no par value or from no par value to par value or as a result of a stock dividend or subdivision, split-up or combination of shares);</w:t>
      </w:r>
    </w:p>
    <w:p>
      <w:pPr>
        <w:spacing w:after="0" w:line="159" w:lineRule="exact"/>
        <w:rPr>
          <w:rFonts w:ascii="Arial" w:cs="Arial" w:eastAsia="Arial" w:hAnsi="Arial"/>
          <w:sz w:val="17"/>
          <w:szCs w:val="17"/>
          <w:color w:val="auto"/>
        </w:rPr>
      </w:pPr>
    </w:p>
    <w:p>
      <w:pPr>
        <w:ind w:left="1720" w:hanging="462"/>
        <w:spacing w:after="0"/>
        <w:tabs>
          <w:tab w:leader="none" w:pos="17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consolidation or merger of the Company with or into another Person;</w:t>
      </w:r>
    </w:p>
    <w:p>
      <w:pPr>
        <w:spacing w:after="0" w:line="222" w:lineRule="exact"/>
        <w:rPr>
          <w:rFonts w:ascii="Arial" w:cs="Arial" w:eastAsia="Arial" w:hAnsi="Arial"/>
          <w:sz w:val="17"/>
          <w:szCs w:val="17"/>
          <w:color w:val="auto"/>
        </w:rPr>
      </w:pPr>
    </w:p>
    <w:p>
      <w:pPr>
        <w:ind w:left="1720" w:hanging="462"/>
        <w:spacing w:after="0"/>
        <w:tabs>
          <w:tab w:leader="none" w:pos="17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sale of all or substantially all of the Company's assets to another Person; or</w:t>
      </w:r>
    </w:p>
    <w:p>
      <w:pPr>
        <w:spacing w:after="0" w:line="222" w:lineRule="exact"/>
        <w:rPr>
          <w:rFonts w:ascii="Arial" w:cs="Arial" w:eastAsia="Arial" w:hAnsi="Arial"/>
          <w:sz w:val="17"/>
          <w:szCs w:val="17"/>
          <w:color w:val="auto"/>
        </w:rPr>
      </w:pPr>
    </w:p>
    <w:p>
      <w:pPr>
        <w:ind w:left="1720" w:hanging="462"/>
        <w:spacing w:after="0"/>
        <w:tabs>
          <w:tab w:leader="none" w:pos="17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other similar transaction (other than any such transaction covered by </w:t>
      </w:r>
      <w:r>
        <w:rPr>
          <w:rFonts w:ascii="Arial" w:cs="Arial" w:eastAsia="Arial" w:hAnsi="Arial"/>
          <w:sz w:val="17"/>
          <w:szCs w:val="17"/>
          <w:u w:val="single" w:color="auto"/>
          <w:color w:val="auto"/>
        </w:rPr>
        <w:t>Section 4(a)</w:t>
      </w:r>
      <w:r>
        <w:rPr>
          <w:rFonts w:ascii="Arial" w:cs="Arial" w:eastAsia="Arial" w:hAnsi="Arial"/>
          <w:sz w:val="17"/>
          <w:szCs w:val="17"/>
          <w:color w:val="auto"/>
        </w:rPr>
        <w:t>),</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in each case that entitles the holders of Class A Shares to receive (either directly or upon subsequent liquidation) stock, securities or assets with respect to or in exchange for Class A Shares, this Warrant shall, immediately after such reorganization, reclassification, consolidation, merger, sale or similar transaction, remain outstanding and shall thereafter, in lieu of or in addition to (as the case may be) the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Warrant Shares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ensure that the provisions of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w:t>
      </w:r>
      <w:r>
        <w:rPr>
          <w:rFonts w:ascii="Arial" w:cs="Arial" w:eastAsia="Arial" w:hAnsi="Arial"/>
          <w:sz w:val="15"/>
          <w:szCs w:val="15"/>
          <w:color w:val="auto"/>
        </w:rPr>
        <w:t xml:space="preserve"> shall thereafter be applicable, as nearly as possible, to this Warrant in relation to any shares of stock, securities or assets thereafter acquirable upon exercise of this Warrant (including, in the case of any consolidation, merger, sale or similar transaction in which the successor or purchasing Person is other than the Company, an immediate adjustment in the Exercise Price to the value per share for the Class A Shares reflected by the terms of such consolidation, merger, sale or similar transaction, and a corresponding immediate adjustment to the number of Warrant Shares without regard to any limitations or restrictions on exercise, if the value so reflected is less than the Exercise Price in effect immediately prior to such consolidation, merger, sale or similar transaction). The provisions of this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that, in accordance with the foregoing provisions, such Holder shall be entitled to receive upon exercise of this Warrant. Notwithstanding anything to the contrary contained in this Warrant, with respect to any corporate event or other transaction contemplated by the provisions of this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the Holder shall have the right to elect, prior to the consummation of such event or transaction, to give effect to the exercise rights contained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instead of giving effect to the provisions contained in this </w:t>
      </w:r>
      <w:r>
        <w:rPr>
          <w:rFonts w:ascii="Arial" w:cs="Arial" w:eastAsia="Arial" w:hAnsi="Arial"/>
          <w:sz w:val="15"/>
          <w:szCs w:val="15"/>
          <w:u w:val="single" w:color="auto"/>
          <w:color w:val="auto"/>
        </w:rPr>
        <w:t>Section 4(b)</w:t>
      </w:r>
      <w:r>
        <w:rPr>
          <w:rFonts w:ascii="Arial" w:cs="Arial" w:eastAsia="Arial" w:hAnsi="Arial"/>
          <w:sz w:val="15"/>
          <w:szCs w:val="15"/>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3676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ind w:left="1280" w:hanging="492"/>
        <w:spacing w:after="0"/>
        <w:tabs>
          <w:tab w:leader="none" w:pos="1280"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Certificate as to Adjustment</w:t>
      </w:r>
      <w:r>
        <w:rPr>
          <w:rFonts w:ascii="Arial" w:cs="Arial" w:eastAsia="Arial" w:hAnsi="Arial"/>
          <w:sz w:val="17"/>
          <w:szCs w:val="17"/>
          <w:color w:val="auto"/>
        </w:rPr>
        <w:t>. The Company shall furnish to the Holder:</w:t>
      </w:r>
    </w:p>
    <w:p>
      <w:pPr>
        <w:spacing w:after="0" w:line="222" w:lineRule="exact"/>
        <w:rPr>
          <w:rFonts w:ascii="Arial" w:cs="Arial" w:eastAsia="Arial" w:hAnsi="Arial"/>
          <w:sz w:val="17"/>
          <w:szCs w:val="17"/>
          <w:color w:val="auto"/>
        </w:rPr>
      </w:pPr>
    </w:p>
    <w:p>
      <w:pPr>
        <w:ind w:left="1720" w:hanging="462"/>
        <w:spacing w:after="0" w:line="287" w:lineRule="auto"/>
        <w:tabs>
          <w:tab w:leader="none" w:pos="1720" w:val="left"/>
        </w:tabs>
        <w:numPr>
          <w:ilvl w:val="2"/>
          <w:numId w:val="36"/>
        </w:numPr>
        <w:rPr>
          <w:rFonts w:ascii="Arial" w:cs="Arial" w:eastAsia="Arial" w:hAnsi="Arial"/>
          <w:sz w:val="17"/>
          <w:szCs w:val="17"/>
          <w:color w:val="auto"/>
        </w:rPr>
      </w:pPr>
      <w:r>
        <w:rPr>
          <w:rFonts w:ascii="Arial" w:cs="Arial" w:eastAsia="Arial" w:hAnsi="Arial"/>
          <w:sz w:val="17"/>
          <w:szCs w:val="17"/>
          <w:color w:val="auto"/>
        </w:rPr>
        <w:t>within ten Business Days following any adjustment of the Exercise Price, a certificate of an executive officer setting forth in reasonable detail such adjustment and the facts upon which it is based and certifying the calculation thereof; and</w:t>
      </w:r>
    </w:p>
    <w:p>
      <w:pPr>
        <w:spacing w:after="0" w:line="159" w:lineRule="exact"/>
        <w:rPr>
          <w:rFonts w:ascii="Arial" w:cs="Arial" w:eastAsia="Arial" w:hAnsi="Arial"/>
          <w:sz w:val="17"/>
          <w:szCs w:val="17"/>
          <w:color w:val="auto"/>
        </w:rPr>
      </w:pPr>
    </w:p>
    <w:p>
      <w:pPr>
        <w:jc w:val="both"/>
        <w:ind w:left="1720" w:hanging="462"/>
        <w:spacing w:after="0" w:line="272" w:lineRule="auto"/>
        <w:tabs>
          <w:tab w:leader="none" w:pos="1720" w:val="left"/>
        </w:tabs>
        <w:numPr>
          <w:ilvl w:val="2"/>
          <w:numId w:val="36"/>
        </w:numPr>
        <w:rPr>
          <w:rFonts w:ascii="Arial" w:cs="Arial" w:eastAsia="Arial" w:hAnsi="Arial"/>
          <w:sz w:val="17"/>
          <w:szCs w:val="17"/>
          <w:color w:val="auto"/>
        </w:rPr>
      </w:pPr>
      <w:r>
        <w:rPr>
          <w:rFonts w:ascii="Arial" w:cs="Arial" w:eastAsia="Arial" w:hAnsi="Arial"/>
          <w:sz w:val="17"/>
          <w:szCs w:val="17"/>
          <w:color w:val="auto"/>
        </w:rPr>
        <w:t>within ten Business Days following receipt by the Company of a written request by the Holder, a certificate of an executive officer certifying the Exercise Price then in effect and the number of Warrant Shares or the amount, if any, of other shares of stock, securities or assets then issuable upon exercise of this Warrant.</w:t>
      </w:r>
    </w:p>
    <w:p>
      <w:pPr>
        <w:spacing w:after="0" w:line="170" w:lineRule="exact"/>
        <w:rPr>
          <w:rFonts w:ascii="Arial" w:cs="Arial" w:eastAsia="Arial" w:hAnsi="Arial"/>
          <w:sz w:val="17"/>
          <w:szCs w:val="17"/>
          <w:color w:val="auto"/>
        </w:rPr>
      </w:pPr>
    </w:p>
    <w:p>
      <w:pPr>
        <w:ind w:firstLine="474"/>
        <w:spacing w:after="0" w:line="287" w:lineRule="auto"/>
        <w:tabs>
          <w:tab w:leader="none" w:pos="774"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Restriction on Transfer of Warrant</w:t>
      </w:r>
      <w:r>
        <w:rPr>
          <w:rFonts w:ascii="Arial" w:cs="Arial" w:eastAsia="Arial" w:hAnsi="Arial"/>
          <w:sz w:val="17"/>
          <w:szCs w:val="17"/>
          <w:color w:val="auto"/>
        </w:rPr>
        <w:t>. Neither this Warrant nor any right of the Holder under this Warrant is transferable by the Holder without the prior written consent of the Company.</w:t>
      </w:r>
    </w:p>
    <w:p>
      <w:pPr>
        <w:spacing w:after="0" w:line="159" w:lineRule="exact"/>
        <w:rPr>
          <w:rFonts w:ascii="Arial" w:cs="Arial" w:eastAsia="Arial" w:hAnsi="Arial"/>
          <w:sz w:val="17"/>
          <w:szCs w:val="17"/>
          <w:color w:val="auto"/>
        </w:rPr>
      </w:pPr>
    </w:p>
    <w:p>
      <w:pPr>
        <w:jc w:val="both"/>
        <w:ind w:firstLine="474"/>
        <w:spacing w:after="0" w:line="264"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Not Deemed Stockholder</w:t>
      </w:r>
      <w:r>
        <w:rPr>
          <w:rFonts w:ascii="Arial" w:cs="Arial" w:eastAsia="Arial" w:hAnsi="Arial"/>
          <w:sz w:val="17"/>
          <w:szCs w:val="17"/>
          <w:color w:val="auto"/>
        </w:rPr>
        <w:t>. Prior to the issuance of the Warrant Shares, the Holder shall not be entitled to vote or receive dividends or be deemed the holder of shares of capital stock of the Company for any purpose, nor shall anything contained in this Warrant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w:t>
      </w:r>
    </w:p>
    <w:p>
      <w:pPr>
        <w:spacing w:after="0" w:line="178" w:lineRule="exact"/>
        <w:rPr>
          <w:rFonts w:ascii="Arial" w:cs="Arial" w:eastAsia="Arial" w:hAnsi="Arial"/>
          <w:sz w:val="17"/>
          <w:szCs w:val="17"/>
          <w:color w:val="auto"/>
        </w:rPr>
      </w:pPr>
    </w:p>
    <w:p>
      <w:pPr>
        <w:jc w:val="both"/>
        <w:ind w:firstLine="474"/>
        <w:spacing w:after="0" w:line="262" w:lineRule="auto"/>
        <w:tabs>
          <w:tab w:leader="none" w:pos="813"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Replacement on Loss</w:t>
      </w:r>
      <w:r>
        <w:rPr>
          <w:rFonts w:ascii="Arial" w:cs="Arial" w:eastAsia="Arial" w:hAnsi="Arial"/>
          <w:sz w:val="17"/>
          <w:szCs w:val="17"/>
          <w:color w:val="auto"/>
        </w:rPr>
        <w:t xml:space="preserve">. Upon receipt of evidence reasonably satisfactory to the Company of the loss, theft, destruction or mutilation of this Warrant and upon delivery of an indemnity reasonably satisfactory to it (it being understood that a written indemnification agreement or affidavit of loss of the Holder shall be a sufficient indemnity) and, in case of mutilation, upon surrender of such Warrant for cancellation to the Company, the Company at its own expense shall execute and deliver to the Holder, in lieu of this Warrant, a new Warrant of like tenor and exercisable for an equivalent number of Warrant Shares as the Warrant so lost, stolen, mutilated or destroyed,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mutilation, no indemnity shall be required if this Warrant in identifiable form is surrendered to the Company for cancellation</w:t>
      </w:r>
    </w:p>
    <w:p>
      <w:pPr>
        <w:spacing w:after="0" w:line="181" w:lineRule="exact"/>
        <w:rPr>
          <w:rFonts w:ascii="Arial" w:cs="Arial" w:eastAsia="Arial" w:hAnsi="Arial"/>
          <w:sz w:val="17"/>
          <w:szCs w:val="17"/>
          <w:color w:val="auto"/>
        </w:rPr>
      </w:pPr>
    </w:p>
    <w:p>
      <w:pPr>
        <w:jc w:val="both"/>
        <w:ind w:firstLine="474"/>
        <w:spacing w:after="0" w:line="264"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xml:space="preserve">. The Holder, by acceptance of this Warrant, agrees to comply in all respects with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 the restrictive legend requirements set forth on the face of this Warrant and further agrees that such Holder shall not offer, sell or otherwise dispose of this Warrant or any Warrant Shares to be issued upon exercise of this Warrant except under circumstances that will not result in a violation of the Securities Act of 1933 or of the securities laws of any other applicable jurisdiction. All Warrant Shares shall be stamped or imprinted with a legend in substantially the following forms:</w:t>
      </w:r>
    </w:p>
    <w:p>
      <w:pPr>
        <w:spacing w:after="0" w:line="178" w:lineRule="exact"/>
        <w:rPr>
          <w:sz w:val="20"/>
          <w:szCs w:val="20"/>
          <w:color w:val="auto"/>
        </w:rPr>
      </w:pPr>
    </w:p>
    <w:p>
      <w:pPr>
        <w:jc w:val="both"/>
        <w:ind w:left="480"/>
        <w:spacing w:after="0" w:line="272" w:lineRule="auto"/>
        <w:rPr>
          <w:sz w:val="20"/>
          <w:szCs w:val="20"/>
          <w:color w:val="auto"/>
        </w:rPr>
      </w:pPr>
      <w:r>
        <w:rPr>
          <w:rFonts w:ascii="Arial" w:cs="Arial" w:eastAsia="Arial" w:hAnsi="Arial"/>
          <w:sz w:val="17"/>
          <w:szCs w:val="17"/>
          <w:color w:val="auto"/>
        </w:rPr>
        <w:t>THESE SECURITIES HAVE BEEN ACQUIRED FOR INVESTMENT AND HAVE NOT BEEN REGISTERED UNDER THE U.S. SECURITIES ACT OF 1933. SUCH SHARES MAY NOT BE SOLD, PLEDGED, OR TRANSFERRED IN THE ABSENCE OF SUCH REGISTRATION OR A VALID EXEMPTION FROM THE REGISTRATION OF THE U.S. SECURITIES ACT OF 1933.</w:t>
      </w:r>
    </w:p>
    <w:p>
      <w:pPr>
        <w:spacing w:after="0" w:line="171" w:lineRule="exact"/>
        <w:rPr>
          <w:sz w:val="20"/>
          <w:szCs w:val="20"/>
          <w:color w:val="auto"/>
        </w:rPr>
      </w:pPr>
    </w:p>
    <w:p>
      <w:pPr>
        <w:jc w:val="both"/>
        <w:ind w:left="480"/>
        <w:spacing w:after="0" w:line="266" w:lineRule="auto"/>
        <w:rPr>
          <w:sz w:val="20"/>
          <w:szCs w:val="20"/>
          <w:color w:val="auto"/>
        </w:rPr>
      </w:pPr>
      <w:r>
        <w:rPr>
          <w:rFonts w:ascii="Arial" w:cs="Arial" w:eastAsia="Arial" w:hAnsi="Arial"/>
          <w:sz w:val="17"/>
          <w:szCs w:val="17"/>
          <w:color w:val="auto"/>
        </w:rPr>
        <w:t>THE COMPANY HAS MORE THAN ONE CLASS OF STOCK AUTHORIZED TO BE ISSUED. THE COMPANY WILL FURNISH WITHOUT CHARGE TO THE HOLDER UPON WRITTEN REQUEST A COPY OF THE FULL TEXT OF THE PREFERENCES, VOTING POWERS, QUALIFICATIONS AND SPECIAL AND RELATIVE RIGHTS OF THE SHARES OF EACH CLASS OF STOCK AUTHORIZED TO BE ISSUED BY THE COMPANY AS SET FORTH IN THE CERTIFICATE OF INCORPORATION OF THE COMPANY.</w:t>
      </w:r>
    </w:p>
    <w:p>
      <w:pPr>
        <w:spacing w:after="0" w:line="178" w:lineRule="exact"/>
        <w:rPr>
          <w:sz w:val="20"/>
          <w:szCs w:val="20"/>
          <w:color w:val="auto"/>
        </w:rPr>
      </w:pPr>
    </w:p>
    <w:p>
      <w:pPr>
        <w:jc w:val="both"/>
        <w:ind w:firstLine="474"/>
        <w:spacing w:after="0" w:line="266" w:lineRule="auto"/>
        <w:tabs>
          <w:tab w:leader="none" w:pos="78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Warrant Register</w:t>
      </w:r>
      <w:r>
        <w:rPr>
          <w:rFonts w:ascii="Arial" w:cs="Arial" w:eastAsia="Arial" w:hAnsi="Arial"/>
          <w:sz w:val="17"/>
          <w:szCs w:val="17"/>
          <w:color w:val="auto"/>
        </w:rPr>
        <w:t>. The Company shall keep and properly maintain at its principal executive offices books for the registration and any transfers of this Warrant. The Company may deem and treat the Person in whose name this Warrant is registered on such register as the Holder of this Warrant for all purposes, and the Company shall not be affected by any notice to the contrary, except any assignment, division, combination or other transfer of the Warrant effected in accordance with the provisions of this Warrant.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3676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ind w:left="780" w:hanging="306"/>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jc w:val="both"/>
        <w:ind w:firstLine="788"/>
        <w:spacing w:after="0" w:line="261" w:lineRule="auto"/>
        <w:tabs>
          <w:tab w:leader="none" w:pos="1302"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consents, claims, demands, waivers and other communications in connection or accordance with this Warrant shall be in writing and shall be deemed to have been given: (i) when delivered by hand (with written confirmation of receipt); (ii) when received by the addressee if sent by a nationally recognized overnight courier (receipt requested); (iii) on the date sent by e-mail of a PDF document (with confirmation of transmission) if sent during normal business hours of the recipient, and on the next Business Day if sent after normal business hours of the recipient; or (iv) on the tenth Business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10(a)</w:t>
      </w:r>
      <w:r>
        <w:rPr>
          <w:rFonts w:ascii="Arial" w:cs="Arial" w:eastAsia="Arial" w:hAnsi="Arial"/>
          <w:sz w:val="17"/>
          <w:szCs w:val="17"/>
          <w:color w:val="auto"/>
        </w:rPr>
        <w:t>).</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3120" w:type="dxa"/>
            <w:vAlign w:val="bottom"/>
          </w:tcPr>
          <w:p>
            <w:pPr>
              <w:spacing w:after="0"/>
              <w:rPr>
                <w:sz w:val="20"/>
                <w:szCs w:val="20"/>
                <w:color w:val="auto"/>
              </w:rPr>
            </w:pPr>
            <w:r>
              <w:rPr>
                <w:rFonts w:ascii="Arial" w:cs="Arial" w:eastAsia="Arial" w:hAnsi="Arial"/>
                <w:sz w:val="17"/>
                <w:szCs w:val="17"/>
                <w:color w:val="auto"/>
              </w:rPr>
              <w:t>If to the Company:</w:t>
            </w: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ACM Research, Inc.</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42307 Osgood Road, Suite I</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Fremont, CA 94539</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E-mail: [***]</w:t>
            </w:r>
          </w:p>
        </w:tc>
      </w:tr>
      <w:tr>
        <w:trPr>
          <w:trHeight w:val="221"/>
        </w:trPr>
        <w:tc>
          <w:tcPr>
            <w:tcW w:w="3120" w:type="dxa"/>
            <w:vAlign w:val="bottom"/>
          </w:tcPr>
          <w:p>
            <w:pPr>
              <w:spacing w:after="0"/>
              <w:rPr>
                <w:sz w:val="19"/>
                <w:szCs w:val="19"/>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Attention: Chief Financial Officer</w:t>
            </w:r>
          </w:p>
        </w:tc>
      </w:tr>
      <w:tr>
        <w:trPr>
          <w:trHeight w:val="406"/>
        </w:trPr>
        <w:tc>
          <w:tcPr>
            <w:tcW w:w="3120" w:type="dxa"/>
            <w:vAlign w:val="bottom"/>
          </w:tcPr>
          <w:p>
            <w:pPr>
              <w:spacing w:after="0"/>
              <w:rPr>
                <w:sz w:val="20"/>
                <w:szCs w:val="20"/>
                <w:color w:val="auto"/>
              </w:rPr>
            </w:pPr>
            <w:r>
              <w:rPr>
                <w:rFonts w:ascii="Arial" w:cs="Arial" w:eastAsia="Arial" w:hAnsi="Arial"/>
                <w:sz w:val="17"/>
                <w:szCs w:val="17"/>
                <w:color w:val="auto"/>
              </w:rPr>
              <w:t>with a copy to:</w:t>
            </w: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K&amp;L Gates LLP</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One Lincoln Street</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Boston, MA 02111</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E-mail: [***]</w:t>
            </w:r>
          </w:p>
        </w:tc>
      </w:tr>
      <w:tr>
        <w:trPr>
          <w:trHeight w:val="221"/>
        </w:trPr>
        <w:tc>
          <w:tcPr>
            <w:tcW w:w="3120" w:type="dxa"/>
            <w:vAlign w:val="bottom"/>
          </w:tcPr>
          <w:p>
            <w:pPr>
              <w:spacing w:after="0"/>
              <w:rPr>
                <w:sz w:val="19"/>
                <w:szCs w:val="19"/>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Attention: Mark L. Johnson</w:t>
            </w:r>
          </w:p>
        </w:tc>
      </w:tr>
      <w:tr>
        <w:trPr>
          <w:trHeight w:val="406"/>
        </w:trPr>
        <w:tc>
          <w:tcPr>
            <w:tcW w:w="3120" w:type="dxa"/>
            <w:vAlign w:val="bottom"/>
          </w:tcPr>
          <w:p>
            <w:pPr>
              <w:spacing w:after="0"/>
              <w:rPr>
                <w:sz w:val="20"/>
                <w:szCs w:val="20"/>
                <w:color w:val="auto"/>
              </w:rPr>
            </w:pPr>
            <w:r>
              <w:rPr>
                <w:rFonts w:ascii="Arial" w:cs="Arial" w:eastAsia="Arial" w:hAnsi="Arial"/>
                <w:sz w:val="17"/>
                <w:szCs w:val="17"/>
                <w:color w:val="auto"/>
              </w:rPr>
              <w:t>If to the Holder:</w:t>
            </w: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w w:val="92"/>
              </w:rPr>
              <w:t>Shengxin (Shanghai) Management Consulting Limited Partnership</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Rm 210 32, 2nd fl. Building 1, 38 Debao Rd.,</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Pilot Free Trade Zone,</w:t>
            </w:r>
          </w:p>
        </w:tc>
      </w:tr>
      <w:tr>
        <w:trPr>
          <w:trHeight w:val="209"/>
        </w:trPr>
        <w:tc>
          <w:tcPr>
            <w:tcW w:w="3120" w:type="dxa"/>
            <w:vAlign w:val="bottom"/>
          </w:tcPr>
          <w:p>
            <w:pPr>
              <w:spacing w:after="0"/>
              <w:rPr>
                <w:sz w:val="18"/>
                <w:szCs w:val="18"/>
                <w:color w:val="auto"/>
              </w:rPr>
            </w:pPr>
          </w:p>
        </w:tc>
        <w:tc>
          <w:tcPr>
            <w:tcW w:w="6580" w:type="dxa"/>
            <w:vAlign w:val="bottom"/>
            <w:gridSpan w:val="5"/>
          </w:tcPr>
          <w:p>
            <w:pPr>
              <w:ind w:left="1920"/>
              <w:spacing w:after="0"/>
              <w:rPr>
                <w:sz w:val="20"/>
                <w:szCs w:val="20"/>
                <w:color w:val="auto"/>
              </w:rPr>
            </w:pPr>
            <w:r>
              <w:rPr>
                <w:rFonts w:ascii="Arial" w:cs="Arial" w:eastAsia="Arial" w:hAnsi="Arial"/>
                <w:sz w:val="17"/>
                <w:szCs w:val="17"/>
                <w:color w:val="auto"/>
              </w:rPr>
              <w:t>Shanghai, China</w:t>
            </w:r>
          </w:p>
        </w:tc>
      </w:tr>
      <w:tr>
        <w:trPr>
          <w:trHeight w:val="221"/>
        </w:trPr>
        <w:tc>
          <w:tcPr>
            <w:tcW w:w="3120" w:type="dxa"/>
            <w:vAlign w:val="bottom"/>
          </w:tcPr>
          <w:p>
            <w:pPr>
              <w:spacing w:after="0"/>
              <w:rPr>
                <w:sz w:val="19"/>
                <w:szCs w:val="19"/>
                <w:color w:val="auto"/>
              </w:rPr>
            </w:pPr>
          </w:p>
        </w:tc>
        <w:tc>
          <w:tcPr>
            <w:tcW w:w="6580" w:type="dxa"/>
            <w:vAlign w:val="bottom"/>
            <w:gridSpan w:val="5"/>
          </w:tcPr>
          <w:p>
            <w:pPr>
              <w:ind w:left="1880"/>
              <w:spacing w:after="0"/>
              <w:rPr>
                <w:sz w:val="20"/>
                <w:szCs w:val="20"/>
                <w:color w:val="auto"/>
              </w:rPr>
            </w:pPr>
            <w:r>
              <w:rPr>
                <w:rFonts w:ascii="Arial" w:cs="Arial" w:eastAsia="Arial" w:hAnsi="Arial"/>
                <w:sz w:val="17"/>
                <w:szCs w:val="17"/>
                <w:color w:val="auto"/>
              </w:rPr>
              <w:t>E-mail:</w:t>
            </w:r>
          </w:p>
        </w:tc>
      </w:tr>
      <w:tr>
        <w:trPr>
          <w:trHeight w:val="26"/>
        </w:trPr>
        <w:tc>
          <w:tcPr>
            <w:tcW w:w="312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196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r>
      <w:tr>
        <w:trPr>
          <w:trHeight w:val="202"/>
        </w:trPr>
        <w:tc>
          <w:tcPr>
            <w:tcW w:w="3120" w:type="dxa"/>
            <w:vAlign w:val="bottom"/>
          </w:tcPr>
          <w:p>
            <w:pPr>
              <w:spacing w:after="0"/>
              <w:rPr>
                <w:sz w:val="17"/>
                <w:szCs w:val="17"/>
                <w:color w:val="auto"/>
              </w:rPr>
            </w:pPr>
          </w:p>
        </w:tc>
        <w:tc>
          <w:tcPr>
            <w:tcW w:w="2540" w:type="dxa"/>
            <w:vAlign w:val="bottom"/>
          </w:tcPr>
          <w:p>
            <w:pPr>
              <w:ind w:left="1800"/>
              <w:spacing w:after="0"/>
              <w:rPr>
                <w:sz w:val="20"/>
                <w:szCs w:val="20"/>
                <w:color w:val="auto"/>
              </w:rPr>
            </w:pPr>
            <w:r>
              <w:rPr>
                <w:rFonts w:ascii="Arial" w:cs="Arial" w:eastAsia="Arial" w:hAnsi="Arial"/>
                <w:sz w:val="17"/>
                <w:szCs w:val="17"/>
                <w:color w:val="auto"/>
              </w:rPr>
              <w:t>Attention:</w:t>
            </w:r>
          </w:p>
        </w:tc>
        <w:tc>
          <w:tcPr>
            <w:tcW w:w="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
        </w:trPr>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bl>
    <w:p>
      <w:pPr>
        <w:spacing w:after="0" w:line="196" w:lineRule="exact"/>
        <w:rPr>
          <w:sz w:val="20"/>
          <w:szCs w:val="20"/>
          <w:color w:val="auto"/>
        </w:rPr>
      </w:pPr>
    </w:p>
    <w:p>
      <w:pPr>
        <w:jc w:val="both"/>
        <w:ind w:firstLine="788"/>
        <w:spacing w:after="0" w:line="284" w:lineRule="auto"/>
        <w:tabs>
          <w:tab w:leader="none" w:pos="124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Warrant, together with the Share Transfer and Note Cancellation Agreement dated as of April 30, 2020, as amended by Amendment No. 1 thereto dated as of the Original Issue Date, and the Registration Rights Agreement dated as of March 10, 2017 between the Company and certain of its securityholders, as amended by the Adoption Agreement dated as of the Original Issue Date between the Company and the Holder, constitute the full and entire understanding and agreement between the parties to this Warrant with respect to the subject matter contained in this Warrant, and supersede all prior and contemporaneous understandings and agreements, both written and oral, with respect to such subject matter.</w:t>
      </w:r>
    </w:p>
    <w:p>
      <w:pPr>
        <w:spacing w:after="0" w:line="164" w:lineRule="exact"/>
        <w:rPr>
          <w:rFonts w:ascii="Arial" w:cs="Arial" w:eastAsia="Arial" w:hAnsi="Arial"/>
          <w:sz w:val="16"/>
          <w:szCs w:val="16"/>
          <w:color w:val="auto"/>
        </w:rPr>
      </w:pPr>
    </w:p>
    <w:p>
      <w:pPr>
        <w:jc w:val="both"/>
        <w:ind w:firstLine="788"/>
        <w:spacing w:after="0" w:line="320" w:lineRule="auto"/>
        <w:tabs>
          <w:tab w:leader="none" w:pos="136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provision of this Warrant is invalid, illegal or unenforceable in any jurisdiction, such invalidity, illegality or unenforceability shall not affect any other term or provision of this Warrant or invalidate or render unenforceable such term or provision in any other jurisdiction.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3676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jc w:val="both"/>
        <w:ind w:firstLine="788"/>
        <w:spacing w:after="0" w:line="261" w:lineRule="auto"/>
        <w:tabs>
          <w:tab w:leader="none" w:pos="140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Amendment and Modification; Waiver</w:t>
      </w:r>
      <w:r>
        <w:rPr>
          <w:rFonts w:ascii="Arial" w:cs="Arial" w:eastAsia="Arial" w:hAnsi="Arial"/>
          <w:sz w:val="17"/>
          <w:szCs w:val="17"/>
          <w:color w:val="auto"/>
        </w:rPr>
        <w:t>. Except as otherwise provided in this Warrant, this Warrant may only be amended, modified or supplemented by an agreement in writing signed by the Company and the Holder. No waiver by the Company or the Holder of any of the provisions of this Warrant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of this Warrant preclude any other or further exercise thereof or the exercise of any other right, remedy, power or privilege.</w:t>
      </w:r>
    </w:p>
    <w:p>
      <w:pPr>
        <w:spacing w:after="0" w:line="182" w:lineRule="exact"/>
        <w:rPr>
          <w:rFonts w:ascii="Arial" w:cs="Arial" w:eastAsia="Arial" w:hAnsi="Arial"/>
          <w:sz w:val="17"/>
          <w:szCs w:val="17"/>
          <w:color w:val="auto"/>
        </w:rPr>
      </w:pPr>
    </w:p>
    <w:p>
      <w:pPr>
        <w:jc w:val="both"/>
        <w:ind w:firstLine="788"/>
        <w:spacing w:after="0" w:line="272" w:lineRule="auto"/>
        <w:tabs>
          <w:tab w:leader="none" w:pos="132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Warrant and the rights evidenced by this Warrant shall be binding upon and shall inure to the benefit of the parties to this Warrant and the successors of the Company and the successors and permitted assigns of the Holder. Each such successor or permitted assign of the Holder shall be deemed to be the Holder for all purposes of this Warrant.</w:t>
      </w:r>
    </w:p>
    <w:p>
      <w:pPr>
        <w:spacing w:after="0" w:line="170" w:lineRule="exact"/>
        <w:rPr>
          <w:rFonts w:ascii="Arial" w:cs="Arial" w:eastAsia="Arial" w:hAnsi="Arial"/>
          <w:sz w:val="17"/>
          <w:szCs w:val="17"/>
          <w:color w:val="auto"/>
        </w:rPr>
      </w:pPr>
    </w:p>
    <w:p>
      <w:pPr>
        <w:jc w:val="both"/>
        <w:ind w:firstLine="788"/>
        <w:spacing w:after="0" w:line="272" w:lineRule="auto"/>
        <w:tabs>
          <w:tab w:leader="none" w:pos="129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Warrant is for the sole benefit of the Company and its successors and the Holder and its successors and permitted assigns. Nothing in this Warrant, express or implied, is intended to or shall confer upon any other Person any legal or equitable right, benefit or remedy of any nature whatsoever, under or by reason of this Warrant.</w:t>
      </w:r>
    </w:p>
    <w:p>
      <w:pPr>
        <w:spacing w:after="0" w:line="170" w:lineRule="exact"/>
        <w:rPr>
          <w:rFonts w:ascii="Arial" w:cs="Arial" w:eastAsia="Arial" w:hAnsi="Arial"/>
          <w:sz w:val="17"/>
          <w:szCs w:val="17"/>
          <w:color w:val="auto"/>
        </w:rPr>
      </w:pPr>
    </w:p>
    <w:p>
      <w:pPr>
        <w:ind w:left="1260" w:hanging="472"/>
        <w:spacing w:after="0"/>
        <w:tabs>
          <w:tab w:leader="none" w:pos="126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 Waiver of Jury Trial</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jc w:val="both"/>
        <w:ind w:left="780" w:firstLine="478"/>
        <w:spacing w:after="0" w:line="261" w:lineRule="auto"/>
        <w:tabs>
          <w:tab w:leader="none" w:pos="171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legal suit, action or proceeding arising out of or based upon this Warrant or the transactions contemplated by this Warrant may be instituted in the federal courts of the United States of America or the courts of the State of Delaware in, and each party irrevocably submits to the exclusive jurisdiction of such courts in any such suit, action or proceeding. Service of process, summons, notice or other document by certified or registered mail to such party's address set forth in this Warrant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2" w:lineRule="exact"/>
        <w:rPr>
          <w:rFonts w:ascii="Arial" w:cs="Arial" w:eastAsia="Arial" w:hAnsi="Arial"/>
          <w:sz w:val="17"/>
          <w:szCs w:val="17"/>
          <w:color w:val="auto"/>
        </w:rPr>
      </w:pPr>
    </w:p>
    <w:p>
      <w:pPr>
        <w:jc w:val="both"/>
        <w:ind w:left="780" w:firstLine="478"/>
        <w:spacing w:after="0" w:line="266" w:lineRule="auto"/>
        <w:tabs>
          <w:tab w:leader="none" w:pos="2011" w:val="left"/>
        </w:tabs>
        <w:numPr>
          <w:ilvl w:val="1"/>
          <w:numId w:val="41"/>
        </w:numPr>
        <w:rPr>
          <w:rFonts w:ascii="Arial" w:cs="Arial" w:eastAsia="Arial" w:hAnsi="Arial"/>
          <w:sz w:val="17"/>
          <w:szCs w:val="17"/>
          <w:color w:val="auto"/>
        </w:rPr>
      </w:pPr>
      <w:r>
        <w:rPr>
          <w:rFonts w:ascii="Arial" w:cs="Arial" w:eastAsia="Arial" w:hAnsi="Arial"/>
          <w:sz w:val="17"/>
          <w:szCs w:val="17"/>
          <w:color w:val="auto"/>
        </w:rPr>
        <w:t>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BY THIS WARRANT.</w:t>
      </w:r>
    </w:p>
    <w:p>
      <w:pPr>
        <w:spacing w:after="0" w:line="177" w:lineRule="exact"/>
        <w:rPr>
          <w:rFonts w:ascii="Arial" w:cs="Arial" w:eastAsia="Arial" w:hAnsi="Arial"/>
          <w:sz w:val="17"/>
          <w:szCs w:val="17"/>
          <w:color w:val="auto"/>
        </w:rPr>
      </w:pPr>
    </w:p>
    <w:p>
      <w:pPr>
        <w:jc w:val="both"/>
        <w:ind w:firstLine="788"/>
        <w:spacing w:after="0" w:line="272" w:lineRule="auto"/>
        <w:tabs>
          <w:tab w:leader="none" w:pos="124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70" w:lineRule="exact"/>
        <w:rPr>
          <w:rFonts w:ascii="Arial" w:cs="Arial" w:eastAsia="Arial" w:hAnsi="Arial"/>
          <w:sz w:val="17"/>
          <w:szCs w:val="17"/>
          <w:color w:val="auto"/>
        </w:rPr>
      </w:pPr>
    </w:p>
    <w:p>
      <w:pPr>
        <w:ind w:left="1260" w:hanging="472"/>
        <w:spacing w:after="0"/>
        <w:tabs>
          <w:tab w:leader="none" w:pos="126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For purposes of this Agreement:</w:t>
      </w:r>
    </w:p>
    <w:p>
      <w:pPr>
        <w:spacing w:after="0" w:line="222" w:lineRule="exact"/>
        <w:rPr>
          <w:rFonts w:ascii="Arial" w:cs="Arial" w:eastAsia="Arial" w:hAnsi="Arial"/>
          <w:sz w:val="17"/>
          <w:szCs w:val="17"/>
          <w:color w:val="auto"/>
        </w:rPr>
      </w:pPr>
    </w:p>
    <w:p>
      <w:pPr>
        <w:ind w:left="1720" w:hanging="462"/>
        <w:spacing w:after="0" w:line="287" w:lineRule="auto"/>
        <w:tabs>
          <w:tab w:leader="none" w:pos="17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headings used in this Agreement are for convenience of reference only and shall not, for any purpose, be deemed a part of this Agreement;</w:t>
      </w:r>
    </w:p>
    <w:p>
      <w:pPr>
        <w:spacing w:after="0" w:line="159" w:lineRule="exact"/>
        <w:rPr>
          <w:rFonts w:ascii="Arial" w:cs="Arial" w:eastAsia="Arial" w:hAnsi="Arial"/>
          <w:sz w:val="17"/>
          <w:szCs w:val="17"/>
          <w:color w:val="auto"/>
        </w:rPr>
      </w:pPr>
    </w:p>
    <w:p>
      <w:pPr>
        <w:ind w:left="1720" w:hanging="462"/>
        <w:spacing w:after="0"/>
        <w:tabs>
          <w:tab w:leader="none" w:pos="17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references herein to a Section refer to a Section of this Agreement, unless specified otherwise;</w:t>
      </w:r>
    </w:p>
    <w:p>
      <w:pPr>
        <w:spacing w:after="0" w:line="222" w:lineRule="exact"/>
        <w:rPr>
          <w:rFonts w:ascii="Arial" w:cs="Arial" w:eastAsia="Arial" w:hAnsi="Arial"/>
          <w:sz w:val="17"/>
          <w:szCs w:val="17"/>
          <w:color w:val="auto"/>
        </w:rPr>
      </w:pPr>
    </w:p>
    <w:p>
      <w:pPr>
        <w:ind w:left="1720" w:hanging="462"/>
        <w:spacing w:after="0" w:line="287" w:lineRule="auto"/>
        <w:tabs>
          <w:tab w:leader="none" w:pos="17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words “include,” “includes” and “including” as used herein shall not be construed so as to exclude any other thing not referred to or described;</w:t>
      </w:r>
    </w:p>
    <w:p>
      <w:pPr>
        <w:spacing w:after="0" w:line="159" w:lineRule="exact"/>
        <w:rPr>
          <w:rFonts w:ascii="Arial" w:cs="Arial" w:eastAsia="Arial" w:hAnsi="Arial"/>
          <w:sz w:val="17"/>
          <w:szCs w:val="17"/>
          <w:color w:val="auto"/>
        </w:rPr>
      </w:pPr>
    </w:p>
    <w:p>
      <w:pPr>
        <w:ind w:left="1720" w:hanging="462"/>
        <w:spacing w:after="0"/>
        <w:tabs>
          <w:tab w:leader="none" w:pos="17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word “or” is not exclusive;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3676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ind w:left="1720" w:hanging="462"/>
        <w:spacing w:after="0"/>
        <w:tabs>
          <w:tab w:leader="none" w:pos="1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definition given for any term in this Agreement shall apply equally to both the singular and plural forms of the term defined;</w:t>
      </w:r>
    </w:p>
    <w:p>
      <w:pPr>
        <w:spacing w:after="0" w:line="222" w:lineRule="exact"/>
        <w:rPr>
          <w:rFonts w:ascii="Arial" w:cs="Arial" w:eastAsia="Arial" w:hAnsi="Arial"/>
          <w:sz w:val="17"/>
          <w:szCs w:val="17"/>
          <w:color w:val="auto"/>
        </w:rPr>
      </w:pPr>
    </w:p>
    <w:p>
      <w:pPr>
        <w:ind w:left="1720" w:hanging="462"/>
        <w:spacing w:after="0"/>
        <w:tabs>
          <w:tab w:leader="none" w:pos="1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whenever the context may require, any pronoun shall include the corresponding masculine, feminine and neuter forms;</w:t>
      </w:r>
    </w:p>
    <w:p>
      <w:pPr>
        <w:spacing w:after="0" w:line="222" w:lineRule="exact"/>
        <w:rPr>
          <w:rFonts w:ascii="Arial" w:cs="Arial" w:eastAsia="Arial" w:hAnsi="Arial"/>
          <w:sz w:val="17"/>
          <w:szCs w:val="17"/>
          <w:color w:val="auto"/>
        </w:rPr>
      </w:pPr>
    </w:p>
    <w:p>
      <w:pPr>
        <w:ind w:left="1720" w:hanging="462"/>
        <w:spacing w:after="0" w:line="287" w:lineRule="auto"/>
        <w:tabs>
          <w:tab w:leader="none" w:pos="1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unless the context otherwise requires, references herein to a statute means such statute as amended from time to time and includes any successor legislation thereto and any rules and regulations promulgated thereunder; and</w:t>
      </w:r>
    </w:p>
    <w:p>
      <w:pPr>
        <w:spacing w:after="0" w:line="159" w:lineRule="exact"/>
        <w:rPr>
          <w:rFonts w:ascii="Arial" w:cs="Arial" w:eastAsia="Arial" w:hAnsi="Arial"/>
          <w:sz w:val="17"/>
          <w:szCs w:val="17"/>
          <w:color w:val="auto"/>
        </w:rPr>
      </w:pPr>
    </w:p>
    <w:p>
      <w:pPr>
        <w:ind w:left="1720" w:hanging="462"/>
        <w:spacing w:after="0" w:line="287" w:lineRule="auto"/>
        <w:tabs>
          <w:tab w:leader="none" w:pos="1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Agreement shall be construed without regard to any presumption or rule requiring construction or interpretation against the party drafting an instrument or causing any instrument to be drafted.</w:t>
      </w:r>
    </w:p>
    <w:p>
      <w:pPr>
        <w:spacing w:after="0" w:line="159" w:lineRule="exact"/>
        <w:rPr>
          <w:sz w:val="20"/>
          <w:szCs w:val="20"/>
          <w:color w:val="auto"/>
        </w:rPr>
      </w:pPr>
    </w:p>
    <w:p>
      <w:pPr>
        <w:jc w:val="both"/>
        <w:ind w:firstLine="788"/>
        <w:spacing w:after="0" w:line="272" w:lineRule="auto"/>
        <w:tabs>
          <w:tab w:leader="none" w:pos="1274"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Warrant may be executed in counterparts, each of which shall be deemed an original, but both of which together shall be deemed to be one and the same agreement. A signed copy of this Warrant delivered by e-mail or other means of electronic transmission shall be deemed to have the same legal effect as delivery of an original signed copy of this Warrant.</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w:t>
      </w:r>
      <w:r>
        <w:rPr>
          <w:rFonts w:ascii="Arial" w:cs="Arial" w:eastAsia="Arial" w:hAnsi="Arial"/>
          <w:sz w:val="11"/>
          <w:szCs w:val="11"/>
          <w:color w:val="auto"/>
        </w:rPr>
        <w:t>N</w:t>
      </w:r>
      <w:r>
        <w:rPr>
          <w:rFonts w:ascii="Arial" w:cs="Arial" w:eastAsia="Arial" w:hAnsi="Arial"/>
          <w:sz w:val="17"/>
          <w:szCs w:val="17"/>
          <w:color w:val="auto"/>
        </w:rPr>
        <w:t xml:space="preserve"> W</w:t>
      </w:r>
      <w:r>
        <w:rPr>
          <w:rFonts w:ascii="Arial" w:cs="Arial" w:eastAsia="Arial" w:hAnsi="Arial"/>
          <w:sz w:val="11"/>
          <w:szCs w:val="11"/>
          <w:color w:val="auto"/>
        </w:rPr>
        <w:t>ITNESS</w:t>
      </w:r>
      <w:r>
        <w:rPr>
          <w:rFonts w:ascii="Arial" w:cs="Arial" w:eastAsia="Arial" w:hAnsi="Arial"/>
          <w:sz w:val="17"/>
          <w:szCs w:val="17"/>
          <w:color w:val="auto"/>
        </w:rPr>
        <w:t xml:space="preserve"> W</w:t>
      </w:r>
      <w:r>
        <w:rPr>
          <w:rFonts w:ascii="Arial" w:cs="Arial" w:eastAsia="Arial" w:hAnsi="Arial"/>
          <w:sz w:val="11"/>
          <w:szCs w:val="11"/>
          <w:color w:val="auto"/>
        </w:rPr>
        <w:t>HEREOF</w:t>
      </w:r>
      <w:r>
        <w:rPr>
          <w:rFonts w:ascii="Arial" w:cs="Arial" w:eastAsia="Arial" w:hAnsi="Arial"/>
          <w:sz w:val="17"/>
          <w:szCs w:val="17"/>
          <w:color w:val="auto"/>
        </w:rPr>
        <w:t>, the Company has duly executed this Warrant on the Original Issue Date.</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ACM RESEARCH, INC.</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Hui Wang</w:t>
      </w:r>
    </w:p>
    <w:p>
      <w:pPr>
        <w:spacing w:after="0" w:line="2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Hui Wang</w:t>
      </w:r>
    </w:p>
    <w:p>
      <w:pPr>
        <w:spacing w:after="0" w:line="1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CEO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SHENGXIN (SHANGHAI)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LIMITED PARTNERSHIP</w:t>
      </w:r>
    </w:p>
    <w:p>
      <w:pPr>
        <w:spacing w:after="0" w:line="210" w:lineRule="exact"/>
        <w:rPr>
          <w:sz w:val="20"/>
          <w:szCs w:val="20"/>
          <w:color w:val="auto"/>
        </w:rPr>
      </w:pPr>
    </w:p>
    <w:p>
      <w:pPr>
        <w:spacing w:after="0"/>
        <w:tabs>
          <w:tab w:leader="none" w:pos="2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33020</wp:posOffset>
            </wp:positionV>
            <wp:extent cx="10693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Steven Huang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13676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10.21(b)</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HARE</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RANSFER AND</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OTE</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ANCELLATION</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p>
    <w:p>
      <w:pPr>
        <w:spacing w:after="0" w:line="228" w:lineRule="exact"/>
        <w:rPr>
          <w:sz w:val="20"/>
          <w:szCs w:val="20"/>
          <w:color w:val="auto"/>
        </w:rPr>
      </w:pPr>
    </w:p>
    <w:p>
      <w:pPr>
        <w:jc w:val="both"/>
        <w:ind w:firstLine="413"/>
        <w:spacing w:after="0" w:line="288" w:lineRule="auto"/>
        <w:rPr>
          <w:sz w:val="20"/>
          <w:szCs w:val="20"/>
          <w:color w:val="auto"/>
        </w:rPr>
      </w:pPr>
      <w:r>
        <w:rPr>
          <w:rFonts w:ascii="Arial" w:cs="Arial" w:eastAsia="Arial" w:hAnsi="Arial"/>
          <w:sz w:val="16"/>
          <w:szCs w:val="16"/>
          <w:color w:val="auto"/>
        </w:rPr>
        <w:t>T</w:t>
      </w:r>
      <w:r>
        <w:rPr>
          <w:rFonts w:ascii="Arial" w:cs="Arial" w:eastAsia="Arial" w:hAnsi="Arial"/>
          <w:sz w:val="10"/>
          <w:szCs w:val="10"/>
          <w:color w:val="auto"/>
        </w:rPr>
        <w:t>HIS</w:t>
      </w:r>
      <w:r>
        <w:rPr>
          <w:rFonts w:ascii="Arial" w:cs="Arial" w:eastAsia="Arial" w:hAnsi="Arial"/>
          <w:sz w:val="16"/>
          <w:szCs w:val="16"/>
          <w:color w:val="auto"/>
        </w:rPr>
        <w:t xml:space="preserve"> A</w:t>
      </w:r>
      <w:r>
        <w:rPr>
          <w:rFonts w:ascii="Arial" w:cs="Arial" w:eastAsia="Arial" w:hAnsi="Arial"/>
          <w:sz w:val="10"/>
          <w:szCs w:val="10"/>
          <w:color w:val="auto"/>
        </w:rPr>
        <w:t>MENDMENT</w:t>
      </w:r>
      <w:r>
        <w:rPr>
          <w:rFonts w:ascii="Arial" w:cs="Arial" w:eastAsia="Arial" w:hAnsi="Arial"/>
          <w:sz w:val="16"/>
          <w:szCs w:val="16"/>
          <w:color w:val="auto"/>
        </w:rPr>
        <w:t xml:space="preserve"> N</w:t>
      </w:r>
      <w:r>
        <w:rPr>
          <w:rFonts w:ascii="Arial" w:cs="Arial" w:eastAsia="Arial" w:hAnsi="Arial"/>
          <w:sz w:val="10"/>
          <w:szCs w:val="10"/>
          <w:color w:val="auto"/>
        </w:rPr>
        <w:t>O</w:t>
      </w:r>
      <w:r>
        <w:rPr>
          <w:rFonts w:ascii="Arial" w:cs="Arial" w:eastAsia="Arial" w:hAnsi="Arial"/>
          <w:sz w:val="16"/>
          <w:szCs w:val="16"/>
          <w:color w:val="auto"/>
        </w:rPr>
        <w:t xml:space="preserve">. 1 </w:t>
      </w:r>
      <w:r>
        <w:rPr>
          <w:rFonts w:ascii="Arial" w:cs="Arial" w:eastAsia="Arial" w:hAnsi="Arial"/>
          <w:sz w:val="10"/>
          <w:szCs w:val="10"/>
          <w:color w:val="auto"/>
        </w:rPr>
        <w:t>TO</w:t>
      </w:r>
      <w:r>
        <w:rPr>
          <w:rFonts w:ascii="Arial" w:cs="Arial" w:eastAsia="Arial" w:hAnsi="Arial"/>
          <w:sz w:val="16"/>
          <w:szCs w:val="16"/>
          <w:color w:val="auto"/>
        </w:rPr>
        <w:t xml:space="preserve"> S</w:t>
      </w:r>
      <w:r>
        <w:rPr>
          <w:rFonts w:ascii="Arial" w:cs="Arial" w:eastAsia="Arial" w:hAnsi="Arial"/>
          <w:sz w:val="10"/>
          <w:szCs w:val="10"/>
          <w:color w:val="auto"/>
        </w:rPr>
        <w:t>HARE</w:t>
      </w:r>
      <w:r>
        <w:rPr>
          <w:rFonts w:ascii="Arial" w:cs="Arial" w:eastAsia="Arial" w:hAnsi="Arial"/>
          <w:sz w:val="16"/>
          <w:szCs w:val="16"/>
          <w:color w:val="auto"/>
        </w:rPr>
        <w:t xml:space="preserve"> T</w:t>
      </w:r>
      <w:r>
        <w:rPr>
          <w:rFonts w:ascii="Arial" w:cs="Arial" w:eastAsia="Arial" w:hAnsi="Arial"/>
          <w:sz w:val="10"/>
          <w:szCs w:val="10"/>
          <w:color w:val="auto"/>
        </w:rPr>
        <w:t>RANSFER AND</w:t>
      </w:r>
      <w:r>
        <w:rPr>
          <w:rFonts w:ascii="Arial" w:cs="Arial" w:eastAsia="Arial" w:hAnsi="Arial"/>
          <w:sz w:val="16"/>
          <w:szCs w:val="16"/>
          <w:color w:val="auto"/>
        </w:rPr>
        <w:t xml:space="preserve"> N</w:t>
      </w:r>
      <w:r>
        <w:rPr>
          <w:rFonts w:ascii="Arial" w:cs="Arial" w:eastAsia="Arial" w:hAnsi="Arial"/>
          <w:sz w:val="10"/>
          <w:szCs w:val="10"/>
          <w:color w:val="auto"/>
        </w:rPr>
        <w:t>OTE</w:t>
      </w:r>
      <w:r>
        <w:rPr>
          <w:rFonts w:ascii="Arial" w:cs="Arial" w:eastAsia="Arial" w:hAnsi="Arial"/>
          <w:sz w:val="16"/>
          <w:szCs w:val="16"/>
          <w:color w:val="auto"/>
        </w:rPr>
        <w:t xml:space="preserve"> C</w:t>
      </w:r>
      <w:r>
        <w:rPr>
          <w:rFonts w:ascii="Arial" w:cs="Arial" w:eastAsia="Arial" w:hAnsi="Arial"/>
          <w:sz w:val="10"/>
          <w:szCs w:val="10"/>
          <w:color w:val="auto"/>
        </w:rPr>
        <w:t>ANCELLATION</w:t>
      </w:r>
      <w:r>
        <w:rPr>
          <w:rFonts w:ascii="Arial" w:cs="Arial" w:eastAsia="Arial" w:hAnsi="Arial"/>
          <w:sz w:val="16"/>
          <w:szCs w:val="16"/>
          <w:color w:val="auto"/>
        </w:rPr>
        <w:t xml:space="preserve"> A</w:t>
      </w:r>
      <w:r>
        <w:rPr>
          <w:rFonts w:ascii="Arial" w:cs="Arial" w:eastAsia="Arial" w:hAnsi="Arial"/>
          <w:sz w:val="10"/>
          <w:szCs w:val="10"/>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Amendment</w:t>
      </w:r>
      <w:r>
        <w:rPr>
          <w:rFonts w:ascii="Arial" w:cs="Arial" w:eastAsia="Arial" w:hAnsi="Arial"/>
          <w:sz w:val="16"/>
          <w:szCs w:val="16"/>
          <w:color w:val="auto"/>
        </w:rPr>
        <w:t>”) is made as of the date set forth on the signature page hereto by and between ACM Research, Inc. (“</w:t>
      </w:r>
      <w:r>
        <w:rPr>
          <w:rFonts w:ascii="Arial" w:cs="Arial" w:eastAsia="Arial" w:hAnsi="Arial"/>
          <w:sz w:val="16"/>
          <w:szCs w:val="16"/>
          <w:i w:val="1"/>
          <w:iCs w:val="1"/>
          <w:color w:val="auto"/>
        </w:rPr>
        <w:t>ACM</w:t>
      </w:r>
      <w:r>
        <w:rPr>
          <w:rFonts w:ascii="Arial" w:cs="Arial" w:eastAsia="Arial" w:hAnsi="Arial"/>
          <w:sz w:val="16"/>
          <w:szCs w:val="16"/>
          <w:color w:val="auto"/>
        </w:rPr>
        <w:t>”) and Shengxin (Shanghai) Management Consulting Limited Partnership (“</w:t>
      </w:r>
      <w:r>
        <w:rPr>
          <w:rFonts w:ascii="Arial" w:cs="Arial" w:eastAsia="Arial" w:hAnsi="Arial"/>
          <w:sz w:val="16"/>
          <w:szCs w:val="16"/>
          <w:i w:val="1"/>
          <w:iCs w:val="1"/>
          <w:color w:val="auto"/>
        </w:rPr>
        <w:t>SMC</w:t>
      </w:r>
      <w:r>
        <w:rPr>
          <w:rFonts w:ascii="Arial" w:cs="Arial" w:eastAsia="Arial" w:hAnsi="Arial"/>
          <w:sz w:val="16"/>
          <w:szCs w:val="16"/>
          <w:color w:val="auto"/>
        </w:rPr>
        <w:t>,” and together with ACM, the “</w:t>
      </w:r>
      <w:r>
        <w:rPr>
          <w:rFonts w:ascii="Arial" w:cs="Arial" w:eastAsia="Arial" w:hAnsi="Arial"/>
          <w:sz w:val="16"/>
          <w:szCs w:val="16"/>
          <w:i w:val="1"/>
          <w:iCs w:val="1"/>
          <w:color w:val="auto"/>
        </w:rPr>
        <w:t>Parties</w:t>
      </w:r>
      <w:r>
        <w:rPr>
          <w:rFonts w:ascii="Arial" w:cs="Arial" w:eastAsia="Arial" w:hAnsi="Arial"/>
          <w:sz w:val="16"/>
          <w:szCs w:val="16"/>
          <w:color w:val="auto"/>
        </w:rPr>
        <w:t>”), with respect to their Share Transfer and Note Cancellation Agreement dated as of April 30, 2020 (the “</w:t>
      </w:r>
      <w:r>
        <w:rPr>
          <w:rFonts w:ascii="Arial" w:cs="Arial" w:eastAsia="Arial" w:hAnsi="Arial"/>
          <w:sz w:val="16"/>
          <w:szCs w:val="16"/>
          <w:i w:val="1"/>
          <w:iCs w:val="1"/>
          <w:color w:val="auto"/>
        </w:rPr>
        <w:t>Agreement</w:t>
      </w:r>
      <w:r>
        <w:rPr>
          <w:rFonts w:ascii="Arial" w:cs="Arial" w:eastAsia="Arial" w:hAnsi="Arial"/>
          <w:sz w:val="16"/>
          <w:szCs w:val="16"/>
          <w:color w:val="auto"/>
        </w:rPr>
        <w:t>”). Capitalized terms defined in the Agreement but not in this Amendment are used herein with the respective meanings ascribed to them in the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w:t>
      </w:r>
      <w:r>
        <w:rPr>
          <w:rFonts w:ascii="Arial" w:cs="Arial" w:eastAsia="Arial" w:hAnsi="Arial"/>
          <w:sz w:val="11"/>
          <w:szCs w:val="11"/>
          <w:color w:val="auto"/>
        </w:rPr>
        <w:t>ECITALS</w:t>
      </w:r>
    </w:p>
    <w:p>
      <w:pPr>
        <w:spacing w:after="0" w:line="222" w:lineRule="exact"/>
        <w:rPr>
          <w:sz w:val="20"/>
          <w:szCs w:val="20"/>
          <w:color w:val="auto"/>
        </w:rPr>
      </w:pPr>
    </w:p>
    <w:p>
      <w:pPr>
        <w:ind w:firstLine="418"/>
        <w:spacing w:after="0" w:line="287" w:lineRule="auto"/>
        <w:tabs>
          <w:tab w:leader="none" w:pos="978"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Pursuant to Section 1.1 of the Agreement, SMC assigned and surrendered the Remaining Warrant Shares, which consisted of 242,681 shares of Class A Common Stock, to ACM for consideration to be determined as described in the Agreement.</w:t>
      </w:r>
    </w:p>
    <w:p>
      <w:pPr>
        <w:spacing w:after="0" w:line="159" w:lineRule="exact"/>
        <w:rPr>
          <w:rFonts w:ascii="Arial" w:cs="Arial" w:eastAsia="Arial" w:hAnsi="Arial"/>
          <w:sz w:val="17"/>
          <w:szCs w:val="17"/>
          <w:color w:val="auto"/>
        </w:rPr>
      </w:pPr>
    </w:p>
    <w:p>
      <w:pPr>
        <w:ind w:firstLine="418"/>
        <w:spacing w:after="0" w:line="299" w:lineRule="auto"/>
        <w:tabs>
          <w:tab w:leader="none" w:pos="834" w:val="left"/>
        </w:tabs>
        <w:numPr>
          <w:ilvl w:val="0"/>
          <w:numId w:val="44"/>
        </w:numPr>
        <w:rPr>
          <w:rFonts w:ascii="Arial" w:cs="Arial" w:eastAsia="Arial" w:hAnsi="Arial"/>
          <w:sz w:val="15"/>
          <w:szCs w:val="15"/>
          <w:color w:val="auto"/>
        </w:rPr>
      </w:pPr>
      <w:r>
        <w:rPr>
          <w:rFonts w:ascii="Arial" w:cs="Arial" w:eastAsia="Arial" w:hAnsi="Arial"/>
          <w:sz w:val="15"/>
          <w:szCs w:val="15"/>
          <w:color w:val="auto"/>
        </w:rPr>
        <w:t>ACM wishes to deliver, and SMC wishes to accept, the Alternative A Consideration, as set forth in Section 1.2(a) of the Agreement and as otherwise set forth below, in full satisfaction and payment for the Remaining Warrant Shares surrendered to ACM in accordance with Section 1.1 of the Agreement.</w:t>
      </w:r>
    </w:p>
    <w:p>
      <w:pPr>
        <w:ind w:firstLine="413"/>
        <w:spacing w:after="0" w:line="272" w:lineRule="auto"/>
        <w:rPr>
          <w:rFonts w:ascii="Arial" w:cs="Arial" w:eastAsia="Arial" w:hAnsi="Arial"/>
          <w:sz w:val="15"/>
          <w:szCs w:val="15"/>
          <w:color w:val="auto"/>
        </w:rPr>
      </w:pPr>
      <w:r>
        <w:rPr>
          <w:rFonts w:ascii="Arial" w:cs="Arial" w:eastAsia="Arial" w:hAnsi="Arial"/>
          <w:sz w:val="17"/>
          <w:szCs w:val="17"/>
          <w:color w:val="auto"/>
        </w:rPr>
        <w:t>In consideration of the mutual covenants and agreements set forth in this Amendment and for other good and valuable consideration, the receipt and sufficiency of which are hereby acknowledged, the Parties agree as follows:</w:t>
      </w:r>
    </w:p>
    <w:p>
      <w:pPr>
        <w:spacing w:after="0" w:line="171" w:lineRule="exact"/>
        <w:rPr>
          <w:sz w:val="20"/>
          <w:szCs w:val="20"/>
          <w:color w:val="auto"/>
        </w:rPr>
      </w:pPr>
    </w:p>
    <w:p>
      <w:pPr>
        <w:ind w:left="860" w:hanging="442"/>
        <w:spacing w:after="0"/>
        <w:tabs>
          <w:tab w:leader="none" w:pos="860"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Consideration for Remaining Warrant Shares.</w:t>
      </w:r>
    </w:p>
    <w:p>
      <w:pPr>
        <w:spacing w:after="0" w:line="222" w:lineRule="exact"/>
        <w:rPr>
          <w:sz w:val="20"/>
          <w:szCs w:val="20"/>
          <w:color w:val="auto"/>
        </w:rPr>
      </w:pPr>
    </w:p>
    <w:p>
      <w:pPr>
        <w:jc w:val="both"/>
        <w:ind w:left="420" w:firstLine="426"/>
        <w:spacing w:after="0" w:line="262" w:lineRule="auto"/>
        <w:rPr>
          <w:sz w:val="20"/>
          <w:szCs w:val="20"/>
          <w:color w:val="auto"/>
        </w:rPr>
      </w:pPr>
      <w:r>
        <w:rPr>
          <w:rFonts w:ascii="Arial" w:cs="Arial" w:eastAsia="Arial" w:hAnsi="Arial"/>
          <w:sz w:val="17"/>
          <w:szCs w:val="17"/>
          <w:color w:val="010000"/>
        </w:rPr>
        <w:t xml:space="preserve">1.1 </w:t>
      </w:r>
      <w:r>
        <w:rPr>
          <w:rFonts w:ascii="Arial" w:cs="Arial" w:eastAsia="Arial" w:hAnsi="Arial"/>
          <w:sz w:val="17"/>
          <w:szCs w:val="17"/>
          <w:u w:val="single" w:color="auto"/>
          <w:color w:val="000000"/>
        </w:rPr>
        <w:t>Cancellation of SMC Note</w:t>
      </w:r>
      <w:r>
        <w:rPr>
          <w:rFonts w:ascii="Arial" w:cs="Arial" w:eastAsia="Arial" w:hAnsi="Arial"/>
          <w:sz w:val="17"/>
          <w:szCs w:val="17"/>
          <w:color w:val="000000"/>
        </w:rPr>
        <w:t>. Effective as of the execution and delivery of this Amendment, ACM hereby cancels the SMC Note, with the</w:t>
      </w:r>
      <w:r>
        <w:rPr>
          <w:rFonts w:ascii="Arial" w:cs="Arial" w:eastAsia="Arial" w:hAnsi="Arial"/>
          <w:sz w:val="17"/>
          <w:szCs w:val="17"/>
          <w:color w:val="010000"/>
        </w:rPr>
        <w:t xml:space="preserve"> </w:t>
      </w:r>
      <w:r>
        <w:rPr>
          <w:rFonts w:ascii="Arial" w:cs="Arial" w:eastAsia="Arial" w:hAnsi="Arial"/>
          <w:sz w:val="17"/>
          <w:szCs w:val="17"/>
          <w:color w:val="000000"/>
        </w:rPr>
        <w:t>intention and purpose of irrevocably and unconditionally releasing and forever discharging SMC of and from any and all rights, obligations, promises, agreements, debts, losses, controversies, claims, causes of action, liabilities, damages and expenses of any nature whatsoever, whether known or unknown and whether asserted or unasserted, that ACM ever had or may have against SMC arising under the SMC Note. ACM shall mark the original, executed copy of the SMC Note by writing or stamping the word “CANCELED” on each page thereof and shall promptly send such marked copy to SMC by personal delivery in accordance with Section 5.6 of the Agreement.</w:t>
      </w:r>
    </w:p>
    <w:p>
      <w:pPr>
        <w:spacing w:after="0" w:line="182" w:lineRule="exact"/>
        <w:rPr>
          <w:sz w:val="20"/>
          <w:szCs w:val="20"/>
          <w:color w:val="auto"/>
        </w:rPr>
      </w:pPr>
    </w:p>
    <w:p>
      <w:pPr>
        <w:jc w:val="both"/>
        <w:ind w:left="420" w:firstLine="426"/>
        <w:spacing w:after="0" w:line="284" w:lineRule="auto"/>
        <w:rPr>
          <w:sz w:val="20"/>
          <w:szCs w:val="20"/>
          <w:color w:val="auto"/>
        </w:rPr>
      </w:pPr>
      <w:r>
        <w:rPr>
          <w:rFonts w:ascii="Arial" w:cs="Arial" w:eastAsia="Arial" w:hAnsi="Arial"/>
          <w:sz w:val="16"/>
          <w:szCs w:val="16"/>
          <w:color w:val="010000"/>
        </w:rPr>
        <w:t xml:space="preserve">1.2 </w:t>
      </w:r>
      <w:r>
        <w:rPr>
          <w:rFonts w:ascii="Arial" w:cs="Arial" w:eastAsia="Arial" w:hAnsi="Arial"/>
          <w:sz w:val="16"/>
          <w:szCs w:val="16"/>
          <w:u w:val="single" w:color="auto"/>
          <w:color w:val="000000"/>
        </w:rPr>
        <w:t>Issuance of Warrant</w:t>
      </w:r>
      <w:r>
        <w:rPr>
          <w:rFonts w:ascii="Arial" w:cs="Arial" w:eastAsia="Arial" w:hAnsi="Arial"/>
          <w:sz w:val="16"/>
          <w:szCs w:val="16"/>
          <w:color w:val="000000"/>
        </w:rPr>
        <w:t>. Contemporaneously with the execution and delivery of this Agreement, ACM is executing, and delivering to SMC, a</w:t>
      </w:r>
      <w:r>
        <w:rPr>
          <w:rFonts w:ascii="Arial" w:cs="Arial" w:eastAsia="Arial" w:hAnsi="Arial"/>
          <w:sz w:val="16"/>
          <w:szCs w:val="16"/>
          <w:color w:val="010000"/>
        </w:rPr>
        <w:t xml:space="preserve"> </w:t>
      </w:r>
      <w:r>
        <w:rPr>
          <w:rFonts w:ascii="Arial" w:cs="Arial" w:eastAsia="Arial" w:hAnsi="Arial"/>
          <w:sz w:val="16"/>
          <w:szCs w:val="16"/>
          <w:color w:val="000000"/>
        </w:rPr>
        <w:t>warrant in the form of E</w:t>
      </w:r>
      <w:r>
        <w:rPr>
          <w:rFonts w:ascii="Arial" w:cs="Arial" w:eastAsia="Arial" w:hAnsi="Arial"/>
          <w:sz w:val="10"/>
          <w:szCs w:val="10"/>
          <w:color w:val="000000"/>
        </w:rPr>
        <w:t>XHIBIT</w:t>
      </w:r>
      <w:r>
        <w:rPr>
          <w:rFonts w:ascii="Arial" w:cs="Arial" w:eastAsia="Arial" w:hAnsi="Arial"/>
          <w:sz w:val="16"/>
          <w:szCs w:val="16"/>
          <w:color w:val="000000"/>
        </w:rPr>
        <w:t xml:space="preserve"> A to this Amendment (the “</w:t>
      </w:r>
      <w:r>
        <w:rPr>
          <w:rFonts w:ascii="Arial" w:cs="Arial" w:eastAsia="Arial" w:hAnsi="Arial"/>
          <w:sz w:val="16"/>
          <w:szCs w:val="16"/>
          <w:i w:val="1"/>
          <w:iCs w:val="1"/>
          <w:color w:val="000000"/>
        </w:rPr>
        <w:t>New Warrant”)</w:t>
      </w:r>
      <w:r>
        <w:rPr>
          <w:rFonts w:ascii="Arial" w:cs="Arial" w:eastAsia="Arial" w:hAnsi="Arial"/>
          <w:sz w:val="16"/>
          <w:szCs w:val="16"/>
          <w:color w:val="000000"/>
        </w:rPr>
        <w:t xml:space="preserve"> to purchase, at a purchase price per share of US$7.50, the New Warrant Shares, which shall consist of the 242,681 shares of Class A Common Stock formerly comprising the Remaining Warrant Shares and which have been held by ACM as treasury stock following the surrender of the Remaining Warrant Shares pursuant to Section 1.1 of the Agreement. The Warrant provides, among other things, that any exercise of the Warrant by SMC at any time shall be subject to all Regulatory Approvals.</w:t>
      </w:r>
    </w:p>
    <w:p>
      <w:pPr>
        <w:spacing w:after="0" w:line="165" w:lineRule="exact"/>
        <w:rPr>
          <w:sz w:val="20"/>
          <w:szCs w:val="20"/>
          <w:color w:val="auto"/>
        </w:rPr>
      </w:pPr>
    </w:p>
    <w:p>
      <w:pPr>
        <w:jc w:val="both"/>
        <w:ind w:left="420" w:firstLine="426"/>
        <w:spacing w:after="0" w:line="266" w:lineRule="auto"/>
        <w:rPr>
          <w:sz w:val="20"/>
          <w:szCs w:val="20"/>
          <w:color w:val="auto"/>
        </w:rPr>
      </w:pPr>
      <w:r>
        <w:rPr>
          <w:rFonts w:ascii="Arial" w:cs="Arial" w:eastAsia="Arial" w:hAnsi="Arial"/>
          <w:sz w:val="17"/>
          <w:szCs w:val="17"/>
          <w:color w:val="010000"/>
        </w:rPr>
        <w:t xml:space="preserve">1.3 </w:t>
      </w:r>
      <w:r>
        <w:rPr>
          <w:rFonts w:ascii="Arial" w:cs="Arial" w:eastAsia="Arial" w:hAnsi="Arial"/>
          <w:sz w:val="17"/>
          <w:szCs w:val="17"/>
          <w:u w:val="single" w:color="auto"/>
          <w:color w:val="000000"/>
        </w:rPr>
        <w:t>Amendment of Registration Rights Agreement</w:t>
      </w:r>
      <w:r>
        <w:rPr>
          <w:rFonts w:ascii="Arial" w:cs="Arial" w:eastAsia="Arial" w:hAnsi="Arial"/>
          <w:sz w:val="17"/>
          <w:szCs w:val="17"/>
          <w:color w:val="000000"/>
        </w:rPr>
        <w:t>. Contemporaneously with the execution and delivery of this Agreement, ACM and SMC are</w:t>
      </w:r>
      <w:r>
        <w:rPr>
          <w:rFonts w:ascii="Arial" w:cs="Arial" w:eastAsia="Arial" w:hAnsi="Arial"/>
          <w:sz w:val="17"/>
          <w:szCs w:val="17"/>
          <w:color w:val="010000"/>
        </w:rPr>
        <w:t xml:space="preserve"> </w:t>
      </w:r>
      <w:r>
        <w:rPr>
          <w:rFonts w:ascii="Arial" w:cs="Arial" w:eastAsia="Arial" w:hAnsi="Arial"/>
          <w:sz w:val="17"/>
          <w:szCs w:val="17"/>
          <w:color w:val="000000"/>
        </w:rPr>
        <w:t>entering into an Adoption Agreement in the form of E</w:t>
      </w:r>
      <w:r>
        <w:rPr>
          <w:rFonts w:ascii="Arial" w:cs="Arial" w:eastAsia="Arial" w:hAnsi="Arial"/>
          <w:sz w:val="11"/>
          <w:szCs w:val="11"/>
          <w:color w:val="000000"/>
        </w:rPr>
        <w:t>XHIBIT</w:t>
      </w:r>
      <w:r>
        <w:rPr>
          <w:rFonts w:ascii="Arial" w:cs="Arial" w:eastAsia="Arial" w:hAnsi="Arial"/>
          <w:sz w:val="17"/>
          <w:szCs w:val="17"/>
          <w:color w:val="000000"/>
        </w:rPr>
        <w:t xml:space="preserve"> B (the “</w:t>
      </w:r>
      <w:r>
        <w:rPr>
          <w:rFonts w:ascii="Arial" w:cs="Arial" w:eastAsia="Arial" w:hAnsi="Arial"/>
          <w:sz w:val="17"/>
          <w:szCs w:val="17"/>
          <w:i w:val="1"/>
          <w:iCs w:val="1"/>
          <w:color w:val="000000"/>
        </w:rPr>
        <w:t>Adoption Agreement</w:t>
      </w:r>
      <w:r>
        <w:rPr>
          <w:rFonts w:ascii="Arial" w:cs="Arial" w:eastAsia="Arial" w:hAnsi="Arial"/>
          <w:sz w:val="17"/>
          <w:szCs w:val="17"/>
          <w:color w:val="000000"/>
        </w:rPr>
        <w:t>”), which will amend the Registration Rights Agreement in order to grant to SMC certain incidental, or piggyback, rights to offer and sell any or all of the New Warrant Shares pursuant to a registration statement filed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13676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0" w:name="page51"/>
    <w:bookmarkEnd w:id="50"/>
    <w:p>
      <w:pPr>
        <w:jc w:val="both"/>
        <w:ind w:firstLine="418"/>
        <w:spacing w:after="0" w:line="288" w:lineRule="auto"/>
        <w:tabs>
          <w:tab w:leader="none" w:pos="818" w:val="left"/>
        </w:tabs>
        <w:numPr>
          <w:ilvl w:val="0"/>
          <w:numId w:val="46"/>
        </w:numPr>
        <w:rPr>
          <w:rFonts w:ascii="Arial" w:cs="Arial" w:eastAsia="Arial" w:hAnsi="Arial"/>
          <w:sz w:val="16"/>
          <w:szCs w:val="16"/>
          <w:color w:val="010000"/>
        </w:rPr>
      </w:pPr>
      <w:r>
        <w:rPr>
          <w:rFonts w:ascii="Arial" w:cs="Arial" w:eastAsia="Arial" w:hAnsi="Arial"/>
          <w:sz w:val="16"/>
          <w:szCs w:val="16"/>
          <w:u w:val="single" w:color="auto"/>
          <w:color w:val="auto"/>
        </w:rPr>
        <w:t>Economic Effects</w:t>
      </w:r>
      <w:r>
        <w:rPr>
          <w:rFonts w:ascii="Arial" w:cs="Arial" w:eastAsia="Arial" w:hAnsi="Arial"/>
          <w:sz w:val="16"/>
          <w:szCs w:val="16"/>
          <w:color w:val="auto"/>
        </w:rPr>
        <w:t>. It is the intention of the Parties that the delivery of the Alternative A Consideration, as set forth in Section 1, as of the date hereof shall, to the maximum extent feasible and permitted by law, shall have the economic effects as if such Alternative A Consideration had been delivered contemporaneously with SMC’s assignment and surrender of the Remaining Warrant Shares on April 30, 2020. Without limiting the foregoing, notwithstanding any provision of the SMC Note, no interest shall be deemed to have accrued after April 30, 2020 with respect to any principal of or interest on the SMC Note.</w:t>
      </w:r>
    </w:p>
    <w:p>
      <w:pPr>
        <w:spacing w:after="0" w:line="161" w:lineRule="exact"/>
        <w:rPr>
          <w:rFonts w:ascii="Arial" w:cs="Arial" w:eastAsia="Arial" w:hAnsi="Arial"/>
          <w:sz w:val="16"/>
          <w:szCs w:val="16"/>
          <w:color w:val="010000"/>
        </w:rPr>
      </w:pPr>
    </w:p>
    <w:p>
      <w:pPr>
        <w:ind w:left="860" w:hanging="442"/>
        <w:spacing w:after="0"/>
        <w:tabs>
          <w:tab w:leader="none" w:pos="860" w:val="left"/>
        </w:tabs>
        <w:numPr>
          <w:ilvl w:val="0"/>
          <w:numId w:val="46"/>
        </w:numPr>
        <w:rPr>
          <w:rFonts w:ascii="Arial" w:cs="Arial" w:eastAsia="Arial" w:hAnsi="Arial"/>
          <w:sz w:val="17"/>
          <w:szCs w:val="17"/>
          <w:color w:val="010000"/>
        </w:rPr>
      </w:pPr>
      <w:r>
        <w:rPr>
          <w:rFonts w:ascii="Arial" w:cs="Arial" w:eastAsia="Arial" w:hAnsi="Arial"/>
          <w:sz w:val="17"/>
          <w:szCs w:val="17"/>
          <w:u w:val="single" w:color="auto"/>
          <w:color w:val="auto"/>
        </w:rPr>
        <w:t>Representations and Warranties of ACM</w:t>
      </w:r>
      <w:r>
        <w:rPr>
          <w:rFonts w:ascii="Arial" w:cs="Arial" w:eastAsia="Arial" w:hAnsi="Arial"/>
          <w:sz w:val="17"/>
          <w:szCs w:val="17"/>
          <w:color w:val="auto"/>
        </w:rPr>
        <w:t>. ACM represents and warrants to SMC as follows:</w:t>
      </w:r>
    </w:p>
    <w:p>
      <w:pPr>
        <w:spacing w:after="0" w:line="222" w:lineRule="exact"/>
        <w:rPr>
          <w:sz w:val="20"/>
          <w:szCs w:val="20"/>
          <w:color w:val="auto"/>
        </w:rPr>
      </w:pPr>
    </w:p>
    <w:p>
      <w:pPr>
        <w:ind w:left="640" w:firstLine="157"/>
        <w:spacing w:after="0" w:line="287" w:lineRule="auto"/>
        <w:rPr>
          <w:sz w:val="20"/>
          <w:szCs w:val="20"/>
          <w:color w:val="auto"/>
        </w:rPr>
      </w:pPr>
      <w:r>
        <w:rPr>
          <w:rFonts w:ascii="Arial" w:cs="Arial" w:eastAsia="Arial" w:hAnsi="Arial"/>
          <w:sz w:val="17"/>
          <w:szCs w:val="17"/>
          <w:color w:val="010000"/>
        </w:rPr>
        <w:t xml:space="preserve">3.1 </w:t>
      </w:r>
      <w:r>
        <w:rPr>
          <w:rFonts w:ascii="Arial" w:cs="Arial" w:eastAsia="Arial" w:hAnsi="Arial"/>
          <w:sz w:val="17"/>
          <w:szCs w:val="17"/>
          <w:u w:val="single" w:color="auto"/>
          <w:color w:val="000000"/>
        </w:rPr>
        <w:t>SMC Note</w:t>
      </w:r>
      <w:r>
        <w:rPr>
          <w:rFonts w:ascii="Arial" w:cs="Arial" w:eastAsia="Arial" w:hAnsi="Arial"/>
          <w:sz w:val="17"/>
          <w:szCs w:val="17"/>
          <w:color w:val="000000"/>
        </w:rPr>
        <w:t>. Immediately prior to the execution and delivery of this Agreement, ACM was the sole owner and holder of the SMC Note and held</w:t>
      </w:r>
      <w:r>
        <w:rPr>
          <w:rFonts w:ascii="Arial" w:cs="Arial" w:eastAsia="Arial" w:hAnsi="Arial"/>
          <w:sz w:val="17"/>
          <w:szCs w:val="17"/>
          <w:color w:val="010000"/>
        </w:rPr>
        <w:t xml:space="preserve"> </w:t>
      </w:r>
      <w:r>
        <w:rPr>
          <w:rFonts w:ascii="Arial" w:cs="Arial" w:eastAsia="Arial" w:hAnsi="Arial"/>
          <w:sz w:val="17"/>
          <w:szCs w:val="17"/>
          <w:color w:val="000000"/>
        </w:rPr>
        <w:t>beneficial and legal title to the SMC Note free and clear of any and all liens or other encumbrances.</w:t>
      </w:r>
    </w:p>
    <w:p>
      <w:pPr>
        <w:spacing w:after="0" w:line="159" w:lineRule="exact"/>
        <w:rPr>
          <w:sz w:val="20"/>
          <w:szCs w:val="20"/>
          <w:color w:val="auto"/>
        </w:rPr>
      </w:pPr>
    </w:p>
    <w:p>
      <w:pPr>
        <w:jc w:val="both"/>
        <w:ind w:left="420" w:firstLine="426"/>
        <w:spacing w:after="0" w:line="287" w:lineRule="auto"/>
        <w:rPr>
          <w:sz w:val="20"/>
          <w:szCs w:val="20"/>
          <w:color w:val="auto"/>
        </w:rPr>
      </w:pPr>
      <w:r>
        <w:rPr>
          <w:rFonts w:ascii="Arial" w:cs="Arial" w:eastAsia="Arial" w:hAnsi="Arial"/>
          <w:sz w:val="17"/>
          <w:szCs w:val="17"/>
          <w:color w:val="010000"/>
        </w:rPr>
        <w:t xml:space="preserve">3.2 </w:t>
      </w:r>
      <w:r>
        <w:rPr>
          <w:rFonts w:ascii="Arial" w:cs="Arial" w:eastAsia="Arial" w:hAnsi="Arial"/>
          <w:sz w:val="17"/>
          <w:szCs w:val="17"/>
          <w:u w:val="single" w:color="auto"/>
          <w:color w:val="000000"/>
        </w:rPr>
        <w:t>Authorization</w:t>
      </w:r>
      <w:r>
        <w:rPr>
          <w:rFonts w:ascii="Arial" w:cs="Arial" w:eastAsia="Arial" w:hAnsi="Arial"/>
          <w:sz w:val="17"/>
          <w:szCs w:val="17"/>
          <w:color w:val="000000"/>
        </w:rPr>
        <w:t>. All corporate action required to be taken to authorize ACM to enter into and perform this Amendment, including the cancelation</w:t>
      </w:r>
      <w:r>
        <w:rPr>
          <w:rFonts w:ascii="Arial" w:cs="Arial" w:eastAsia="Arial" w:hAnsi="Arial"/>
          <w:sz w:val="17"/>
          <w:szCs w:val="17"/>
          <w:color w:val="010000"/>
        </w:rPr>
        <w:t xml:space="preserve"> </w:t>
      </w:r>
      <w:r>
        <w:rPr>
          <w:rFonts w:ascii="Arial" w:cs="Arial" w:eastAsia="Arial" w:hAnsi="Arial"/>
          <w:sz w:val="17"/>
          <w:szCs w:val="17"/>
          <w:color w:val="000000"/>
        </w:rPr>
        <w:t>of the SMC Note and the execution and delivery of the New Warrant and the Adoption Agreement, the issuance has been taken.</w:t>
      </w:r>
    </w:p>
    <w:p>
      <w:pPr>
        <w:spacing w:after="0" w:line="159" w:lineRule="exact"/>
        <w:rPr>
          <w:sz w:val="20"/>
          <w:szCs w:val="20"/>
          <w:color w:val="auto"/>
        </w:rPr>
      </w:pPr>
    </w:p>
    <w:p>
      <w:pPr>
        <w:jc w:val="both"/>
        <w:ind w:left="420" w:firstLine="426"/>
        <w:spacing w:after="0" w:line="266" w:lineRule="auto"/>
        <w:rPr>
          <w:sz w:val="20"/>
          <w:szCs w:val="20"/>
          <w:color w:val="auto"/>
        </w:rPr>
      </w:pPr>
      <w:r>
        <w:rPr>
          <w:rFonts w:ascii="Arial" w:cs="Arial" w:eastAsia="Arial" w:hAnsi="Arial"/>
          <w:sz w:val="17"/>
          <w:szCs w:val="17"/>
          <w:color w:val="010000"/>
        </w:rPr>
        <w:t xml:space="preserve">3.3 </w:t>
      </w:r>
      <w:r>
        <w:rPr>
          <w:rFonts w:ascii="Arial" w:cs="Arial" w:eastAsia="Arial" w:hAnsi="Arial"/>
          <w:sz w:val="17"/>
          <w:szCs w:val="17"/>
          <w:u w:val="single" w:color="auto"/>
          <w:color w:val="000000"/>
        </w:rPr>
        <w:t>Binding Obligation</w:t>
      </w:r>
      <w:r>
        <w:rPr>
          <w:rFonts w:ascii="Arial" w:cs="Arial" w:eastAsia="Arial" w:hAnsi="Arial"/>
          <w:sz w:val="17"/>
          <w:szCs w:val="17"/>
          <w:color w:val="000000"/>
        </w:rPr>
        <w:t>. Each of this Amendment, the New Warrant and the Adoption Agreement constitutes a valid and legally binding obligation</w:t>
      </w:r>
      <w:r>
        <w:rPr>
          <w:rFonts w:ascii="Arial" w:cs="Arial" w:eastAsia="Arial" w:hAnsi="Arial"/>
          <w:sz w:val="17"/>
          <w:szCs w:val="17"/>
          <w:color w:val="010000"/>
        </w:rPr>
        <w:t xml:space="preserve"> </w:t>
      </w:r>
      <w:r>
        <w:rPr>
          <w:rFonts w:ascii="Arial" w:cs="Arial" w:eastAsia="Arial" w:hAnsi="Arial"/>
          <w:sz w:val="17"/>
          <w:szCs w:val="17"/>
          <w:color w:val="000000"/>
        </w:rPr>
        <w:t>of ACM, enforceable against ACM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78" w:lineRule="exact"/>
        <w:rPr>
          <w:sz w:val="20"/>
          <w:szCs w:val="20"/>
          <w:color w:val="auto"/>
        </w:rPr>
      </w:pPr>
    </w:p>
    <w:p>
      <w:pPr>
        <w:jc w:val="both"/>
        <w:ind w:left="420" w:firstLine="426"/>
        <w:spacing w:after="0" w:line="272" w:lineRule="auto"/>
        <w:rPr>
          <w:sz w:val="20"/>
          <w:szCs w:val="20"/>
          <w:color w:val="auto"/>
        </w:rPr>
      </w:pPr>
      <w:r>
        <w:rPr>
          <w:rFonts w:ascii="Arial" w:cs="Arial" w:eastAsia="Arial" w:hAnsi="Arial"/>
          <w:sz w:val="17"/>
          <w:szCs w:val="17"/>
          <w:color w:val="010000"/>
        </w:rPr>
        <w:t xml:space="preserve">3.4 </w:t>
      </w:r>
      <w:r>
        <w:rPr>
          <w:rFonts w:ascii="Arial" w:cs="Arial" w:eastAsia="Arial" w:hAnsi="Arial"/>
          <w:sz w:val="17"/>
          <w:szCs w:val="17"/>
          <w:u w:val="single" w:color="auto"/>
          <w:color w:val="000000"/>
        </w:rPr>
        <w:t>Valid Issuance of Class A Common Stock</w:t>
      </w:r>
      <w:r>
        <w:rPr>
          <w:rFonts w:ascii="Arial" w:cs="Arial" w:eastAsia="Arial" w:hAnsi="Arial"/>
          <w:sz w:val="17"/>
          <w:szCs w:val="17"/>
          <w:color w:val="000000"/>
        </w:rPr>
        <w:t>. The New Warrant Shares, if and when issued, sold and delivered in accordance with the terms and</w:t>
      </w:r>
      <w:r>
        <w:rPr>
          <w:rFonts w:ascii="Arial" w:cs="Arial" w:eastAsia="Arial" w:hAnsi="Arial"/>
          <w:sz w:val="17"/>
          <w:szCs w:val="17"/>
          <w:color w:val="010000"/>
        </w:rPr>
        <w:t xml:space="preserve"> </w:t>
      </w:r>
      <w:r>
        <w:rPr>
          <w:rFonts w:ascii="Arial" w:cs="Arial" w:eastAsia="Arial" w:hAnsi="Arial"/>
          <w:sz w:val="17"/>
          <w:szCs w:val="17"/>
          <w:color w:val="000000"/>
        </w:rPr>
        <w:t xml:space="preserve">for the consideration set forth in the New Warrant, will be validly issued, fully paid and nonassessable, and free of restrictions on transfer other than restrictions on transfer under this Amendment and applicable </w:t>
      </w:r>
      <w:r>
        <w:rPr>
          <w:rFonts w:ascii="Arial" w:cs="Arial" w:eastAsia="Arial" w:hAnsi="Arial"/>
          <w:sz w:val="17"/>
          <w:szCs w:val="17"/>
          <w:u w:val="single" w:color="auto"/>
          <w:color w:val="000000"/>
        </w:rPr>
        <w:t>U.S. federal and state</w:t>
      </w:r>
      <w:r>
        <w:rPr>
          <w:rFonts w:ascii="Arial" w:cs="Arial" w:eastAsia="Arial" w:hAnsi="Arial"/>
          <w:sz w:val="17"/>
          <w:szCs w:val="17"/>
          <w:color w:val="000000"/>
        </w:rPr>
        <w:t xml:space="preserve"> securities laws.</w:t>
      </w:r>
    </w:p>
    <w:p>
      <w:pPr>
        <w:spacing w:after="0" w:line="171" w:lineRule="exact"/>
        <w:rPr>
          <w:sz w:val="20"/>
          <w:szCs w:val="20"/>
          <w:color w:val="auto"/>
        </w:rPr>
      </w:pPr>
    </w:p>
    <w:p>
      <w:pPr>
        <w:jc w:val="both"/>
        <w:ind w:left="420" w:firstLine="426"/>
        <w:spacing w:after="0" w:line="266" w:lineRule="auto"/>
        <w:rPr>
          <w:sz w:val="20"/>
          <w:szCs w:val="20"/>
          <w:color w:val="auto"/>
        </w:rPr>
      </w:pPr>
      <w:r>
        <w:rPr>
          <w:rFonts w:ascii="Arial" w:cs="Arial" w:eastAsia="Arial" w:hAnsi="Arial"/>
          <w:sz w:val="17"/>
          <w:szCs w:val="17"/>
          <w:color w:val="010000"/>
        </w:rPr>
        <w:t xml:space="preserve">3.5 </w:t>
      </w:r>
      <w:r>
        <w:rPr>
          <w:rFonts w:ascii="Arial" w:cs="Arial" w:eastAsia="Arial" w:hAnsi="Arial"/>
          <w:sz w:val="17"/>
          <w:szCs w:val="17"/>
          <w:u w:val="single" w:color="auto"/>
          <w:color w:val="000000"/>
        </w:rPr>
        <w:t>Governmental Consents and Filings</w:t>
      </w:r>
      <w:r>
        <w:rPr>
          <w:rFonts w:ascii="Arial" w:cs="Arial" w:eastAsia="Arial" w:hAnsi="Arial"/>
          <w:sz w:val="17"/>
          <w:szCs w:val="17"/>
          <w:color w:val="000000"/>
        </w:rPr>
        <w:t>. Except as required by the Required Approvals (including all applicable U.S. federal and state securities</w:t>
      </w:r>
      <w:r>
        <w:rPr>
          <w:rFonts w:ascii="Arial" w:cs="Arial" w:eastAsia="Arial" w:hAnsi="Arial"/>
          <w:sz w:val="17"/>
          <w:szCs w:val="17"/>
          <w:color w:val="010000"/>
        </w:rPr>
        <w:t xml:space="preserve"> </w:t>
      </w:r>
      <w:r>
        <w:rPr>
          <w:rFonts w:ascii="Arial" w:cs="Arial" w:eastAsia="Arial" w:hAnsi="Arial"/>
          <w:sz w:val="17"/>
          <w:szCs w:val="17"/>
          <w:color w:val="000000"/>
        </w:rPr>
        <w:t>laws), no consent, approval, order or authorization of, or registration, qualification, designation, declaration or filing with, any national, provincial or local governmental authority of any jurisdiction is required to be obtained by ACM in connection with the consummation of the transactions contemplated by this Amendment.</w:t>
      </w:r>
    </w:p>
    <w:p>
      <w:pPr>
        <w:spacing w:after="0" w:line="178" w:lineRule="exact"/>
        <w:rPr>
          <w:sz w:val="20"/>
          <w:szCs w:val="20"/>
          <w:color w:val="auto"/>
        </w:rPr>
      </w:pPr>
    </w:p>
    <w:p>
      <w:pPr>
        <w:jc w:val="both"/>
        <w:ind w:left="420" w:firstLine="426"/>
        <w:spacing w:after="0" w:line="280" w:lineRule="auto"/>
        <w:rPr>
          <w:sz w:val="20"/>
          <w:szCs w:val="20"/>
          <w:color w:val="auto"/>
        </w:rPr>
      </w:pPr>
      <w:r>
        <w:rPr>
          <w:rFonts w:ascii="Arial" w:cs="Arial" w:eastAsia="Arial" w:hAnsi="Arial"/>
          <w:sz w:val="16"/>
          <w:szCs w:val="16"/>
          <w:color w:val="010000"/>
        </w:rPr>
        <w:t xml:space="preserve">3.6 </w:t>
      </w:r>
      <w:r>
        <w:rPr>
          <w:rFonts w:ascii="Arial" w:cs="Arial" w:eastAsia="Arial" w:hAnsi="Arial"/>
          <w:sz w:val="16"/>
          <w:szCs w:val="16"/>
          <w:u w:val="single" w:color="auto"/>
          <w:color w:val="000000"/>
        </w:rPr>
        <w:t>Compliance with Other Instruments</w:t>
      </w:r>
      <w:r>
        <w:rPr>
          <w:rFonts w:ascii="Arial" w:cs="Arial" w:eastAsia="Arial" w:hAnsi="Arial"/>
          <w:sz w:val="16"/>
          <w:szCs w:val="16"/>
          <w:color w:val="000000"/>
        </w:rPr>
        <w:t>. ACM’s execution, delivery and performance of this Amendment, the New Warrant and the Adoption</w:t>
      </w:r>
      <w:r>
        <w:rPr>
          <w:rFonts w:ascii="Arial" w:cs="Arial" w:eastAsia="Arial" w:hAnsi="Arial"/>
          <w:sz w:val="16"/>
          <w:szCs w:val="16"/>
          <w:color w:val="010000"/>
        </w:rPr>
        <w:t xml:space="preserve"> </w:t>
      </w:r>
      <w:r>
        <w:rPr>
          <w:rFonts w:ascii="Arial" w:cs="Arial" w:eastAsia="Arial" w:hAnsi="Arial"/>
          <w:sz w:val="16"/>
          <w:szCs w:val="16"/>
          <w:color w:val="000000"/>
        </w:rPr>
        <w:t>Agreement will not result in (a) any violation, or be in conflict with or constitute, with or without the passage of time and giving of notice, default, (i) of any provisions of its organizational documents, (ii) of any instrument, judgment, order, writ or decree, (iii) under any note, indenture or mortgage, or (iv) under any lease, agreement, contract or purchase order to which it is a party or by which it is bound, or, to its knowledge, of any provision of any statute, rule or regulation applicable to ACM, the violation of which would have a material adverse effect on the business, assets (including intangible assets), liabilities, financial condition, property or operating results of ACM or (b) an event that results in the creation of any lien, charge or encumbrance upon any assets of ACM or the suspension, revocation, forfeiture, or nonrenewal of any material permit or license applicable to ACM.</w:t>
      </w:r>
    </w:p>
    <w:p>
      <w:pPr>
        <w:spacing w:after="0" w:line="168" w:lineRule="exact"/>
        <w:rPr>
          <w:sz w:val="20"/>
          <w:szCs w:val="20"/>
          <w:color w:val="auto"/>
        </w:rPr>
      </w:pPr>
    </w:p>
    <w:p>
      <w:pPr>
        <w:ind w:left="900" w:hanging="482"/>
        <w:spacing w:after="0"/>
        <w:tabs>
          <w:tab w:leader="none" w:pos="900" w:val="left"/>
        </w:tabs>
        <w:numPr>
          <w:ilvl w:val="0"/>
          <w:numId w:val="47"/>
        </w:numPr>
        <w:rPr>
          <w:rFonts w:ascii="Arial" w:cs="Arial" w:eastAsia="Arial" w:hAnsi="Arial"/>
          <w:sz w:val="17"/>
          <w:szCs w:val="17"/>
          <w:color w:val="010000"/>
        </w:rPr>
      </w:pPr>
      <w:r>
        <w:rPr>
          <w:rFonts w:ascii="Arial" w:cs="Arial" w:eastAsia="Arial" w:hAnsi="Arial"/>
          <w:sz w:val="17"/>
          <w:szCs w:val="17"/>
          <w:u w:val="single" w:color="auto"/>
          <w:color w:val="auto"/>
        </w:rPr>
        <w:t>Representations and Warranties of SMC</w:t>
      </w:r>
      <w:r>
        <w:rPr>
          <w:rFonts w:ascii="Arial" w:cs="Arial" w:eastAsia="Arial" w:hAnsi="Arial"/>
          <w:sz w:val="17"/>
          <w:szCs w:val="17"/>
          <w:color w:val="auto"/>
        </w:rPr>
        <w:t>. SMC represents and warrants to ACM as follows:</w:t>
      </w:r>
    </w:p>
    <w:p>
      <w:pPr>
        <w:spacing w:after="0" w:line="222"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7"/>
          <w:szCs w:val="17"/>
          <w:color w:val="010000"/>
        </w:rPr>
        <w:t>4.1</w:t>
      </w:r>
      <w:r>
        <w:rPr>
          <w:sz w:val="20"/>
          <w:szCs w:val="20"/>
          <w:color w:val="auto"/>
        </w:rPr>
        <w:tab/>
      </w:r>
      <w:r>
        <w:rPr>
          <w:rFonts w:ascii="Arial" w:cs="Arial" w:eastAsia="Arial" w:hAnsi="Arial"/>
          <w:sz w:val="15"/>
          <w:szCs w:val="15"/>
          <w:u w:val="single" w:color="auto"/>
          <w:color w:val="auto"/>
        </w:rPr>
        <w:t>Authorization</w:t>
      </w:r>
      <w:r>
        <w:rPr>
          <w:rFonts w:ascii="Arial" w:cs="Arial" w:eastAsia="Arial" w:hAnsi="Arial"/>
          <w:sz w:val="15"/>
          <w:szCs w:val="15"/>
          <w:color w:val="auto"/>
        </w:rPr>
        <w:t>. All corporate action required to be taken to authorize SMC to enter into and perform this Amendment has been taken.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3676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jc w:val="both"/>
        <w:ind w:firstLine="426"/>
        <w:spacing w:after="0" w:line="266" w:lineRule="auto"/>
        <w:rPr>
          <w:sz w:val="20"/>
          <w:szCs w:val="20"/>
          <w:color w:val="auto"/>
        </w:rPr>
      </w:pPr>
      <w:r>
        <w:rPr>
          <w:rFonts w:ascii="Arial" w:cs="Arial" w:eastAsia="Arial" w:hAnsi="Arial"/>
          <w:sz w:val="17"/>
          <w:szCs w:val="17"/>
          <w:color w:val="010000"/>
        </w:rPr>
        <w:t xml:space="preserve">4.2 </w:t>
      </w:r>
      <w:r>
        <w:rPr>
          <w:rFonts w:ascii="Arial" w:cs="Arial" w:eastAsia="Arial" w:hAnsi="Arial"/>
          <w:sz w:val="17"/>
          <w:szCs w:val="17"/>
          <w:u w:val="single" w:color="auto"/>
          <w:color w:val="000000"/>
        </w:rPr>
        <w:t>Binding Obligation</w:t>
      </w:r>
      <w:r>
        <w:rPr>
          <w:rFonts w:ascii="Arial" w:cs="Arial" w:eastAsia="Arial" w:hAnsi="Arial"/>
          <w:sz w:val="17"/>
          <w:szCs w:val="17"/>
          <w:color w:val="000000"/>
        </w:rPr>
        <w:t>. This Amendment constitutes a valid and legally binding obligation of SMC, enforceable against SMC in accordance with</w:t>
      </w:r>
      <w:r>
        <w:rPr>
          <w:rFonts w:ascii="Arial" w:cs="Arial" w:eastAsia="Arial" w:hAnsi="Arial"/>
          <w:sz w:val="17"/>
          <w:szCs w:val="17"/>
          <w:color w:val="010000"/>
        </w:rPr>
        <w:t xml:space="preserve"> </w:t>
      </w:r>
      <w:r>
        <w:rPr>
          <w:rFonts w:ascii="Arial" w:cs="Arial" w:eastAsia="Arial" w:hAnsi="Arial"/>
          <w:sz w:val="17"/>
          <w:szCs w:val="17"/>
          <w:color w:val="000000"/>
        </w:rPr>
        <w:t>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78" w:lineRule="exact"/>
        <w:rPr>
          <w:sz w:val="20"/>
          <w:szCs w:val="20"/>
          <w:color w:val="auto"/>
        </w:rPr>
      </w:pPr>
    </w:p>
    <w:p>
      <w:pPr>
        <w:jc w:val="both"/>
        <w:ind w:firstLine="426"/>
        <w:spacing w:after="0" w:line="272"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Governmental Consents and Filings</w:t>
      </w:r>
      <w:r>
        <w:rPr>
          <w:rFonts w:ascii="Arial" w:cs="Arial" w:eastAsia="Arial" w:hAnsi="Arial"/>
          <w:sz w:val="17"/>
          <w:szCs w:val="17"/>
          <w:color w:val="000000"/>
        </w:rPr>
        <w:t>. Except as required by the Required Approvals, no consent, approval, order or authorization of, or</w:t>
      </w:r>
      <w:r>
        <w:rPr>
          <w:rFonts w:ascii="Arial" w:cs="Arial" w:eastAsia="Arial" w:hAnsi="Arial"/>
          <w:sz w:val="17"/>
          <w:szCs w:val="17"/>
          <w:color w:val="010000"/>
        </w:rPr>
        <w:t xml:space="preserve"> </w:t>
      </w:r>
      <w:r>
        <w:rPr>
          <w:rFonts w:ascii="Arial" w:cs="Arial" w:eastAsia="Arial" w:hAnsi="Arial"/>
          <w:sz w:val="17"/>
          <w:szCs w:val="17"/>
          <w:color w:val="000000"/>
        </w:rPr>
        <w:t>registration, qualification, designation, declaration or filing with, any national, provincial or local governmental authority of any jurisdiction is required to be obtained by SMC in connection with the consummation of the transactions contemplated by this Amendment.</w:t>
      </w:r>
    </w:p>
    <w:p>
      <w:pPr>
        <w:spacing w:after="0" w:line="171" w:lineRule="exact"/>
        <w:rPr>
          <w:sz w:val="20"/>
          <w:szCs w:val="20"/>
          <w:color w:val="auto"/>
        </w:rPr>
      </w:pPr>
    </w:p>
    <w:p>
      <w:pPr>
        <w:jc w:val="both"/>
        <w:ind w:firstLine="426"/>
        <w:spacing w:after="0" w:line="280" w:lineRule="auto"/>
        <w:rPr>
          <w:sz w:val="20"/>
          <w:szCs w:val="20"/>
          <w:color w:val="auto"/>
        </w:rPr>
      </w:pPr>
      <w:r>
        <w:rPr>
          <w:rFonts w:ascii="Arial" w:cs="Arial" w:eastAsia="Arial" w:hAnsi="Arial"/>
          <w:sz w:val="16"/>
          <w:szCs w:val="16"/>
          <w:color w:val="010000"/>
        </w:rPr>
        <w:t xml:space="preserve">4.4 </w:t>
      </w:r>
      <w:r>
        <w:rPr>
          <w:rFonts w:ascii="Arial" w:cs="Arial" w:eastAsia="Arial" w:hAnsi="Arial"/>
          <w:sz w:val="16"/>
          <w:szCs w:val="16"/>
          <w:u w:val="single" w:color="auto"/>
          <w:color w:val="000000"/>
        </w:rPr>
        <w:t>Compliance with Other Instruments</w:t>
      </w:r>
      <w:r>
        <w:rPr>
          <w:rFonts w:ascii="Arial" w:cs="Arial" w:eastAsia="Arial" w:hAnsi="Arial"/>
          <w:sz w:val="16"/>
          <w:szCs w:val="16"/>
          <w:color w:val="000000"/>
        </w:rPr>
        <w:t>. SMC’s execution, delivery and performance of this Amendment and the Adoption Agreement will not</w:t>
      </w:r>
      <w:r>
        <w:rPr>
          <w:rFonts w:ascii="Arial" w:cs="Arial" w:eastAsia="Arial" w:hAnsi="Arial"/>
          <w:sz w:val="16"/>
          <w:szCs w:val="16"/>
          <w:color w:val="010000"/>
        </w:rPr>
        <w:t xml:space="preserve"> </w:t>
      </w:r>
      <w:r>
        <w:rPr>
          <w:rFonts w:ascii="Arial" w:cs="Arial" w:eastAsia="Arial" w:hAnsi="Arial"/>
          <w:sz w:val="16"/>
          <w:szCs w:val="16"/>
          <w:color w:val="000000"/>
        </w:rPr>
        <w:t>result in (a) any violation, or be in conflict with or constitute, with or without the passage of time and giving of notice, default, (i) of any provisions of its organizational documents, (ii) of any instrument, judgment, order, writ or decree, (iii) under any note, indenture or mortgage, or (iv)under any lease, agreement, contract or purchase order to which it is a party or by which it is bound, or, to its knowledge, of any provision of any statute, rule or regulation applicable to SMC, the violation of which would have a material adverse effect on the business, assets (including intangible assets), liabilities, financial condition, property or operating results of SMC or (b) an event that results in the creation of any lien, charge or encumbrance upon any assets of SMC or the suspension, revocation, forfeiture, or nonrenewal of any material permit or license applicable to SMC.</w:t>
      </w:r>
    </w:p>
    <w:p>
      <w:pPr>
        <w:spacing w:after="0" w:line="168" w:lineRule="exact"/>
        <w:rPr>
          <w:sz w:val="20"/>
          <w:szCs w:val="20"/>
          <w:color w:val="auto"/>
        </w:rPr>
      </w:pPr>
    </w:p>
    <w:p>
      <w:pPr>
        <w:jc w:val="both"/>
        <w:ind w:firstLine="426"/>
        <w:spacing w:after="0" w:line="284" w:lineRule="auto"/>
        <w:rPr>
          <w:sz w:val="20"/>
          <w:szCs w:val="20"/>
          <w:color w:val="auto"/>
        </w:rPr>
      </w:pPr>
      <w:r>
        <w:rPr>
          <w:rFonts w:ascii="Arial" w:cs="Arial" w:eastAsia="Arial" w:hAnsi="Arial"/>
          <w:sz w:val="16"/>
          <w:szCs w:val="16"/>
          <w:color w:val="010000"/>
        </w:rPr>
        <w:t xml:space="preserve">4.5 </w:t>
      </w:r>
      <w:r>
        <w:rPr>
          <w:rFonts w:ascii="Arial" w:cs="Arial" w:eastAsia="Arial" w:hAnsi="Arial"/>
          <w:sz w:val="16"/>
          <w:szCs w:val="16"/>
          <w:u w:val="single" w:color="auto"/>
          <w:color w:val="000000"/>
        </w:rPr>
        <w:t>Purchase Entirely for Own Account</w:t>
      </w:r>
      <w:r>
        <w:rPr>
          <w:rFonts w:ascii="Arial" w:cs="Arial" w:eastAsia="Arial" w:hAnsi="Arial"/>
          <w:sz w:val="16"/>
          <w:szCs w:val="16"/>
          <w:color w:val="000000"/>
        </w:rPr>
        <w:t>. SMC is acquiring the New Warrant, and shall acquire (if and when acquired) the New Warrant Shares, for</w:t>
      </w:r>
      <w:r>
        <w:rPr>
          <w:rFonts w:ascii="Arial" w:cs="Arial" w:eastAsia="Arial" w:hAnsi="Arial"/>
          <w:sz w:val="16"/>
          <w:szCs w:val="16"/>
          <w:color w:val="010000"/>
        </w:rPr>
        <w:t xml:space="preserve"> </w:t>
      </w:r>
      <w:r>
        <w:rPr>
          <w:rFonts w:ascii="Arial" w:cs="Arial" w:eastAsia="Arial" w:hAnsi="Arial"/>
          <w:sz w:val="16"/>
          <w:szCs w:val="16"/>
          <w:color w:val="000000"/>
        </w:rPr>
        <w:t>investment for its own account, not as a nominee or agent and not with a view to the resale or distribution of any interest in the New Warrant or the New Warrant Shares. SMC has no present intention of selling, granting any participation in or otherwise distributing any interest in the New Warrant or the New Warrant Shares. SMC does not presently have any contract, undertaking, agreement or arrangement with any individual or entity to sell, transfer or grant participations to either such individual or entity or any third party, with respect to the New Warrant or the New Warrant Shares, as applicable.</w:t>
      </w:r>
    </w:p>
    <w:p>
      <w:pPr>
        <w:spacing w:after="0" w:line="165" w:lineRule="exact"/>
        <w:rPr>
          <w:sz w:val="20"/>
          <w:szCs w:val="20"/>
          <w:color w:val="auto"/>
        </w:rPr>
      </w:pPr>
    </w:p>
    <w:p>
      <w:pPr>
        <w:jc w:val="both"/>
        <w:ind w:firstLine="426"/>
        <w:spacing w:after="0" w:line="296" w:lineRule="auto"/>
        <w:rPr>
          <w:sz w:val="20"/>
          <w:szCs w:val="20"/>
          <w:color w:val="auto"/>
        </w:rPr>
      </w:pPr>
      <w:r>
        <w:rPr>
          <w:rFonts w:ascii="Arial" w:cs="Arial" w:eastAsia="Arial" w:hAnsi="Arial"/>
          <w:sz w:val="16"/>
          <w:szCs w:val="16"/>
          <w:color w:val="010000"/>
        </w:rPr>
        <w:t xml:space="preserve">4.6 </w:t>
      </w:r>
      <w:r>
        <w:rPr>
          <w:rFonts w:ascii="Arial" w:cs="Arial" w:eastAsia="Arial" w:hAnsi="Arial"/>
          <w:sz w:val="16"/>
          <w:szCs w:val="16"/>
          <w:u w:val="single" w:color="auto"/>
          <w:color w:val="000000"/>
        </w:rPr>
        <w:t>Disclosure of Information</w:t>
      </w:r>
      <w:r>
        <w:rPr>
          <w:rFonts w:ascii="Arial" w:cs="Arial" w:eastAsia="Arial" w:hAnsi="Arial"/>
          <w:sz w:val="16"/>
          <w:szCs w:val="16"/>
          <w:color w:val="000000"/>
        </w:rPr>
        <w:t>. SMC has had an opportunity to discuss with ACM’s management the business, management and financial affairs of</w:t>
      </w:r>
      <w:r>
        <w:rPr>
          <w:rFonts w:ascii="Arial" w:cs="Arial" w:eastAsia="Arial" w:hAnsi="Arial"/>
          <w:sz w:val="16"/>
          <w:szCs w:val="16"/>
          <w:color w:val="010000"/>
        </w:rPr>
        <w:t xml:space="preserve"> </w:t>
      </w:r>
      <w:r>
        <w:rPr>
          <w:rFonts w:ascii="Arial" w:cs="Arial" w:eastAsia="Arial" w:hAnsi="Arial"/>
          <w:sz w:val="16"/>
          <w:szCs w:val="16"/>
          <w:color w:val="000000"/>
        </w:rPr>
        <w:t xml:space="preserve">ACM and ACM Shanghai and the terms and conditions of the offering of the New Warrant and SMC has had an opportunity to review ACM Shanghai’s facilities. The foregoing, however, does not limit or modify the representations and warranties of ACM in </w:t>
      </w:r>
      <w:r>
        <w:rPr>
          <w:rFonts w:ascii="Arial" w:cs="Arial" w:eastAsia="Arial" w:hAnsi="Arial"/>
          <w:sz w:val="16"/>
          <w:szCs w:val="16"/>
          <w:u w:val="single" w:color="auto"/>
          <w:color w:val="000000"/>
        </w:rPr>
        <w:t>Section 2</w:t>
      </w:r>
      <w:r>
        <w:rPr>
          <w:rFonts w:ascii="Arial" w:cs="Arial" w:eastAsia="Arial" w:hAnsi="Arial"/>
          <w:sz w:val="16"/>
          <w:szCs w:val="16"/>
          <w:color w:val="000000"/>
        </w:rPr>
        <w:t xml:space="preserve"> or the right of SMC to rely thereon.</w:t>
      </w:r>
    </w:p>
    <w:p>
      <w:pPr>
        <w:spacing w:after="0" w:line="155" w:lineRule="exact"/>
        <w:rPr>
          <w:sz w:val="20"/>
          <w:szCs w:val="20"/>
          <w:color w:val="auto"/>
        </w:rPr>
      </w:pPr>
    </w:p>
    <w:p>
      <w:pPr>
        <w:jc w:val="both"/>
        <w:ind w:firstLine="426"/>
        <w:spacing w:after="0" w:line="296" w:lineRule="auto"/>
        <w:rPr>
          <w:sz w:val="20"/>
          <w:szCs w:val="20"/>
          <w:color w:val="auto"/>
        </w:rPr>
      </w:pPr>
      <w:r>
        <w:rPr>
          <w:rFonts w:ascii="Arial" w:cs="Arial" w:eastAsia="Arial" w:hAnsi="Arial"/>
          <w:sz w:val="15"/>
          <w:szCs w:val="15"/>
          <w:color w:val="010000"/>
        </w:rPr>
        <w:t xml:space="preserve">4.7 </w:t>
      </w:r>
      <w:r>
        <w:rPr>
          <w:rFonts w:ascii="Arial" w:cs="Arial" w:eastAsia="Arial" w:hAnsi="Arial"/>
          <w:sz w:val="15"/>
          <w:szCs w:val="15"/>
          <w:u w:val="single" w:color="auto"/>
          <w:color w:val="000000"/>
        </w:rPr>
        <w:t>Restricted Securities</w:t>
      </w:r>
      <w:r>
        <w:rPr>
          <w:rFonts w:ascii="Arial" w:cs="Arial" w:eastAsia="Arial" w:hAnsi="Arial"/>
          <w:sz w:val="15"/>
          <w:szCs w:val="15"/>
          <w:color w:val="000000"/>
        </w:rPr>
        <w:t>. SMC understands the New Warrant has not been and will not be registered under the Securities Act and, if and when</w:t>
      </w:r>
      <w:r>
        <w:rPr>
          <w:rFonts w:ascii="Arial" w:cs="Arial" w:eastAsia="Arial" w:hAnsi="Arial"/>
          <w:sz w:val="15"/>
          <w:szCs w:val="15"/>
          <w:color w:val="010000"/>
        </w:rPr>
        <w:t xml:space="preserve"> </w:t>
      </w:r>
      <w:r>
        <w:rPr>
          <w:rFonts w:ascii="Arial" w:cs="Arial" w:eastAsia="Arial" w:hAnsi="Arial"/>
          <w:sz w:val="15"/>
          <w:szCs w:val="15"/>
          <w:color w:val="000000"/>
        </w:rPr>
        <w:t>issued, the New Warrant Shares will not have been, and will not be, registered under the Securities Act, in each case by reason of a specific exemption from the registration provisions of the Securities Act that depends upon, among other things, the bona fide nature of the investment intent and the accuracy of SMC’s representations as expressed in this Amendment. SMC understands that the New Warrant and, if and when issued, the New Warrant Shares shall constitute “restricted securities” under applicable U.S. federal and state securities laws and that, pursuant to those laws, SMC must hold the Warrant and the New Warrant Shares, as applicable, indefinitely unless they are registered with the Securities and Exchange Commission and qualified by state authorities, or an exemption from such registration and qualification requirements is available, including a transfer outside of the United States in an offshore transaction in compliance with Rule 904 under the Securities Act (if applicable). SMC acknowledges that ACM has no obligation to register or qualify for resale the New Warrant or the New Warrant Shares, except as contemplated by the Registration Rights Agreement with respect to the New Warrant Shares, pursuant to the Adoption Agreement. SMC further acknowledges that if an exemption from registration or qualification is available, it may be conditioned on various requirements including the time and manner of sale, the holding period for the New Warrant or the New Warrant Shares, as applicable, and on requirements relating to ACM that are outside of SMC’s control and that ACM is under no obligation, and may not be able, to satisfy.</w:t>
      </w:r>
    </w:p>
    <w:p>
      <w:pPr>
        <w:spacing w:after="0" w:line="313"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33655</wp:posOffset>
            </wp:positionV>
            <wp:extent cx="713676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820"/>
          </w:cols>
          <w:pgMar w:left="740" w:top="127" w:right="339" w:bottom="1440" w:gutter="0" w:footer="0" w:header="0"/>
        </w:sectPr>
      </w:pPr>
    </w:p>
    <w:bookmarkStart w:id="52" w:name="page53"/>
    <w:bookmarkEnd w:id="52"/>
    <w:p>
      <w:pPr>
        <w:jc w:val="both"/>
        <w:ind w:left="2" w:firstLine="426"/>
        <w:spacing w:after="0" w:line="272" w:lineRule="auto"/>
        <w:rPr>
          <w:sz w:val="20"/>
          <w:szCs w:val="20"/>
          <w:color w:val="auto"/>
        </w:rPr>
      </w:pPr>
      <w:r>
        <w:rPr>
          <w:rFonts w:ascii="Arial" w:cs="Arial" w:eastAsia="Arial" w:hAnsi="Arial"/>
          <w:sz w:val="17"/>
          <w:szCs w:val="17"/>
          <w:color w:val="010000"/>
        </w:rPr>
        <w:t xml:space="preserve">4.8 </w:t>
      </w:r>
      <w:r>
        <w:rPr>
          <w:rFonts w:ascii="Arial" w:cs="Arial" w:eastAsia="Arial" w:hAnsi="Arial"/>
          <w:sz w:val="17"/>
          <w:szCs w:val="17"/>
          <w:u w:val="single" w:color="auto"/>
          <w:color w:val="000000"/>
        </w:rPr>
        <w:t>Legends</w:t>
      </w:r>
      <w:r>
        <w:rPr>
          <w:rFonts w:ascii="Arial" w:cs="Arial" w:eastAsia="Arial" w:hAnsi="Arial"/>
          <w:sz w:val="17"/>
          <w:szCs w:val="17"/>
          <w:color w:val="000000"/>
        </w:rPr>
        <w:t>. SMC understands that the New Warrant and, if and when issued, the New Warrant Shares, which will be held in book-entry form,</w:t>
      </w:r>
      <w:r>
        <w:rPr>
          <w:rFonts w:ascii="Arial" w:cs="Arial" w:eastAsia="Arial" w:hAnsi="Arial"/>
          <w:sz w:val="17"/>
          <w:szCs w:val="17"/>
          <w:color w:val="010000"/>
        </w:rPr>
        <w:t xml:space="preserve"> </w:t>
      </w:r>
      <w:r>
        <w:rPr>
          <w:rFonts w:ascii="Arial" w:cs="Arial" w:eastAsia="Arial" w:hAnsi="Arial"/>
          <w:sz w:val="17"/>
          <w:szCs w:val="17"/>
          <w:color w:val="000000"/>
        </w:rPr>
        <w:t>may be notated with restrictive legends as ACM and its counsel deem necessary or advisable under applicable law or pursuant to this Amendment or the New Warrant, including a legend substantially to the following effect:</w:t>
      </w:r>
    </w:p>
    <w:p>
      <w:pPr>
        <w:spacing w:after="0" w:line="171" w:lineRule="exact"/>
        <w:rPr>
          <w:sz w:val="20"/>
          <w:szCs w:val="20"/>
          <w:color w:val="auto"/>
        </w:rPr>
      </w:pPr>
    </w:p>
    <w:p>
      <w:pPr>
        <w:jc w:val="both"/>
        <w:ind w:left="842" w:right="840"/>
        <w:spacing w:after="0" w:line="266" w:lineRule="auto"/>
        <w:rPr>
          <w:sz w:val="20"/>
          <w:szCs w:val="20"/>
          <w:color w:val="auto"/>
        </w:rPr>
      </w:pPr>
      <w:r>
        <w:rPr>
          <w:rFonts w:ascii="Arial" w:cs="Arial" w:eastAsia="Arial" w:hAnsi="Arial"/>
          <w:sz w:val="17"/>
          <w:szCs w:val="17"/>
          <w:color w:val="auto"/>
        </w:rPr>
        <w:t>“THESE SECURITIES HAVE BEEN ACQUIRED FOR INVESTMENT AND HAVE NOT BEEN REGISTERED UNDER THE U.S. SECURITIES ACT OF 1933. SUCH SECURITIES MAY NOT BE SOLD, PLEDGED, OR TRANSFERRED IN THE ABSENCE OF SUCH REGISTRATION OR A VALID EXEMPTION FROM THE REGISTRATION OF THE U.S. SECURITIES ACT OF 1933.”</w:t>
      </w:r>
    </w:p>
    <w:p>
      <w:pPr>
        <w:spacing w:after="0" w:line="178" w:lineRule="exact"/>
        <w:rPr>
          <w:sz w:val="20"/>
          <w:szCs w:val="20"/>
          <w:color w:val="auto"/>
        </w:rPr>
      </w:pPr>
    </w:p>
    <w:p>
      <w:pPr>
        <w:jc w:val="both"/>
        <w:ind w:left="2" w:firstLine="426"/>
        <w:spacing w:after="0" w:line="277" w:lineRule="auto"/>
        <w:rPr>
          <w:sz w:val="20"/>
          <w:szCs w:val="20"/>
          <w:color w:val="auto"/>
        </w:rPr>
      </w:pPr>
      <w:r>
        <w:rPr>
          <w:rFonts w:ascii="Arial" w:cs="Arial" w:eastAsia="Arial" w:hAnsi="Arial"/>
          <w:sz w:val="16"/>
          <w:szCs w:val="16"/>
          <w:color w:val="010000"/>
        </w:rPr>
        <w:t xml:space="preserve">4.9 </w:t>
      </w:r>
      <w:r>
        <w:rPr>
          <w:rFonts w:ascii="Arial" w:cs="Arial" w:eastAsia="Arial" w:hAnsi="Arial"/>
          <w:sz w:val="16"/>
          <w:szCs w:val="16"/>
          <w:u w:val="single" w:color="auto"/>
          <w:color w:val="000000"/>
        </w:rPr>
        <w:t>Investor Status</w:t>
      </w:r>
      <w:r>
        <w:rPr>
          <w:rFonts w:ascii="Arial" w:cs="Arial" w:eastAsia="Arial" w:hAnsi="Arial"/>
          <w:sz w:val="16"/>
          <w:szCs w:val="16"/>
          <w:color w:val="000000"/>
        </w:rPr>
        <w:t>. SMC is an accredited investor as defined in Rule 501(a) of Regulation D promulgated under the Securities Act and is not a</w:t>
      </w:r>
      <w:r>
        <w:rPr>
          <w:rFonts w:ascii="Arial" w:cs="Arial" w:eastAsia="Arial" w:hAnsi="Arial"/>
          <w:sz w:val="16"/>
          <w:szCs w:val="16"/>
          <w:color w:val="010000"/>
        </w:rPr>
        <w:t xml:space="preserve"> </w:t>
      </w:r>
      <w:r>
        <w:rPr>
          <w:rFonts w:ascii="Arial" w:cs="Arial" w:eastAsia="Arial" w:hAnsi="Arial"/>
          <w:sz w:val="16"/>
          <w:szCs w:val="16"/>
          <w:color w:val="000000"/>
        </w:rPr>
        <w:t xml:space="preserve">U.S. person as defined in Regulation S under the Securities Act. SMC understands and confirms that the New Warrant has not been, and the New Warrant </w:t>
      </w:r>
      <w:r>
        <w:rPr>
          <w:rFonts w:ascii="Arial" w:cs="Arial" w:eastAsia="Arial" w:hAnsi="Arial"/>
          <w:sz w:val="16"/>
          <w:szCs w:val="16"/>
          <w:u w:val="single" w:color="auto"/>
          <w:color w:val="000000"/>
        </w:rPr>
        <w:t>Share</w:t>
      </w:r>
      <w:r>
        <w:rPr>
          <w:rFonts w:ascii="Arial" w:cs="Arial" w:eastAsia="Arial" w:hAnsi="Arial"/>
          <w:sz w:val="16"/>
          <w:szCs w:val="16"/>
          <w:color w:val="000000"/>
        </w:rPr>
        <w:t>s will not be, offered or sold within the United States as defined under the Securities Act. At the time of the origination of discussion regarding the offer and sale of the New Warrant and the date of the execution and delivery of this Amendment, SMC was at all times outside of the United States. SMC has satisfied itself as to the full observance of the laws of its jurisdiction in connection with any invitation to receive the New Warrant or the New Warrant Shares, as applicable, or any use of this Amendment, including (a) the legal requirements within its jurisdiction for the purchase of the New Warrant or the New Warrant Shares, as applicable, (b) any foreign exchange restrictions applicable to such purchase, (c) any governmental or other consents that may need to be obtained, (d) the income tax and other tax consequences, if any, that may be relevant to the purchase, holding, redemption, sale, or transfer of the New Warrant or the New Warrant Shares, as applicable, and (e) SMC’s receipt and continued beneficial ownership of the New Warrant or the New Warrant Shares, as applicable, will not violate any applicable securities or other laws of SMC’s jurisdiction.</w:t>
      </w:r>
    </w:p>
    <w:p>
      <w:pPr>
        <w:spacing w:after="0" w:line="174" w:lineRule="exact"/>
        <w:rPr>
          <w:sz w:val="20"/>
          <w:szCs w:val="20"/>
          <w:color w:val="auto"/>
        </w:rPr>
      </w:pPr>
    </w:p>
    <w:p>
      <w:pPr>
        <w:ind w:left="482" w:hanging="482"/>
        <w:spacing w:after="0"/>
        <w:tabs>
          <w:tab w:leader="none" w:pos="482" w:val="left"/>
        </w:tabs>
        <w:numPr>
          <w:ilvl w:val="0"/>
          <w:numId w:val="48"/>
        </w:numPr>
        <w:rPr>
          <w:rFonts w:ascii="Arial" w:cs="Arial" w:eastAsia="Arial" w:hAnsi="Arial"/>
          <w:sz w:val="17"/>
          <w:szCs w:val="17"/>
          <w:color w:val="010000"/>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2" w:lineRule="exact"/>
        <w:rPr>
          <w:sz w:val="20"/>
          <w:szCs w:val="20"/>
          <w:color w:val="auto"/>
        </w:rPr>
      </w:pPr>
    </w:p>
    <w:p>
      <w:pPr>
        <w:jc w:val="both"/>
        <w:ind w:left="2" w:firstLine="426"/>
        <w:spacing w:after="0" w:line="272" w:lineRule="auto"/>
        <w:rPr>
          <w:sz w:val="20"/>
          <w:szCs w:val="20"/>
          <w:color w:val="auto"/>
        </w:rPr>
      </w:pPr>
      <w:r>
        <w:rPr>
          <w:rFonts w:ascii="Arial" w:cs="Arial" w:eastAsia="Arial" w:hAnsi="Arial"/>
          <w:sz w:val="17"/>
          <w:szCs w:val="17"/>
          <w:color w:val="010000"/>
        </w:rPr>
        <w:t xml:space="preserve">5.1 </w:t>
      </w:r>
      <w:r>
        <w:rPr>
          <w:rFonts w:ascii="Arial" w:cs="Arial" w:eastAsia="Arial" w:hAnsi="Arial"/>
          <w:sz w:val="17"/>
          <w:szCs w:val="17"/>
          <w:u w:val="single" w:color="auto"/>
          <w:color w:val="000000"/>
        </w:rPr>
        <w:t>Survival</w:t>
      </w:r>
      <w:r>
        <w:rPr>
          <w:rFonts w:ascii="Arial" w:cs="Arial" w:eastAsia="Arial" w:hAnsi="Arial"/>
          <w:sz w:val="17"/>
          <w:szCs w:val="17"/>
          <w:color w:val="000000"/>
        </w:rPr>
        <w:t>. Unless otherwise set forth in this Amendment, the representations and warranties of each Party contained in this Amendment shall</w:t>
      </w:r>
      <w:r>
        <w:rPr>
          <w:rFonts w:ascii="Arial" w:cs="Arial" w:eastAsia="Arial" w:hAnsi="Arial"/>
          <w:sz w:val="17"/>
          <w:szCs w:val="17"/>
          <w:color w:val="010000"/>
        </w:rPr>
        <w:t xml:space="preserve"> </w:t>
      </w:r>
      <w:r>
        <w:rPr>
          <w:rFonts w:ascii="Arial" w:cs="Arial" w:eastAsia="Arial" w:hAnsi="Arial"/>
          <w:sz w:val="17"/>
          <w:szCs w:val="17"/>
          <w:color w:val="000000"/>
        </w:rPr>
        <w:t>survive the execution and delivery of this Amendment and shall in no way be affected by any investigation or knowledge of the subject matter thereof made by or on behalf of the other Party.</w:t>
      </w:r>
    </w:p>
    <w:p>
      <w:pPr>
        <w:spacing w:after="0" w:line="171" w:lineRule="exact"/>
        <w:rPr>
          <w:sz w:val="20"/>
          <w:szCs w:val="20"/>
          <w:color w:val="auto"/>
        </w:rPr>
      </w:pPr>
    </w:p>
    <w:p>
      <w:pPr>
        <w:jc w:val="both"/>
        <w:ind w:left="2" w:firstLine="426"/>
        <w:spacing w:after="0" w:line="266"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u w:val="single" w:color="auto"/>
          <w:color w:val="000000"/>
        </w:rPr>
        <w:t>Successors and Assigns</w:t>
      </w:r>
      <w:r>
        <w:rPr>
          <w:rFonts w:ascii="Arial" w:cs="Arial" w:eastAsia="Arial" w:hAnsi="Arial"/>
          <w:sz w:val="17"/>
          <w:szCs w:val="17"/>
          <w:color w:val="000000"/>
        </w:rPr>
        <w:t>. The terms and conditions of this Amendment shall inure to the benefit of and be binding upon the respective</w:t>
      </w:r>
      <w:r>
        <w:rPr>
          <w:rFonts w:ascii="Arial" w:cs="Arial" w:eastAsia="Arial" w:hAnsi="Arial"/>
          <w:sz w:val="17"/>
          <w:szCs w:val="17"/>
          <w:color w:val="010000"/>
        </w:rPr>
        <w:t xml:space="preserve"> </w:t>
      </w:r>
      <w:r>
        <w:rPr>
          <w:rFonts w:ascii="Arial" w:cs="Arial" w:eastAsia="Arial" w:hAnsi="Arial"/>
          <w:sz w:val="17"/>
          <w:szCs w:val="17"/>
          <w:color w:val="000000"/>
        </w:rPr>
        <w:t>successors and assigns of the Parties. Nothing in this Amendment, express or implied, is intended to confer upon any party other than the Parties to this Amendment or their respective successors and assigns any rights, remedies, obligations, or liabilities under or by reason of this Amendment, except as expressly provided in this Amendment.</w:t>
      </w:r>
    </w:p>
    <w:p>
      <w:pPr>
        <w:spacing w:after="0" w:line="328" w:lineRule="exact"/>
        <w:rPr>
          <w:sz w:val="20"/>
          <w:szCs w:val="20"/>
          <w:color w:val="auto"/>
        </w:rPr>
      </w:pPr>
    </w:p>
    <w:p>
      <w:pPr>
        <w:jc w:val="center"/>
        <w:ind w:right="398"/>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33655</wp:posOffset>
            </wp:positionV>
            <wp:extent cx="713676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822"/>
          </w:cols>
          <w:pgMar w:left="738" w:top="127" w:right="339" w:bottom="1440" w:gutter="0" w:footer="0" w:header="0"/>
        </w:sectPr>
      </w:pPr>
    </w:p>
    <w:bookmarkStart w:id="53" w:name="page54"/>
    <w:bookmarkEnd w:id="53"/>
    <w:p>
      <w:pPr>
        <w:jc w:val="both"/>
        <w:ind w:firstLine="426"/>
        <w:spacing w:after="0" w:line="266" w:lineRule="auto"/>
        <w:rPr>
          <w:sz w:val="20"/>
          <w:szCs w:val="20"/>
          <w:color w:val="auto"/>
        </w:rPr>
      </w:pPr>
      <w:r>
        <w:rPr>
          <w:rFonts w:ascii="Arial" w:cs="Arial" w:eastAsia="Arial" w:hAnsi="Arial"/>
          <w:sz w:val="17"/>
          <w:szCs w:val="17"/>
          <w:color w:val="010000"/>
        </w:rPr>
        <w:t xml:space="preserve">5.3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Amendment and any controversy arising out of or relating to this Amendment shall be governed by and construed in</w:t>
      </w:r>
      <w:r>
        <w:rPr>
          <w:rFonts w:ascii="Arial" w:cs="Arial" w:eastAsia="Arial" w:hAnsi="Arial"/>
          <w:sz w:val="17"/>
          <w:szCs w:val="17"/>
          <w:color w:val="010000"/>
        </w:rPr>
        <w:t xml:space="preserve"> </w:t>
      </w:r>
      <w:r>
        <w:rPr>
          <w:rFonts w:ascii="Arial" w:cs="Arial" w:eastAsia="Arial" w:hAnsi="Arial"/>
          <w:sz w:val="17"/>
          <w:szCs w:val="17"/>
          <w:color w:val="000000"/>
        </w:rPr>
        <w:t>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78" w:lineRule="exact"/>
        <w:rPr>
          <w:sz w:val="20"/>
          <w:szCs w:val="20"/>
          <w:color w:val="auto"/>
        </w:rPr>
      </w:pPr>
    </w:p>
    <w:p>
      <w:pPr>
        <w:jc w:val="both"/>
        <w:ind w:firstLine="426"/>
        <w:spacing w:after="0" w:line="266"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u w:val="single" w:color="auto"/>
          <w:color w:val="000000"/>
        </w:rPr>
        <w:t>Counterparts</w:t>
      </w:r>
      <w:r>
        <w:rPr>
          <w:rFonts w:ascii="Arial" w:cs="Arial" w:eastAsia="Arial" w:hAnsi="Arial"/>
          <w:sz w:val="17"/>
          <w:szCs w:val="17"/>
          <w:color w:val="000000"/>
        </w:rPr>
        <w:t>. This Amendment may be executed in counterparts, each of which shall be deemed an original but both of which together shall</w:t>
      </w:r>
      <w:r>
        <w:rPr>
          <w:rFonts w:ascii="Arial" w:cs="Arial" w:eastAsia="Arial" w:hAnsi="Arial"/>
          <w:sz w:val="17"/>
          <w:szCs w:val="17"/>
          <w:color w:val="010000"/>
        </w:rPr>
        <w:t xml:space="preserve"> </w:t>
      </w:r>
      <w:r>
        <w:rPr>
          <w:rFonts w:ascii="Arial" w:cs="Arial" w:eastAsia="Arial" w:hAnsi="Arial"/>
          <w:sz w:val="17"/>
          <w:szCs w:val="17"/>
          <w:color w:val="000000"/>
        </w:rPr>
        <w:t xml:space="preserve">constitute one and the same instrument. Counterparts may be delivered via electronic mail (including pdf or any electronic signature complying with the U.S. federal ESIGN Act of 2000, </w:t>
      </w:r>
      <w:r>
        <w:rPr>
          <w:rFonts w:ascii="Arial" w:cs="Arial" w:eastAsia="Arial" w:hAnsi="Arial"/>
          <w:sz w:val="17"/>
          <w:szCs w:val="17"/>
          <w:i w:val="1"/>
          <w:iCs w:val="1"/>
          <w:color w:val="000000"/>
        </w:rPr>
        <w:t>e.g.</w:t>
      </w:r>
      <w:r>
        <w:rPr>
          <w:rFonts w:ascii="Arial" w:cs="Arial" w:eastAsia="Arial" w:hAnsi="Arial"/>
          <w:sz w:val="17"/>
          <w:szCs w:val="17"/>
          <w:color w:val="000000"/>
        </w:rPr>
        <w:t>, www.docusign.com) or other transmission method and any counterpart so delivered shall be deemed to have been duly and validly delivered and be valid and effective for all purposes.</w:t>
      </w:r>
    </w:p>
    <w:p>
      <w:pPr>
        <w:spacing w:after="0" w:line="17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7"/>
          <w:szCs w:val="17"/>
          <w:color w:val="010000"/>
        </w:rPr>
        <w:t>5.5</w:t>
      </w:r>
      <w:r>
        <w:rPr>
          <w:sz w:val="20"/>
          <w:szCs w:val="20"/>
          <w:color w:val="auto"/>
        </w:rPr>
        <w:tab/>
      </w:r>
      <w:r>
        <w:rPr>
          <w:rFonts w:ascii="Arial" w:cs="Arial" w:eastAsia="Arial" w:hAnsi="Arial"/>
          <w:sz w:val="15"/>
          <w:szCs w:val="15"/>
          <w:u w:val="single" w:color="auto"/>
          <w:color w:val="auto"/>
        </w:rPr>
        <w:t xml:space="preserve">Interpretation. </w:t>
      </w:r>
      <w:r>
        <w:rPr>
          <w:rFonts w:ascii="Arial" w:cs="Arial" w:eastAsia="Arial" w:hAnsi="Arial"/>
          <w:sz w:val="15"/>
          <w:szCs w:val="15"/>
          <w:color w:val="auto"/>
        </w:rPr>
        <w:t>For purposes of this Amendment:</w:t>
      </w:r>
    </w:p>
    <w:p>
      <w:pPr>
        <w:spacing w:after="0" w:line="222" w:lineRule="exact"/>
        <w:rPr>
          <w:sz w:val="20"/>
          <w:szCs w:val="20"/>
          <w:color w:val="auto"/>
        </w:rPr>
      </w:pPr>
    </w:p>
    <w:p>
      <w:pPr>
        <w:ind w:left="1300" w:hanging="462"/>
        <w:spacing w:after="0" w:line="287" w:lineRule="auto"/>
        <w:tabs>
          <w:tab w:leader="none" w:pos="130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headings used in this Amendment are for convenience of reference only and shall not, for any purpose, be deemed a part of this Amendment;</w:t>
      </w:r>
    </w:p>
    <w:p>
      <w:pPr>
        <w:spacing w:after="0" w:line="185" w:lineRule="exact"/>
        <w:rPr>
          <w:rFonts w:ascii="Arial" w:cs="Arial" w:eastAsia="Arial" w:hAnsi="Arial"/>
          <w:sz w:val="17"/>
          <w:szCs w:val="17"/>
          <w:color w:val="010000"/>
        </w:rPr>
      </w:pPr>
    </w:p>
    <w:p>
      <w:pPr>
        <w:ind w:left="1300" w:hanging="462"/>
        <w:spacing w:after="0"/>
        <w:tabs>
          <w:tab w:leader="none" w:pos="130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references to a Section or Subsection refer to a Section or Subsection of this Amendment, unless specified otherwise;</w:t>
      </w:r>
    </w:p>
    <w:p>
      <w:pPr>
        <w:spacing w:after="0" w:line="248" w:lineRule="exact"/>
        <w:rPr>
          <w:rFonts w:ascii="Arial" w:cs="Arial" w:eastAsia="Arial" w:hAnsi="Arial"/>
          <w:sz w:val="17"/>
          <w:szCs w:val="17"/>
          <w:color w:val="010000"/>
        </w:rPr>
      </w:pPr>
    </w:p>
    <w:p>
      <w:pPr>
        <w:ind w:left="1300" w:hanging="462"/>
        <w:spacing w:after="0"/>
        <w:tabs>
          <w:tab w:leader="none" w:pos="130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the words “include” and “including” shall not be construed so as to exclude any other thing not referred to or described;</w:t>
      </w:r>
    </w:p>
    <w:p>
      <w:pPr>
        <w:spacing w:after="0" w:line="248" w:lineRule="exact"/>
        <w:rPr>
          <w:rFonts w:ascii="Arial" w:cs="Arial" w:eastAsia="Arial" w:hAnsi="Arial"/>
          <w:sz w:val="17"/>
          <w:szCs w:val="17"/>
          <w:color w:val="010000"/>
        </w:rPr>
      </w:pPr>
    </w:p>
    <w:p>
      <w:pPr>
        <w:ind w:left="1300" w:hanging="462"/>
        <w:spacing w:after="0"/>
        <w:tabs>
          <w:tab w:leader="none" w:pos="130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the word “or” is not exclusive;</w:t>
      </w:r>
    </w:p>
    <w:p>
      <w:pPr>
        <w:spacing w:after="0" w:line="248" w:lineRule="exact"/>
        <w:rPr>
          <w:rFonts w:ascii="Arial" w:cs="Arial" w:eastAsia="Arial" w:hAnsi="Arial"/>
          <w:sz w:val="17"/>
          <w:szCs w:val="17"/>
          <w:color w:val="010000"/>
        </w:rPr>
      </w:pPr>
    </w:p>
    <w:p>
      <w:pPr>
        <w:ind w:left="1300" w:hanging="462"/>
        <w:spacing w:after="0"/>
        <w:tabs>
          <w:tab w:leader="none" w:pos="130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the definition given for any term shall apply equally to both the singular and plural forms of the term defined;</w:t>
      </w:r>
    </w:p>
    <w:p>
      <w:pPr>
        <w:spacing w:after="0" w:line="248" w:lineRule="exact"/>
        <w:rPr>
          <w:rFonts w:ascii="Arial" w:cs="Arial" w:eastAsia="Arial" w:hAnsi="Arial"/>
          <w:sz w:val="17"/>
          <w:szCs w:val="17"/>
          <w:color w:val="010000"/>
        </w:rPr>
      </w:pPr>
    </w:p>
    <w:p>
      <w:pPr>
        <w:jc w:val="both"/>
        <w:ind w:left="1300" w:hanging="462"/>
        <w:spacing w:after="0" w:line="266" w:lineRule="auto"/>
        <w:tabs>
          <w:tab w:leader="none" w:pos="130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unless the context otherwise requires otherwise, references (i) to an agreement, instrument or other document (including this Amendment) mean such agreement, instrument or other document as amended, supplemented and modified from time to time to the extent permitted by the provisions thereof and (ii) to a statute mean such statute as amended from time to time and include any successor legislation thereto and any rules and regulations promulgated thereunder; and</w:t>
      </w:r>
    </w:p>
    <w:p>
      <w:pPr>
        <w:spacing w:after="0" w:line="203" w:lineRule="exact"/>
        <w:rPr>
          <w:rFonts w:ascii="Arial" w:cs="Arial" w:eastAsia="Arial" w:hAnsi="Arial"/>
          <w:sz w:val="17"/>
          <w:szCs w:val="17"/>
          <w:color w:val="010000"/>
        </w:rPr>
      </w:pPr>
    </w:p>
    <w:p>
      <w:pPr>
        <w:ind w:left="1300" w:hanging="462"/>
        <w:spacing w:after="0" w:line="287" w:lineRule="auto"/>
        <w:tabs>
          <w:tab w:leader="none" w:pos="1300"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this Amendment shall be construed without regard to any presumption or rule requiring construction or interpretation against the party drafting an instrument or causing any instrument to be drafted.</w:t>
      </w:r>
    </w:p>
    <w:p>
      <w:pPr>
        <w:spacing w:after="0" w:line="159" w:lineRule="exact"/>
        <w:rPr>
          <w:sz w:val="20"/>
          <w:szCs w:val="20"/>
          <w:color w:val="auto"/>
        </w:rPr>
      </w:pPr>
    </w:p>
    <w:p>
      <w:pPr>
        <w:jc w:val="both"/>
        <w:ind w:firstLine="426"/>
        <w:spacing w:after="0" w:line="282" w:lineRule="auto"/>
        <w:rPr>
          <w:sz w:val="20"/>
          <w:szCs w:val="20"/>
          <w:color w:val="auto"/>
        </w:rPr>
      </w:pPr>
      <w:r>
        <w:rPr>
          <w:rFonts w:ascii="Arial" w:cs="Arial" w:eastAsia="Arial" w:hAnsi="Arial"/>
          <w:sz w:val="16"/>
          <w:szCs w:val="16"/>
          <w:color w:val="010000"/>
        </w:rPr>
        <w:t xml:space="preserve">5.6 </w:t>
      </w:r>
      <w:r>
        <w:rPr>
          <w:rFonts w:ascii="Arial" w:cs="Arial" w:eastAsia="Arial" w:hAnsi="Arial"/>
          <w:sz w:val="16"/>
          <w:szCs w:val="16"/>
          <w:u w:val="single" w:color="auto"/>
          <w:color w:val="000000"/>
        </w:rPr>
        <w:t>Notices</w:t>
      </w:r>
      <w:r>
        <w:rPr>
          <w:rFonts w:ascii="Arial" w:cs="Arial" w:eastAsia="Arial" w:hAnsi="Arial"/>
          <w:sz w:val="16"/>
          <w:szCs w:val="16"/>
          <w:color w:val="000000"/>
        </w:rPr>
        <w:t>. All notices and other communications given or made pursuant to this Amendment shall be in writing and shall be deemed effectively</w:t>
      </w:r>
      <w:r>
        <w:rPr>
          <w:rFonts w:ascii="Arial" w:cs="Arial" w:eastAsia="Arial" w:hAnsi="Arial"/>
          <w:sz w:val="16"/>
          <w:szCs w:val="16"/>
          <w:color w:val="010000"/>
        </w:rPr>
        <w:t xml:space="preserve"> </w:t>
      </w:r>
      <w:r>
        <w:rPr>
          <w:rFonts w:ascii="Arial" w:cs="Arial" w:eastAsia="Arial" w:hAnsi="Arial"/>
          <w:sz w:val="16"/>
          <w:szCs w:val="16"/>
          <w:color w:val="000000"/>
        </w:rPr>
        <w:t xml:space="preserve">given upon the earlier of (a) personal delivery to, or other actual receipt by, the Party to be notified and (b) when sent, if sent by electronic mail during normal business hours of the recipient, or, if not sent during the recipient’s normal business hours, then on the recipient’s next business day. All communications shall be sent to the respective Parties at their addresses or e-mail addresses as set forth on the signature page, or to such address or e-mail address as subsequently modified by written notice given in accordance with this </w:t>
      </w:r>
      <w:r>
        <w:rPr>
          <w:rFonts w:ascii="Arial" w:cs="Arial" w:eastAsia="Arial" w:hAnsi="Arial"/>
          <w:sz w:val="16"/>
          <w:szCs w:val="16"/>
          <w:u w:val="single" w:color="auto"/>
          <w:color w:val="000000"/>
        </w:rPr>
        <w:t>Subsection</w:t>
      </w:r>
      <w:r>
        <w:rPr>
          <w:rFonts w:ascii="Arial" w:cs="Arial" w:eastAsia="Arial" w:hAnsi="Arial"/>
          <w:sz w:val="16"/>
          <w:szCs w:val="16"/>
          <w:color w:val="000000"/>
        </w:rPr>
        <w:t xml:space="preserve"> 5.6. If notice is given to ACM, a copy shall also be sent to Mark L. Johnson at K&amp;L Gates LLP, State Street Financial Center, 1 Lincoln Street, Boston, Massachusetts 02111.</w:t>
      </w:r>
    </w:p>
    <w:p>
      <w:pPr>
        <w:spacing w:after="0" w:line="165" w:lineRule="exact"/>
        <w:rPr>
          <w:sz w:val="20"/>
          <w:szCs w:val="20"/>
          <w:color w:val="auto"/>
        </w:rPr>
      </w:pPr>
    </w:p>
    <w:p>
      <w:pPr>
        <w:jc w:val="both"/>
        <w:ind w:firstLine="426"/>
        <w:spacing w:after="0" w:line="272" w:lineRule="auto"/>
        <w:rPr>
          <w:sz w:val="20"/>
          <w:szCs w:val="20"/>
          <w:color w:val="auto"/>
        </w:rPr>
      </w:pPr>
      <w:r>
        <w:rPr>
          <w:rFonts w:ascii="Arial" w:cs="Arial" w:eastAsia="Arial" w:hAnsi="Arial"/>
          <w:sz w:val="17"/>
          <w:szCs w:val="17"/>
          <w:color w:val="010000"/>
        </w:rPr>
        <w:t xml:space="preserve">5.7 </w:t>
      </w:r>
      <w:r>
        <w:rPr>
          <w:rFonts w:ascii="Arial" w:cs="Arial" w:eastAsia="Arial" w:hAnsi="Arial"/>
          <w:sz w:val="17"/>
          <w:szCs w:val="17"/>
          <w:u w:val="single" w:color="auto"/>
          <w:color w:val="000000"/>
        </w:rPr>
        <w:t>Attorneys’ Fees</w:t>
      </w:r>
      <w:r>
        <w:rPr>
          <w:rFonts w:ascii="Arial" w:cs="Arial" w:eastAsia="Arial" w:hAnsi="Arial"/>
          <w:sz w:val="17"/>
          <w:szCs w:val="17"/>
          <w:color w:val="000000"/>
        </w:rPr>
        <w:t>. If any action at law or in equity (including arbitration) is necessary to enforce or interpret the terms of any of this</w:t>
      </w:r>
      <w:r>
        <w:rPr>
          <w:rFonts w:ascii="Arial" w:cs="Arial" w:eastAsia="Arial" w:hAnsi="Arial"/>
          <w:sz w:val="17"/>
          <w:szCs w:val="17"/>
          <w:color w:val="010000"/>
        </w:rPr>
        <w:t xml:space="preserve"> </w:t>
      </w:r>
      <w:r>
        <w:rPr>
          <w:rFonts w:ascii="Arial" w:cs="Arial" w:eastAsia="Arial" w:hAnsi="Arial"/>
          <w:sz w:val="17"/>
          <w:szCs w:val="17"/>
          <w:color w:val="000000"/>
        </w:rPr>
        <w:t>Amendment, the prevailing Party shall be entitled to reasonable attorneys’ fees, costs and disbursements in addition to any other relief to which such Party may be entitled.</w:t>
      </w:r>
    </w:p>
    <w:p>
      <w:pPr>
        <w:spacing w:after="0" w:line="321"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33655</wp:posOffset>
            </wp:positionV>
            <wp:extent cx="713676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820"/>
          </w:cols>
          <w:pgMar w:left="740" w:top="127" w:right="339" w:bottom="1440" w:gutter="0" w:footer="0" w:header="0"/>
        </w:sectPr>
      </w:pPr>
    </w:p>
    <w:bookmarkStart w:id="54" w:name="page55"/>
    <w:bookmarkEnd w:id="54"/>
    <w:p>
      <w:pPr>
        <w:ind w:left="420"/>
        <w:spacing w:after="0"/>
        <w:tabs>
          <w:tab w:leader="none" w:pos="800" w:val="left"/>
        </w:tabs>
        <w:rPr>
          <w:sz w:val="20"/>
          <w:szCs w:val="20"/>
          <w:color w:val="auto"/>
        </w:rPr>
      </w:pPr>
      <w:r>
        <w:rPr>
          <w:rFonts w:ascii="Arial" w:cs="Arial" w:eastAsia="Arial" w:hAnsi="Arial"/>
          <w:sz w:val="17"/>
          <w:szCs w:val="17"/>
          <w:color w:val="010000"/>
        </w:rPr>
        <w:t>5.8</w:t>
      </w:r>
      <w:r>
        <w:rPr>
          <w:sz w:val="20"/>
          <w:szCs w:val="20"/>
          <w:color w:val="auto"/>
        </w:rPr>
        <w:tab/>
      </w:r>
      <w:r>
        <w:rPr>
          <w:rFonts w:ascii="Arial" w:cs="Arial" w:eastAsia="Arial" w:hAnsi="Arial"/>
          <w:sz w:val="15"/>
          <w:szCs w:val="15"/>
          <w:u w:val="single" w:color="auto"/>
          <w:color w:val="auto"/>
        </w:rPr>
        <w:t>Amendments</w:t>
      </w:r>
      <w:r>
        <w:rPr>
          <w:rFonts w:ascii="Arial" w:cs="Arial" w:eastAsia="Arial" w:hAnsi="Arial"/>
          <w:sz w:val="15"/>
          <w:szCs w:val="15"/>
          <w:color w:val="auto"/>
        </w:rPr>
        <w:t>. Any term of this Amendment may be amended or terminated only with the written consent of the Parties.</w:t>
      </w:r>
    </w:p>
    <w:p>
      <w:pPr>
        <w:spacing w:after="0" w:line="222" w:lineRule="exact"/>
        <w:rPr>
          <w:sz w:val="20"/>
          <w:szCs w:val="20"/>
          <w:color w:val="auto"/>
        </w:rPr>
      </w:pPr>
    </w:p>
    <w:p>
      <w:pPr>
        <w:jc w:val="both"/>
        <w:ind w:firstLine="426"/>
        <w:spacing w:after="0" w:line="296" w:lineRule="auto"/>
        <w:rPr>
          <w:sz w:val="20"/>
          <w:szCs w:val="20"/>
          <w:color w:val="auto"/>
        </w:rPr>
      </w:pPr>
      <w:r>
        <w:rPr>
          <w:rFonts w:ascii="Arial" w:cs="Arial" w:eastAsia="Arial" w:hAnsi="Arial"/>
          <w:sz w:val="16"/>
          <w:szCs w:val="16"/>
          <w:color w:val="010000"/>
        </w:rPr>
        <w:t xml:space="preserve">5.9 </w:t>
      </w:r>
      <w:r>
        <w:rPr>
          <w:rFonts w:ascii="Arial" w:cs="Arial" w:eastAsia="Arial" w:hAnsi="Arial"/>
          <w:sz w:val="16"/>
          <w:szCs w:val="16"/>
          <w:u w:val="single" w:color="auto"/>
          <w:color w:val="000000"/>
        </w:rPr>
        <w:t>Severability</w:t>
      </w:r>
      <w:r>
        <w:rPr>
          <w:rFonts w:ascii="Arial" w:cs="Arial" w:eastAsia="Arial" w:hAnsi="Arial"/>
          <w:sz w:val="16"/>
          <w:szCs w:val="16"/>
          <w:color w:val="000000"/>
        </w:rPr>
        <w:t>. In case any one or more of the provisions contained in this Amendment is for any reason held to be invalid, illegal or</w:t>
      </w:r>
      <w:r>
        <w:rPr>
          <w:rFonts w:ascii="Arial" w:cs="Arial" w:eastAsia="Arial" w:hAnsi="Arial"/>
          <w:sz w:val="16"/>
          <w:szCs w:val="16"/>
          <w:color w:val="010000"/>
        </w:rPr>
        <w:t xml:space="preserve"> </w:t>
      </w:r>
      <w:r>
        <w:rPr>
          <w:rFonts w:ascii="Arial" w:cs="Arial" w:eastAsia="Arial" w:hAnsi="Arial"/>
          <w:sz w:val="16"/>
          <w:szCs w:val="16"/>
          <w:color w:val="000000"/>
        </w:rPr>
        <w:t>unenforceable in any respect, such invalidity, illegality, or unenforceability shall not affect any other provision of this Amendment, and such invalid, illegal, or unenforceable provision shall be reformed and construed so that it will be valid, legal, and enforceable to the maximum extent permitted by law.</w:t>
      </w:r>
    </w:p>
    <w:p>
      <w:pPr>
        <w:spacing w:after="0" w:line="155" w:lineRule="exact"/>
        <w:rPr>
          <w:sz w:val="20"/>
          <w:szCs w:val="20"/>
          <w:color w:val="auto"/>
        </w:rPr>
      </w:pPr>
    </w:p>
    <w:p>
      <w:pPr>
        <w:jc w:val="both"/>
        <w:ind w:firstLine="426"/>
        <w:spacing w:after="0" w:line="272" w:lineRule="auto"/>
        <w:rPr>
          <w:sz w:val="20"/>
          <w:szCs w:val="20"/>
          <w:color w:val="auto"/>
        </w:rPr>
      </w:pPr>
      <w:r>
        <w:rPr>
          <w:rFonts w:ascii="Arial" w:cs="Arial" w:eastAsia="Arial" w:hAnsi="Arial"/>
          <w:sz w:val="17"/>
          <w:szCs w:val="17"/>
          <w:color w:val="010000"/>
        </w:rPr>
        <w:t xml:space="preserve">5.10 </w:t>
      </w:r>
      <w:r>
        <w:rPr>
          <w:rFonts w:ascii="Arial" w:cs="Arial" w:eastAsia="Arial" w:hAnsi="Arial"/>
          <w:sz w:val="17"/>
          <w:szCs w:val="17"/>
          <w:u w:val="single" w:color="auto"/>
          <w:color w:val="000000"/>
        </w:rPr>
        <w:t>Entire Agreement</w:t>
      </w:r>
      <w:r>
        <w:rPr>
          <w:rFonts w:ascii="Arial" w:cs="Arial" w:eastAsia="Arial" w:hAnsi="Arial"/>
          <w:sz w:val="17"/>
          <w:szCs w:val="17"/>
          <w:color w:val="000000"/>
        </w:rPr>
        <w:t>. The Agreement, as amended by this Amendment, together with the New Warrant and the Adoption Agreement, constitute</w:t>
      </w:r>
      <w:r>
        <w:rPr>
          <w:rFonts w:ascii="Arial" w:cs="Arial" w:eastAsia="Arial" w:hAnsi="Arial"/>
          <w:sz w:val="17"/>
          <w:szCs w:val="17"/>
          <w:color w:val="010000"/>
        </w:rPr>
        <w:t xml:space="preserve"> </w:t>
      </w:r>
      <w:r>
        <w:rPr>
          <w:rFonts w:ascii="Arial" w:cs="Arial" w:eastAsia="Arial" w:hAnsi="Arial"/>
          <w:sz w:val="17"/>
          <w:szCs w:val="17"/>
          <w:color w:val="000000"/>
        </w:rPr>
        <w:t>the full and entire understanding and agreement between the Parties with respect to the subject matter of this Amendment, and any other written or oral agreement relating to the subject matter of this Amendment existing between the Parties is expressly canceled.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010000"/>
        </w:rPr>
        <w:t xml:space="preserve">5.11  </w:t>
      </w:r>
      <w:r>
        <w:rPr>
          <w:rFonts w:ascii="Arial" w:cs="Arial" w:eastAsia="Arial" w:hAnsi="Arial"/>
          <w:sz w:val="17"/>
          <w:szCs w:val="17"/>
          <w:u w:val="single" w:color="auto"/>
          <w:color w:val="000000"/>
        </w:rPr>
        <w:t>Dispute Resolution</w:t>
      </w:r>
      <w:r>
        <w:rPr>
          <w:rFonts w:ascii="Arial" w:cs="Arial" w:eastAsia="Arial" w:hAnsi="Arial"/>
          <w:sz w:val="17"/>
          <w:szCs w:val="17"/>
          <w:color w:val="000000"/>
        </w:rPr>
        <w:t>.</w:t>
      </w:r>
    </w:p>
    <w:p>
      <w:pPr>
        <w:spacing w:after="0" w:line="222" w:lineRule="exact"/>
        <w:rPr>
          <w:sz w:val="20"/>
          <w:szCs w:val="20"/>
          <w:color w:val="auto"/>
        </w:rPr>
      </w:pPr>
    </w:p>
    <w:p>
      <w:pPr>
        <w:jc w:val="both"/>
        <w:ind w:left="420" w:firstLine="417"/>
        <w:spacing w:after="0" w:line="260" w:lineRule="auto"/>
        <w:tabs>
          <w:tab w:leader="none" w:pos="1444"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The Parties (a) irrevocably and unconditionally submit to the jurisdiction of the state courts of the State of Delaware and to the jurisdiction of the U.S. District Court for the District of Delaware for the purpose of any suit, action or other proceeding arising out of or based upon this Amendment, (b) agree not to commence any suit, action or other proceeding arising out of or based upon this Amendment except in the state courts of Delaware or the U.S. District Court for the District of Delaware,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Amendment or the subject matter of this Amendment may not be enforced in or by such court.</w:t>
      </w:r>
    </w:p>
    <w:p>
      <w:pPr>
        <w:spacing w:after="0" w:line="179" w:lineRule="exact"/>
        <w:rPr>
          <w:rFonts w:ascii="Arial" w:cs="Arial" w:eastAsia="Arial" w:hAnsi="Arial"/>
          <w:sz w:val="17"/>
          <w:szCs w:val="17"/>
          <w:color w:val="010000"/>
        </w:rPr>
      </w:pPr>
    </w:p>
    <w:p>
      <w:pPr>
        <w:ind w:left="1340" w:hanging="503"/>
        <w:spacing w:after="0"/>
        <w:tabs>
          <w:tab w:leader="none" w:pos="1340" w:val="left"/>
        </w:tabs>
        <w:numPr>
          <w:ilvl w:val="0"/>
          <w:numId w:val="50"/>
        </w:numPr>
        <w:rPr>
          <w:rFonts w:ascii="Arial" w:cs="Arial" w:eastAsia="Arial" w:hAnsi="Arial"/>
          <w:sz w:val="17"/>
          <w:szCs w:val="17"/>
          <w:color w:val="010000"/>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AIVER OF</w:t>
      </w:r>
      <w:r>
        <w:rPr>
          <w:rFonts w:ascii="Arial" w:cs="Arial" w:eastAsia="Arial" w:hAnsi="Arial"/>
          <w:sz w:val="17"/>
          <w:szCs w:val="17"/>
          <w:b w:val="1"/>
          <w:bCs w:val="1"/>
          <w:color w:val="auto"/>
        </w:rPr>
        <w:t xml:space="preserve"> J</w:t>
      </w:r>
      <w:r>
        <w:rPr>
          <w:rFonts w:ascii="Arial" w:cs="Arial" w:eastAsia="Arial" w:hAnsi="Arial"/>
          <w:sz w:val="11"/>
          <w:szCs w:val="11"/>
          <w:b w:val="1"/>
          <w:bCs w:val="1"/>
          <w:color w:val="auto"/>
        </w:rPr>
        <w:t>URY</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RIAL</w:t>
      </w:r>
      <w:r>
        <w:rPr>
          <w:rFonts w:ascii="Arial" w:cs="Arial" w:eastAsia="Arial" w:hAnsi="Arial"/>
          <w:sz w:val="17"/>
          <w:szCs w:val="17"/>
          <w:b w:val="1"/>
          <w:bCs w:val="1"/>
          <w:color w:val="auto"/>
        </w:rPr>
        <w:t>: E</w:t>
      </w:r>
      <w:r>
        <w:rPr>
          <w:rFonts w:ascii="Arial" w:cs="Arial" w:eastAsia="Arial" w:hAnsi="Arial"/>
          <w:sz w:val="11"/>
          <w:szCs w:val="11"/>
          <w:b w:val="1"/>
          <w:bCs w:val="1"/>
          <w:color w:val="auto"/>
        </w:rPr>
        <w:t>ACH</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ARTY WAIVES ITS RIGHTS TO A JURY TRIAL OF ANY CLAIM OR CAUSE OF ACTION BASED UPON OR ARISING OUT OF</w:t>
      </w:r>
    </w:p>
    <w:p>
      <w:pPr>
        <w:spacing w:after="0" w:line="32" w:lineRule="exact"/>
        <w:rPr>
          <w:sz w:val="20"/>
          <w:szCs w:val="20"/>
          <w:color w:val="auto"/>
        </w:rPr>
      </w:pPr>
    </w:p>
    <w:p>
      <w:pPr>
        <w:jc w:val="both"/>
        <w:ind w:left="420"/>
        <w:spacing w:after="0" w:line="256" w:lineRule="auto"/>
        <w:rPr>
          <w:sz w:val="20"/>
          <w:szCs w:val="20"/>
          <w:color w:val="auto"/>
        </w:rPr>
      </w:pPr>
      <w:r>
        <w:rPr>
          <w:rFonts w:ascii="Arial" w:cs="Arial" w:eastAsia="Arial" w:hAnsi="Arial"/>
          <w:sz w:val="12"/>
          <w:szCs w:val="12"/>
          <w:b w:val="1"/>
          <w:bCs w:val="1"/>
          <w:color w:val="auto"/>
        </w:rPr>
        <w:t xml:space="preserve">THIS </w:t>
      </w:r>
      <w:r>
        <w:rPr>
          <w:rFonts w:ascii="Arial" w:cs="Arial" w:eastAsia="Arial" w:hAnsi="Arial"/>
          <w:sz w:val="17"/>
          <w:szCs w:val="17"/>
          <w:b w:val="1"/>
          <w:bCs w:val="1"/>
          <w:color w:val="auto"/>
        </w:rPr>
        <w:t>A</w:t>
      </w:r>
      <w:r>
        <w:rPr>
          <w:rFonts w:ascii="Arial" w:cs="Arial" w:eastAsia="Arial" w:hAnsi="Arial"/>
          <w:sz w:val="12"/>
          <w:szCs w:val="12"/>
          <w:b w:val="1"/>
          <w:bCs w:val="1"/>
          <w:color w:val="auto"/>
        </w:rPr>
        <w:t xml:space="preserve">MENDMENT OR THE SUBJECT MATTER OF THIS </w:t>
      </w:r>
      <w:r>
        <w:rPr>
          <w:rFonts w:ascii="Arial" w:cs="Arial" w:eastAsia="Arial" w:hAnsi="Arial"/>
          <w:sz w:val="17"/>
          <w:szCs w:val="17"/>
          <w:b w:val="1"/>
          <w:bCs w:val="1"/>
          <w:color w:val="auto"/>
        </w:rPr>
        <w:t>A</w:t>
      </w:r>
      <w:r>
        <w:rPr>
          <w:rFonts w:ascii="Arial" w:cs="Arial" w:eastAsia="Arial" w:hAnsi="Arial"/>
          <w:sz w:val="12"/>
          <w:szCs w:val="12"/>
          <w:b w:val="1"/>
          <w:bCs w:val="1"/>
          <w:color w:val="auto"/>
        </w:rPr>
        <w:t>MENDMENT</w:t>
      </w:r>
      <w:r>
        <w:rPr>
          <w:rFonts w:ascii="Arial" w:cs="Arial" w:eastAsia="Arial" w:hAnsi="Arial"/>
          <w:sz w:val="17"/>
          <w:szCs w:val="17"/>
          <w:b w:val="1"/>
          <w:bCs w:val="1"/>
          <w:color w:val="auto"/>
        </w:rPr>
        <w:t>. T</w:t>
      </w:r>
      <w:r>
        <w:rPr>
          <w:rFonts w:ascii="Arial" w:cs="Arial" w:eastAsia="Arial" w:hAnsi="Arial"/>
          <w:sz w:val="12"/>
          <w:szCs w:val="12"/>
          <w:b w:val="1"/>
          <w:bCs w:val="1"/>
          <w:color w:val="auto"/>
        </w:rPr>
        <w:t>HE SCOPE OF THIS WAIVER IS INTENDED TO BE ALL</w:t>
      </w:r>
      <w:r>
        <w:rPr>
          <w:rFonts w:ascii="Arial" w:cs="Arial" w:eastAsia="Arial" w:hAnsi="Arial"/>
          <w:sz w:val="17"/>
          <w:szCs w:val="17"/>
          <w:b w:val="1"/>
          <w:bCs w:val="1"/>
          <w:color w:val="auto"/>
        </w:rPr>
        <w:t>-</w:t>
      </w:r>
      <w:r>
        <w:rPr>
          <w:rFonts w:ascii="Arial" w:cs="Arial" w:eastAsia="Arial" w:hAnsi="Arial"/>
          <w:sz w:val="12"/>
          <w:szCs w:val="12"/>
          <w:b w:val="1"/>
          <w:bCs w:val="1"/>
          <w:color w:val="auto"/>
        </w:rPr>
        <w:t>ENCOMPASSING OF ANY AND ALL DISPUTES THAT MAY BE FILED IN ANY COURT AND THAT RELATE TO THE SUBJECT MATTER OF THIS TRANSACTION</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INCLUDING CONTRACT CLAIMS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TORT CLAIMS </w:t>
      </w:r>
      <w:r>
        <w:rPr>
          <w:rFonts w:ascii="Arial" w:cs="Arial" w:eastAsia="Arial" w:hAnsi="Arial"/>
          <w:sz w:val="17"/>
          <w:szCs w:val="17"/>
          <w:b w:val="1"/>
          <w:bCs w:val="1"/>
          <w:color w:val="auto"/>
        </w:rPr>
        <w:t>(</w:t>
      </w:r>
      <w:r>
        <w:rPr>
          <w:rFonts w:ascii="Arial" w:cs="Arial" w:eastAsia="Arial" w:hAnsi="Arial"/>
          <w:sz w:val="12"/>
          <w:szCs w:val="12"/>
          <w:b w:val="1"/>
          <w:bCs w:val="1"/>
          <w:color w:val="auto"/>
        </w:rPr>
        <w:t>INCLUDING NEGLIGENCE</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BREACH OF DUTY CLAIMS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AND ALL OTHER COMMON LAW AND STATUTORY CLAIMS</w:t>
      </w:r>
      <w:r>
        <w:rPr>
          <w:rFonts w:ascii="Arial" w:cs="Arial" w:eastAsia="Arial" w:hAnsi="Arial"/>
          <w:sz w:val="17"/>
          <w:szCs w:val="17"/>
          <w:b w:val="1"/>
          <w:bCs w:val="1"/>
          <w:color w:val="auto"/>
        </w:rPr>
        <w:t>. T</w:t>
      </w:r>
      <w:r>
        <w:rPr>
          <w:rFonts w:ascii="Arial" w:cs="Arial" w:eastAsia="Arial" w:hAnsi="Arial"/>
          <w:sz w:val="12"/>
          <w:szCs w:val="12"/>
          <w:b w:val="1"/>
          <w:bCs w:val="1"/>
          <w:color w:val="auto"/>
        </w:rPr>
        <w:t xml:space="preserve">HIS </w:t>
      </w:r>
      <w:r>
        <w:rPr>
          <w:rFonts w:ascii="Arial" w:cs="Arial" w:eastAsia="Arial" w:hAnsi="Arial"/>
          <w:sz w:val="17"/>
          <w:szCs w:val="17"/>
          <w:b w:val="1"/>
          <w:bCs w:val="1"/>
          <w:u w:val="single" w:color="auto"/>
          <w:color w:val="auto"/>
        </w:rPr>
        <w:t>S</w:t>
      </w:r>
      <w:r>
        <w:rPr>
          <w:rFonts w:ascii="Arial" w:cs="Arial" w:eastAsia="Arial" w:hAnsi="Arial"/>
          <w:sz w:val="12"/>
          <w:szCs w:val="12"/>
          <w:b w:val="1"/>
          <w:bCs w:val="1"/>
          <w:u w:val="single" w:color="auto"/>
          <w:color w:val="auto"/>
        </w:rPr>
        <w:t>UBSECTION</w:t>
      </w:r>
      <w:r>
        <w:rPr>
          <w:rFonts w:ascii="Arial" w:cs="Arial" w:eastAsia="Arial" w:hAnsi="Arial"/>
          <w:sz w:val="12"/>
          <w:szCs w:val="12"/>
          <w:b w:val="1"/>
          <w:bCs w:val="1"/>
          <w:color w:val="auto"/>
        </w:rPr>
        <w:t xml:space="preserve"> </w:t>
      </w:r>
      <w:r>
        <w:rPr>
          <w:rFonts w:ascii="Arial" w:cs="Arial" w:eastAsia="Arial" w:hAnsi="Arial"/>
          <w:sz w:val="17"/>
          <w:szCs w:val="17"/>
          <w:b w:val="1"/>
          <w:bCs w:val="1"/>
          <w:u w:val="single" w:color="auto"/>
          <w:color w:val="auto"/>
        </w:rPr>
        <w:t>5.11(b)</w:t>
      </w:r>
      <w:r>
        <w:rPr>
          <w:rFonts w:ascii="Arial" w:cs="Arial" w:eastAsia="Arial" w:hAnsi="Arial"/>
          <w:sz w:val="12"/>
          <w:szCs w:val="12"/>
          <w:b w:val="1"/>
          <w:bCs w:val="1"/>
          <w:color w:val="auto"/>
        </w:rPr>
        <w:t xml:space="preserve"> HAS BEEN FULLY DISCUSSED BY EACH</w:t>
      </w:r>
    </w:p>
    <w:p>
      <w:pPr>
        <w:spacing w:after="0" w:line="1" w:lineRule="exact"/>
        <w:rPr>
          <w:sz w:val="20"/>
          <w:szCs w:val="20"/>
          <w:color w:val="auto"/>
        </w:rPr>
      </w:pPr>
    </w:p>
    <w:p>
      <w:pPr>
        <w:jc w:val="both"/>
        <w:ind w:left="420"/>
        <w:spacing w:after="0" w:line="264" w:lineRule="auto"/>
        <w:rPr>
          <w:sz w:val="20"/>
          <w:szCs w:val="20"/>
          <w:color w:val="auto"/>
        </w:rPr>
      </w:pPr>
      <w:r>
        <w:rPr>
          <w:rFonts w:ascii="Arial" w:cs="Arial" w:eastAsia="Arial" w:hAnsi="Arial"/>
          <w:sz w:val="12"/>
          <w:szCs w:val="12"/>
          <w:b w:val="1"/>
          <w:bCs w:val="1"/>
          <w:color w:val="auto"/>
        </w:rPr>
        <w:t xml:space="preserve">OF THE </w:t>
      </w:r>
      <w:r>
        <w:rPr>
          <w:rFonts w:ascii="Arial" w:cs="Arial" w:eastAsia="Arial" w:hAnsi="Arial"/>
          <w:sz w:val="17"/>
          <w:szCs w:val="17"/>
          <w:b w:val="1"/>
          <w:bCs w:val="1"/>
          <w:color w:val="auto"/>
        </w:rPr>
        <w:t>P</w:t>
      </w:r>
      <w:r>
        <w:rPr>
          <w:rFonts w:ascii="Arial" w:cs="Arial" w:eastAsia="Arial" w:hAnsi="Arial"/>
          <w:sz w:val="12"/>
          <w:szCs w:val="12"/>
          <w:b w:val="1"/>
          <w:bCs w:val="1"/>
          <w:color w:val="auto"/>
        </w:rPr>
        <w:t>ARTIES AND THESE PROVISIONS WILL NOT BE SUBJECT TO ANY EXCEPTIONS</w:t>
      </w:r>
      <w:r>
        <w:rPr>
          <w:rFonts w:ascii="Arial" w:cs="Arial" w:eastAsia="Arial" w:hAnsi="Arial"/>
          <w:sz w:val="17"/>
          <w:szCs w:val="17"/>
          <w:b w:val="1"/>
          <w:bCs w:val="1"/>
          <w:color w:val="auto"/>
        </w:rPr>
        <w:t>. E</w:t>
      </w:r>
      <w:r>
        <w:rPr>
          <w:rFonts w:ascii="Arial" w:cs="Arial" w:eastAsia="Arial" w:hAnsi="Arial"/>
          <w:sz w:val="12"/>
          <w:szCs w:val="12"/>
          <w:b w:val="1"/>
          <w:bCs w:val="1"/>
          <w:color w:val="auto"/>
        </w:rPr>
        <w:t xml:space="preserve">ACH </w:t>
      </w:r>
      <w:r>
        <w:rPr>
          <w:rFonts w:ascii="Arial" w:cs="Arial" w:eastAsia="Arial" w:hAnsi="Arial"/>
          <w:sz w:val="17"/>
          <w:szCs w:val="17"/>
          <w:b w:val="1"/>
          <w:bCs w:val="1"/>
          <w:color w:val="auto"/>
        </w:rPr>
        <w:t>P</w:t>
      </w:r>
      <w:r>
        <w:rPr>
          <w:rFonts w:ascii="Arial" w:cs="Arial" w:eastAsia="Arial" w:hAnsi="Arial"/>
          <w:sz w:val="12"/>
          <w:szCs w:val="12"/>
          <w:b w:val="1"/>
          <w:bCs w:val="1"/>
          <w:color w:val="auto"/>
        </w:rPr>
        <w:t>ARTY FURTHER WARRANTS AND REPRESENTS THAT IT HAS REVIEWED THIS WAIVER WITH ITS LEGAL COUNSEL</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AND THAT SUCH </w:t>
      </w:r>
      <w:r>
        <w:rPr>
          <w:rFonts w:ascii="Arial" w:cs="Arial" w:eastAsia="Arial" w:hAnsi="Arial"/>
          <w:sz w:val="17"/>
          <w:szCs w:val="17"/>
          <w:b w:val="1"/>
          <w:bCs w:val="1"/>
          <w:color w:val="auto"/>
        </w:rPr>
        <w:t>P</w:t>
      </w:r>
      <w:r>
        <w:rPr>
          <w:rFonts w:ascii="Arial" w:cs="Arial" w:eastAsia="Arial" w:hAnsi="Arial"/>
          <w:sz w:val="12"/>
          <w:szCs w:val="12"/>
          <w:b w:val="1"/>
          <w:bCs w:val="1"/>
          <w:color w:val="auto"/>
        </w:rPr>
        <w:t>ARTY KNOWINGLY AND VOLUNTARILY WAIVES ITS JURY TRIAL RIGHTS FOLLOWING CONSULTATION WITH LEGAL COUNSEL</w:t>
      </w:r>
      <w:r>
        <w:rPr>
          <w:rFonts w:ascii="Arial" w:cs="Arial" w:eastAsia="Arial" w:hAnsi="Arial"/>
          <w:sz w:val="17"/>
          <w:szCs w:val="17"/>
          <w:b w:val="1"/>
          <w:bCs w:val="1"/>
          <w:color w:val="auto"/>
        </w:rPr>
        <w:t>.</w:t>
      </w:r>
    </w:p>
    <w:p>
      <w:pPr>
        <w:spacing w:after="0" w:line="178" w:lineRule="exact"/>
        <w:rPr>
          <w:sz w:val="20"/>
          <w:szCs w:val="20"/>
          <w:color w:val="auto"/>
        </w:rPr>
      </w:pPr>
    </w:p>
    <w:p>
      <w:pPr>
        <w:ind w:left="4040"/>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373"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33655</wp:posOffset>
            </wp:positionV>
            <wp:extent cx="713676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820"/>
          </w:cols>
          <w:pgMar w:left="74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I</w:t>
      </w:r>
      <w:r>
        <w:rPr>
          <w:rFonts w:ascii="Arial" w:cs="Arial" w:eastAsia="Arial" w:hAnsi="Arial"/>
          <w:sz w:val="11"/>
          <w:szCs w:val="11"/>
          <w:color w:val="auto"/>
        </w:rPr>
        <w:t>N</w:t>
      </w:r>
      <w:r>
        <w:rPr>
          <w:rFonts w:ascii="Arial" w:cs="Arial" w:eastAsia="Arial" w:hAnsi="Arial"/>
          <w:sz w:val="17"/>
          <w:szCs w:val="17"/>
          <w:color w:val="auto"/>
        </w:rPr>
        <w:t xml:space="preserve"> W</w:t>
      </w:r>
      <w:r>
        <w:rPr>
          <w:rFonts w:ascii="Arial" w:cs="Arial" w:eastAsia="Arial" w:hAnsi="Arial"/>
          <w:sz w:val="11"/>
          <w:szCs w:val="11"/>
          <w:color w:val="auto"/>
        </w:rPr>
        <w:t>ITNESS</w:t>
      </w:r>
      <w:r>
        <w:rPr>
          <w:rFonts w:ascii="Arial" w:cs="Arial" w:eastAsia="Arial" w:hAnsi="Arial"/>
          <w:sz w:val="17"/>
          <w:szCs w:val="17"/>
          <w:color w:val="auto"/>
        </w:rPr>
        <w:t xml:space="preserve"> W</w:t>
      </w:r>
      <w:r>
        <w:rPr>
          <w:rFonts w:ascii="Arial" w:cs="Arial" w:eastAsia="Arial" w:hAnsi="Arial"/>
          <w:sz w:val="11"/>
          <w:szCs w:val="11"/>
          <w:color w:val="auto"/>
        </w:rPr>
        <w:t>HEREOF</w:t>
      </w:r>
      <w:r>
        <w:rPr>
          <w:rFonts w:ascii="Arial" w:cs="Arial" w:eastAsia="Arial" w:hAnsi="Arial"/>
          <w:sz w:val="17"/>
          <w:szCs w:val="17"/>
          <w:color w:val="auto"/>
        </w:rPr>
        <w:t>, the Parties have executed this Amendment as of July 29, 2020.</w:t>
      </w:r>
    </w:p>
    <w:p>
      <w:pPr>
        <w:spacing w:after="0" w:line="22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ACM R</w:t>
      </w:r>
      <w:r>
        <w:rPr>
          <w:rFonts w:ascii="Arial" w:cs="Arial" w:eastAsia="Arial" w:hAnsi="Arial"/>
          <w:sz w:val="11"/>
          <w:szCs w:val="11"/>
          <w:color w:val="auto"/>
        </w:rPr>
        <w:t>ESEARCH</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w:t>
      </w:r>
    </w:p>
    <w:p>
      <w:pPr>
        <w:spacing w:after="0" w:line="22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By: /s/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33020</wp:posOffset>
            </wp:positionV>
            <wp:extent cx="3348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3348990" cy="8255"/>
                    </a:xfrm>
                    <a:prstGeom prst="rect">
                      <a:avLst/>
                    </a:prstGeom>
                    <a:noFill/>
                  </pic:spPr>
                </pic:pic>
              </a:graphicData>
            </a:graphic>
          </wp:anchor>
        </w:drawing>
      </w:r>
    </w:p>
    <w:p>
      <w:pPr>
        <w:spacing w:after="0" w:line="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Name: Hui Wang</w:t>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Title: CEO</w:t>
      </w:r>
    </w:p>
    <w:p>
      <w:pPr>
        <w:spacing w:after="0" w:line="210" w:lineRule="exact"/>
        <w:rPr>
          <w:sz w:val="20"/>
          <w:szCs w:val="20"/>
          <w:color w:val="auto"/>
        </w:rPr>
      </w:pPr>
    </w:p>
    <w:p>
      <w:pPr>
        <w:ind w:left="5220"/>
        <w:spacing w:after="0"/>
        <w:tabs>
          <w:tab w:leader="none" w:pos="6100" w:val="left"/>
        </w:tabs>
        <w:rPr>
          <w:sz w:val="20"/>
          <w:szCs w:val="20"/>
          <w:color w:val="auto"/>
        </w:rPr>
      </w:pPr>
      <w:r>
        <w:rPr>
          <w:rFonts w:ascii="Arial" w:cs="Arial" w:eastAsia="Arial" w:hAnsi="Arial"/>
          <w:sz w:val="17"/>
          <w:szCs w:val="17"/>
          <w:i w:val="1"/>
          <w:iCs w:val="1"/>
          <w:color w:val="auto"/>
        </w:rPr>
        <w:t>Address:</w:t>
      </w:r>
      <w:r>
        <w:rPr>
          <w:sz w:val="20"/>
          <w:szCs w:val="20"/>
          <w:color w:val="auto"/>
        </w:rPr>
        <w:tab/>
      </w:r>
      <w:r>
        <w:rPr>
          <w:rFonts w:ascii="Arial" w:cs="Arial" w:eastAsia="Arial" w:hAnsi="Arial"/>
          <w:sz w:val="17"/>
          <w:szCs w:val="17"/>
          <w:color w:val="auto"/>
        </w:rPr>
        <w:t>42307 Osgood Road, Suite I</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Fremont, CA 94539</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United States of America</w:t>
      </w:r>
    </w:p>
    <w:p>
      <w:pPr>
        <w:spacing w:after="0" w:line="2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HENGXIN</w:t>
      </w:r>
      <w:r>
        <w:rPr>
          <w:rFonts w:ascii="Arial" w:cs="Arial" w:eastAsia="Arial" w:hAnsi="Arial"/>
          <w:sz w:val="17"/>
          <w:szCs w:val="17"/>
          <w:color w:val="auto"/>
        </w:rPr>
        <w:t xml:space="preserve"> (S</w:t>
      </w:r>
      <w:r>
        <w:rPr>
          <w:rFonts w:ascii="Arial" w:cs="Arial" w:eastAsia="Arial" w:hAnsi="Arial"/>
          <w:sz w:val="11"/>
          <w:szCs w:val="11"/>
          <w:color w:val="auto"/>
        </w:rPr>
        <w:t>HANGHAI</w:t>
      </w:r>
      <w:r>
        <w:rPr>
          <w:rFonts w:ascii="Arial" w:cs="Arial" w:eastAsia="Arial" w:hAnsi="Arial"/>
          <w:sz w:val="17"/>
          <w:szCs w:val="17"/>
          <w:color w:val="auto"/>
        </w:rPr>
        <w:t>) M</w:t>
      </w:r>
      <w:r>
        <w:rPr>
          <w:rFonts w:ascii="Arial" w:cs="Arial" w:eastAsia="Arial" w:hAnsi="Arial"/>
          <w:sz w:val="11"/>
          <w:szCs w:val="11"/>
          <w:color w:val="auto"/>
        </w:rPr>
        <w:t>ANAGEMENT</w:t>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ONSULTING</w:t>
      </w:r>
      <w:r>
        <w:rPr>
          <w:rFonts w:ascii="Arial" w:cs="Arial" w:eastAsia="Arial" w:hAnsi="Arial"/>
          <w:sz w:val="17"/>
          <w:szCs w:val="17"/>
          <w:color w:val="auto"/>
        </w:rPr>
        <w:t xml:space="preserve"> L</w:t>
      </w:r>
      <w:r>
        <w:rPr>
          <w:rFonts w:ascii="Arial" w:cs="Arial" w:eastAsia="Arial" w:hAnsi="Arial"/>
          <w:sz w:val="11"/>
          <w:szCs w:val="11"/>
          <w:color w:val="auto"/>
        </w:rPr>
        <w:t>IMITED</w:t>
      </w:r>
      <w:r>
        <w:rPr>
          <w:rFonts w:ascii="Arial" w:cs="Arial" w:eastAsia="Arial" w:hAnsi="Arial"/>
          <w:sz w:val="17"/>
          <w:szCs w:val="17"/>
          <w:color w:val="auto"/>
        </w:rPr>
        <w:t xml:space="preserve"> P</w:t>
      </w:r>
      <w:r>
        <w:rPr>
          <w:rFonts w:ascii="Arial" w:cs="Arial" w:eastAsia="Arial" w:hAnsi="Arial"/>
          <w:sz w:val="11"/>
          <w:szCs w:val="11"/>
          <w:color w:val="auto"/>
        </w:rPr>
        <w:t>ARTNERSHIP</w:t>
      </w:r>
    </w:p>
    <w:p>
      <w:pPr>
        <w:spacing w:after="0" w:line="2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By: /s/ Steven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24765</wp:posOffset>
            </wp:positionV>
            <wp:extent cx="3348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3348990" cy="8255"/>
                    </a:xfrm>
                    <a:prstGeom prst="rect">
                      <a:avLst/>
                    </a:prstGeom>
                    <a:noFill/>
                  </pic:spPr>
                </pic:pic>
              </a:graphicData>
            </a:graphic>
          </wp:anchor>
        </w:drawing>
      </w:r>
    </w:p>
    <w:p>
      <w:pPr>
        <w:spacing w:after="0" w:line="1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Title:</w:t>
      </w:r>
    </w:p>
    <w:p>
      <w:pPr>
        <w:spacing w:after="0" w:line="99" w:lineRule="exact"/>
        <w:rPr>
          <w:sz w:val="20"/>
          <w:szCs w:val="20"/>
          <w:color w:val="auto"/>
        </w:rPr>
      </w:pPr>
    </w:p>
    <w:p>
      <w:pPr>
        <w:jc w:val="both"/>
        <w:ind w:left="5220"/>
        <w:spacing w:after="0"/>
        <w:tabs>
          <w:tab w:leader="none" w:pos="6100" w:val="left"/>
        </w:tabs>
        <w:rPr>
          <w:sz w:val="20"/>
          <w:szCs w:val="20"/>
          <w:color w:val="auto"/>
        </w:rPr>
      </w:pPr>
      <w:r>
        <w:rPr>
          <w:rFonts w:ascii="Arial" w:cs="Arial" w:eastAsia="Arial" w:hAnsi="Arial"/>
          <w:sz w:val="17"/>
          <w:szCs w:val="17"/>
          <w:i w:val="1"/>
          <w:iCs w:val="1"/>
          <w:color w:val="auto"/>
        </w:rPr>
        <w:t>Address:</w:t>
      </w:r>
      <w:r>
        <w:rPr>
          <w:sz w:val="20"/>
          <w:szCs w:val="20"/>
          <w:color w:val="auto"/>
        </w:rPr>
        <w:tab/>
      </w:r>
      <w:r>
        <w:rPr>
          <w:rFonts w:ascii="Arial" w:cs="Arial" w:eastAsia="Arial" w:hAnsi="Arial"/>
          <w:sz w:val="17"/>
          <w:szCs w:val="17"/>
          <w:color w:val="auto"/>
        </w:rPr>
        <w:t>Rm. 210-32, 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Fl. Building 1</w:t>
      </w:r>
    </w:p>
    <w:p>
      <w:pPr>
        <w:ind w:left="6120"/>
        <w:spacing w:after="0"/>
        <w:rPr>
          <w:sz w:val="20"/>
          <w:szCs w:val="20"/>
          <w:color w:val="auto"/>
        </w:rPr>
      </w:pPr>
      <w:r>
        <w:rPr>
          <w:rFonts w:ascii="Arial" w:cs="Arial" w:eastAsia="Arial" w:hAnsi="Arial"/>
          <w:sz w:val="17"/>
          <w:szCs w:val="17"/>
          <w:color w:val="auto"/>
        </w:rPr>
        <w:t>38 Debao Rd.</w:t>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Pilot Free Trade Zone</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Shanghai, China</w:t>
      </w: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67310</wp:posOffset>
            </wp:positionV>
            <wp:extent cx="713676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9719"/>
          </w:cols>
          <w:pgMar w:left="740" w:top="127"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10.22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Adoption Agreement</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Adoption Agreement (this “</w:t>
      </w:r>
      <w:r>
        <w:rPr>
          <w:rFonts w:ascii="Arial" w:cs="Arial" w:eastAsia="Arial" w:hAnsi="Arial"/>
          <w:sz w:val="17"/>
          <w:szCs w:val="17"/>
          <w:i w:val="1"/>
          <w:iCs w:val="1"/>
          <w:color w:val="auto"/>
        </w:rPr>
        <w:t>Adoption Agreement</w:t>
      </w:r>
      <w:r>
        <w:rPr>
          <w:rFonts w:ascii="Arial" w:cs="Arial" w:eastAsia="Arial" w:hAnsi="Arial"/>
          <w:sz w:val="17"/>
          <w:szCs w:val="17"/>
          <w:color w:val="auto"/>
        </w:rPr>
        <w:t>”) is executed on July 29, 2020, by the undersigned (“</w:t>
      </w:r>
      <w:r>
        <w:rPr>
          <w:rFonts w:ascii="Arial" w:cs="Arial" w:eastAsia="Arial" w:hAnsi="Arial"/>
          <w:sz w:val="17"/>
          <w:szCs w:val="17"/>
          <w:i w:val="1"/>
          <w:iCs w:val="1"/>
          <w:color w:val="auto"/>
        </w:rPr>
        <w:t>Acquirer</w:t>
      </w:r>
      <w:r>
        <w:rPr>
          <w:rFonts w:ascii="Arial" w:cs="Arial" w:eastAsia="Arial" w:hAnsi="Arial"/>
          <w:sz w:val="17"/>
          <w:szCs w:val="17"/>
          <w:color w:val="auto"/>
        </w:rPr>
        <w:t>”) pursuant to the terms of the Second Amended and Restated Registration Rights Agreement dated as of March 17, 2017 (as further amended or restated from time to time, the “</w:t>
      </w:r>
      <w:r>
        <w:rPr>
          <w:rFonts w:ascii="Arial" w:cs="Arial" w:eastAsia="Arial" w:hAnsi="Arial"/>
          <w:sz w:val="17"/>
          <w:szCs w:val="17"/>
          <w:i w:val="1"/>
          <w:iCs w:val="1"/>
          <w:color w:val="auto"/>
        </w:rPr>
        <w:t>Agreement</w:t>
      </w:r>
      <w:r>
        <w:rPr>
          <w:rFonts w:ascii="Arial" w:cs="Arial" w:eastAsia="Arial" w:hAnsi="Arial"/>
          <w:sz w:val="17"/>
          <w:szCs w:val="17"/>
          <w:color w:val="auto"/>
        </w:rPr>
        <w:t>”), by and among ACM Research, Inc. and certain of its security holders. Capitalized terms used but not defined in this Adoption Agreement shall have the respective meanings ascribed to them in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By the execution of this Adoption Agreement, Acquirer agrees as follows.</w:t>
      </w:r>
    </w:p>
    <w:p>
      <w:pPr>
        <w:spacing w:after="0" w:line="222" w:lineRule="exact"/>
        <w:rPr>
          <w:sz w:val="20"/>
          <w:szCs w:val="20"/>
          <w:color w:val="auto"/>
        </w:rPr>
      </w:pPr>
    </w:p>
    <w:p>
      <w:pPr>
        <w:jc w:val="both"/>
        <w:ind w:left="320" w:hanging="316"/>
        <w:spacing w:after="0" w:line="266"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Acknowledgement</w:t>
      </w:r>
      <w:r>
        <w:rPr>
          <w:rFonts w:ascii="Arial" w:cs="Arial" w:eastAsia="Arial" w:hAnsi="Arial"/>
          <w:sz w:val="17"/>
          <w:szCs w:val="17"/>
          <w:color w:val="auto"/>
        </w:rPr>
        <w:t xml:space="preserve">. Acquirer acknowledges that, as the result of its receipt on the date hereof of a Warrant to Purchase Class A Common Stock of the Company it has the right to acquire Registrable Securities, consisting of 242,681 Class A Shares acquirable upon exercise of such Warrant, as a holder of securities of the Company in accordance with </w:t>
      </w:r>
      <w:r>
        <w:rPr>
          <w:rFonts w:ascii="Arial" w:cs="Arial" w:eastAsia="Arial" w:hAnsi="Arial"/>
          <w:sz w:val="17"/>
          <w:szCs w:val="17"/>
          <w:u w:val="single" w:color="auto"/>
          <w:color w:val="auto"/>
        </w:rPr>
        <w:t>Section 12(b)(iii)</w:t>
      </w:r>
      <w:r>
        <w:rPr>
          <w:rFonts w:ascii="Arial" w:cs="Arial" w:eastAsia="Arial" w:hAnsi="Arial"/>
          <w:sz w:val="17"/>
          <w:szCs w:val="17"/>
          <w:color w:val="auto"/>
        </w:rPr>
        <w:t xml:space="preserve"> of the Agreement, after which Acquirer shall be considered an “Incidental Rights Holder” for all purposes of the Agreement.</w:t>
      </w:r>
    </w:p>
    <w:p>
      <w:pPr>
        <w:spacing w:after="0" w:line="177" w:lineRule="exact"/>
        <w:rPr>
          <w:rFonts w:ascii="Arial" w:cs="Arial" w:eastAsia="Arial" w:hAnsi="Arial"/>
          <w:sz w:val="17"/>
          <w:szCs w:val="17"/>
          <w:color w:val="auto"/>
        </w:rPr>
      </w:pPr>
    </w:p>
    <w:p>
      <w:pPr>
        <w:ind w:left="320" w:hanging="316"/>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Acquirer adopts the Agreement with the same force and effect as if Acquirer were originally a party to the Agreement.</w:t>
      </w:r>
    </w:p>
    <w:p>
      <w:pPr>
        <w:spacing w:after="0" w:line="222" w:lineRule="exact"/>
        <w:rPr>
          <w:rFonts w:ascii="Arial" w:cs="Arial" w:eastAsia="Arial" w:hAnsi="Arial"/>
          <w:sz w:val="17"/>
          <w:szCs w:val="17"/>
          <w:color w:val="auto"/>
        </w:rPr>
      </w:pPr>
    </w:p>
    <w:p>
      <w:pPr>
        <w:ind w:left="320" w:hanging="316"/>
        <w:spacing w:after="0" w:line="287"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Conflicts</w:t>
      </w:r>
      <w:r>
        <w:rPr>
          <w:rFonts w:ascii="Arial" w:cs="Arial" w:eastAsia="Arial" w:hAnsi="Arial"/>
          <w:sz w:val="17"/>
          <w:szCs w:val="17"/>
          <w:color w:val="auto"/>
        </w:rPr>
        <w:t>. In the event that the terms of the Agreement conflict with any other agreement pursuant to which Acquirer is bound, Acquirer expressly acknowledges and agrees that the terms of the Agreement shall govern.</w:t>
      </w:r>
    </w:p>
    <w:p>
      <w:pPr>
        <w:spacing w:after="0" w:line="159" w:lineRule="exact"/>
        <w:rPr>
          <w:rFonts w:ascii="Arial" w:cs="Arial" w:eastAsia="Arial" w:hAnsi="Arial"/>
          <w:sz w:val="17"/>
          <w:szCs w:val="17"/>
          <w:color w:val="auto"/>
        </w:rPr>
      </w:pPr>
    </w:p>
    <w:p>
      <w:pPr>
        <w:ind w:left="320" w:hanging="316"/>
        <w:spacing w:after="0" w:line="287"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by the Agreement shall be given to Acquirer at the address or email address listed below Acquirer’s signature to this Adoption Agreement.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20" w:type="dxa"/>
            <w:vAlign w:val="bottom"/>
            <w:gridSpan w:val="6"/>
          </w:tcPr>
          <w:p>
            <w:pPr>
              <w:spacing w:after="0"/>
              <w:rPr>
                <w:sz w:val="20"/>
                <w:szCs w:val="20"/>
                <w:color w:val="auto"/>
              </w:rPr>
            </w:pPr>
            <w:r>
              <w:rPr>
                <w:rFonts w:ascii="Arial" w:cs="Arial" w:eastAsia="Arial" w:hAnsi="Arial"/>
                <w:sz w:val="17"/>
                <w:szCs w:val="17"/>
                <w:b w:val="1"/>
                <w:bCs w:val="1"/>
                <w:color w:val="auto"/>
              </w:rPr>
              <w:t>ACQUIRER:</w:t>
            </w:r>
          </w:p>
        </w:tc>
        <w:tc>
          <w:tcPr>
            <w:tcW w:w="20" w:type="dxa"/>
            <w:vAlign w:val="bottom"/>
          </w:tcPr>
          <w:p>
            <w:pPr>
              <w:spacing w:after="0"/>
              <w:rPr>
                <w:sz w:val="19"/>
                <w:szCs w:val="19"/>
                <w:color w:val="auto"/>
              </w:rPr>
            </w:pPr>
          </w:p>
        </w:tc>
        <w:tc>
          <w:tcPr>
            <w:tcW w:w="8800" w:type="dxa"/>
            <w:vAlign w:val="bottom"/>
            <w:gridSpan w:val="3"/>
          </w:tcPr>
          <w:p>
            <w:pPr>
              <w:ind w:left="3180"/>
              <w:spacing w:after="0"/>
              <w:rPr>
                <w:sz w:val="20"/>
                <w:szCs w:val="20"/>
                <w:color w:val="auto"/>
              </w:rPr>
            </w:pPr>
            <w:r>
              <w:rPr>
                <w:rFonts w:ascii="Arial" w:cs="Arial" w:eastAsia="Arial" w:hAnsi="Arial"/>
                <w:sz w:val="17"/>
                <w:szCs w:val="17"/>
                <w:color w:val="auto"/>
              </w:rPr>
              <w:t>ACCEPTED AND AGREED:</w:t>
            </w:r>
          </w:p>
        </w:tc>
      </w:tr>
      <w:tr>
        <w:trPr>
          <w:trHeight w:val="406"/>
        </w:trPr>
        <w:tc>
          <w:tcPr>
            <w:tcW w:w="2420" w:type="dxa"/>
            <w:vAlign w:val="bottom"/>
            <w:gridSpan w:val="6"/>
          </w:tcPr>
          <w:p>
            <w:pP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HENGXIN</w:t>
            </w:r>
            <w:r>
              <w:rPr>
                <w:rFonts w:ascii="Arial" w:cs="Arial" w:eastAsia="Arial" w:hAnsi="Arial"/>
                <w:sz w:val="17"/>
                <w:szCs w:val="17"/>
                <w:color w:val="auto"/>
              </w:rPr>
              <w:t xml:space="preserve"> (S</w:t>
            </w:r>
            <w:r>
              <w:rPr>
                <w:rFonts w:ascii="Arial" w:cs="Arial" w:eastAsia="Arial" w:hAnsi="Arial"/>
                <w:sz w:val="11"/>
                <w:szCs w:val="11"/>
                <w:color w:val="auto"/>
              </w:rPr>
              <w:t>HANGHAI</w:t>
            </w:r>
            <w:r>
              <w:rPr>
                <w:rFonts w:ascii="Arial" w:cs="Arial" w:eastAsia="Arial" w:hAnsi="Arial"/>
                <w:sz w:val="17"/>
                <w:szCs w:val="17"/>
                <w:color w:val="auto"/>
              </w:rPr>
              <w:t>) M</w:t>
            </w:r>
            <w:r>
              <w:rPr>
                <w:rFonts w:ascii="Arial" w:cs="Arial" w:eastAsia="Arial" w:hAnsi="Arial"/>
                <w:sz w:val="11"/>
                <w:szCs w:val="11"/>
                <w:color w:val="auto"/>
              </w:rPr>
              <w:t>ANAGEMENT</w:t>
            </w:r>
          </w:p>
        </w:tc>
        <w:tc>
          <w:tcPr>
            <w:tcW w:w="20" w:type="dxa"/>
            <w:vAlign w:val="bottom"/>
          </w:tcPr>
          <w:p>
            <w:pPr>
              <w:spacing w:after="0"/>
              <w:rPr>
                <w:sz w:val="24"/>
                <w:szCs w:val="24"/>
                <w:color w:val="auto"/>
              </w:rPr>
            </w:pPr>
          </w:p>
        </w:tc>
        <w:tc>
          <w:tcPr>
            <w:tcW w:w="8800" w:type="dxa"/>
            <w:vAlign w:val="bottom"/>
            <w:gridSpan w:val="3"/>
          </w:tcPr>
          <w:p>
            <w:pPr>
              <w:ind w:left="3180"/>
              <w:spacing w:after="0"/>
              <w:rPr>
                <w:sz w:val="20"/>
                <w:szCs w:val="20"/>
                <w:color w:val="auto"/>
              </w:rPr>
            </w:pPr>
            <w:r>
              <w:rPr>
                <w:rFonts w:ascii="Arial" w:cs="Arial" w:eastAsia="Arial" w:hAnsi="Arial"/>
                <w:sz w:val="17"/>
                <w:szCs w:val="17"/>
                <w:color w:val="auto"/>
              </w:rPr>
              <w:t>ACM R</w:t>
            </w:r>
            <w:r>
              <w:rPr>
                <w:rFonts w:ascii="Arial" w:cs="Arial" w:eastAsia="Arial" w:hAnsi="Arial"/>
                <w:sz w:val="11"/>
                <w:szCs w:val="11"/>
                <w:color w:val="auto"/>
              </w:rPr>
              <w:t>ESEARCH</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w:t>
            </w:r>
          </w:p>
        </w:tc>
      </w:tr>
      <w:tr>
        <w:trPr>
          <w:trHeight w:val="209"/>
        </w:trPr>
        <w:tc>
          <w:tcPr>
            <w:tcW w:w="2420" w:type="dxa"/>
            <w:vAlign w:val="bottom"/>
            <w:gridSpan w:val="6"/>
          </w:tcPr>
          <w:p>
            <w:pPr>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ONSULTING</w:t>
            </w:r>
            <w:r>
              <w:rPr>
                <w:rFonts w:ascii="Arial" w:cs="Arial" w:eastAsia="Arial" w:hAnsi="Arial"/>
                <w:sz w:val="17"/>
                <w:szCs w:val="17"/>
                <w:color w:val="auto"/>
              </w:rPr>
              <w:t xml:space="preserve"> L</w:t>
            </w:r>
            <w:r>
              <w:rPr>
                <w:rFonts w:ascii="Arial" w:cs="Arial" w:eastAsia="Arial" w:hAnsi="Arial"/>
                <w:sz w:val="11"/>
                <w:szCs w:val="11"/>
                <w:color w:val="auto"/>
              </w:rPr>
              <w:t>IMITED</w:t>
            </w:r>
            <w:r>
              <w:rPr>
                <w:rFonts w:ascii="Arial" w:cs="Arial" w:eastAsia="Arial" w:hAnsi="Arial"/>
                <w:sz w:val="17"/>
                <w:szCs w:val="17"/>
                <w:color w:val="auto"/>
              </w:rPr>
              <w:t xml:space="preserve"> P</w:t>
            </w:r>
            <w:r>
              <w:rPr>
                <w:rFonts w:ascii="Arial" w:cs="Arial" w:eastAsia="Arial" w:hAnsi="Arial"/>
                <w:sz w:val="11"/>
                <w:szCs w:val="11"/>
                <w:color w:val="auto"/>
              </w:rPr>
              <w:t>ARTNERSHIP</w:t>
            </w:r>
          </w:p>
        </w:tc>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1"/>
        </w:trPr>
        <w:tc>
          <w:tcPr>
            <w:tcW w:w="640" w:type="dxa"/>
            <w:vAlign w:val="bottom"/>
            <w:gridSpan w:val="3"/>
          </w:tcPr>
          <w:p>
            <w:pPr>
              <w:ind w:left="40"/>
              <w:spacing w:after="0"/>
              <w:rPr>
                <w:sz w:val="20"/>
                <w:szCs w:val="20"/>
                <w:color w:val="auto"/>
              </w:rPr>
            </w:pPr>
            <w:r>
              <w:rPr>
                <w:rFonts w:ascii="Arial" w:cs="Arial" w:eastAsia="Arial" w:hAnsi="Arial"/>
                <w:sz w:val="17"/>
                <w:szCs w:val="17"/>
                <w:color w:val="auto"/>
              </w:rPr>
              <w:t>By:</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20" w:type="dxa"/>
            <w:vAlign w:val="bottom"/>
            <w:gridSpan w:val="4"/>
          </w:tcPr>
          <w:p>
            <w:pPr>
              <w:ind w:left="20"/>
              <w:spacing w:after="0"/>
              <w:rPr>
                <w:sz w:val="20"/>
                <w:szCs w:val="20"/>
                <w:color w:val="auto"/>
              </w:rPr>
            </w:pPr>
            <w:r>
              <w:rPr>
                <w:rFonts w:ascii="Arial" w:cs="Arial" w:eastAsia="Arial" w:hAnsi="Arial"/>
                <w:sz w:val="17"/>
                <w:szCs w:val="17"/>
                <w:color w:val="auto"/>
              </w:rPr>
              <w:t>, General Partner</w:t>
            </w:r>
          </w:p>
        </w:tc>
      </w:tr>
      <w:tr>
        <w:trPr>
          <w:trHeight w:val="26"/>
        </w:trPr>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372"/>
        </w:trPr>
        <w:tc>
          <w:tcPr>
            <w:tcW w:w="2420" w:type="dxa"/>
            <w:vAlign w:val="bottom"/>
            <w:gridSpan w:val="6"/>
          </w:tcPr>
          <w:p>
            <w:pPr>
              <w:ind w:left="340"/>
              <w:spacing w:after="0"/>
              <w:rPr>
                <w:sz w:val="20"/>
                <w:szCs w:val="20"/>
                <w:color w:val="auto"/>
              </w:rPr>
            </w:pPr>
            <w:r>
              <w:rPr>
                <w:rFonts w:ascii="Arial" w:cs="Arial" w:eastAsia="Arial" w:hAnsi="Arial"/>
                <w:sz w:val="17"/>
                <w:szCs w:val="17"/>
                <w:color w:val="auto"/>
              </w:rPr>
              <w:t>By: /s/ Steven Huang</w:t>
            </w:r>
          </w:p>
        </w:tc>
        <w:tc>
          <w:tcPr>
            <w:tcW w:w="20" w:type="dxa"/>
            <w:vAlign w:val="bottom"/>
          </w:tcPr>
          <w:p>
            <w:pPr>
              <w:spacing w:after="0"/>
              <w:rPr>
                <w:sz w:val="24"/>
                <w:szCs w:val="24"/>
                <w:color w:val="auto"/>
              </w:rPr>
            </w:pPr>
          </w:p>
        </w:tc>
        <w:tc>
          <w:tcPr>
            <w:tcW w:w="8800" w:type="dxa"/>
            <w:vAlign w:val="bottom"/>
            <w:gridSpan w:val="3"/>
          </w:tcPr>
          <w:p>
            <w:pPr>
              <w:ind w:left="3200"/>
              <w:spacing w:after="0"/>
              <w:rPr>
                <w:sz w:val="20"/>
                <w:szCs w:val="20"/>
                <w:color w:val="auto"/>
              </w:rPr>
            </w:pPr>
            <w:r>
              <w:rPr>
                <w:rFonts w:ascii="Arial" w:cs="Arial" w:eastAsia="Arial" w:hAnsi="Arial"/>
                <w:sz w:val="17"/>
                <w:szCs w:val="17"/>
                <w:color w:val="auto"/>
              </w:rPr>
              <w:t>By: /s/ Hui Wang</w:t>
            </w: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Name: Hui Wang</w:t>
            </w:r>
          </w:p>
        </w:tc>
      </w:tr>
      <w:tr>
        <w:trPr>
          <w:trHeight w:val="221"/>
        </w:trPr>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Title: CEO</w:t>
            </w:r>
          </w:p>
        </w:tc>
      </w:tr>
      <w:tr>
        <w:trPr>
          <w:trHeight w:val="406"/>
        </w:trPr>
        <w:tc>
          <w:tcPr>
            <w:tcW w:w="640" w:type="dxa"/>
            <w:vAlign w:val="bottom"/>
            <w:gridSpan w:val="3"/>
          </w:tcPr>
          <w:p>
            <w:pPr>
              <w:spacing w:after="0"/>
              <w:rPr>
                <w:sz w:val="20"/>
                <w:szCs w:val="20"/>
                <w:color w:val="auto"/>
              </w:rPr>
            </w:pPr>
            <w:r>
              <w:rPr>
                <w:rFonts w:ascii="Arial" w:cs="Arial" w:eastAsia="Arial" w:hAnsi="Arial"/>
                <w:sz w:val="17"/>
                <w:szCs w:val="17"/>
                <w:color w:val="auto"/>
                <w:w w:val="92"/>
              </w:rPr>
              <w:t>Address:</w:t>
            </w:r>
          </w:p>
        </w:tc>
        <w:tc>
          <w:tcPr>
            <w:tcW w:w="10600" w:type="dxa"/>
            <w:vAlign w:val="bottom"/>
            <w:gridSpan w:val="7"/>
          </w:tcPr>
          <w:p>
            <w:pPr>
              <w:ind w:left="340"/>
              <w:spacing w:after="0"/>
              <w:rPr>
                <w:sz w:val="20"/>
                <w:szCs w:val="20"/>
                <w:color w:val="auto"/>
              </w:rPr>
            </w:pPr>
            <w:r>
              <w:rPr>
                <w:rFonts w:ascii="Arial" w:cs="Arial" w:eastAsia="Arial" w:hAnsi="Arial"/>
                <w:sz w:val="17"/>
                <w:szCs w:val="17"/>
                <w:color w:val="auto"/>
              </w:rPr>
              <w:t>Rm. 210 32, 2nd FL. Building 1,</w:t>
            </w:r>
          </w:p>
        </w:tc>
      </w:tr>
      <w:tr>
        <w:trPr>
          <w:trHeight w:val="209"/>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0" w:type="dxa"/>
            <w:vAlign w:val="bottom"/>
            <w:gridSpan w:val="7"/>
          </w:tcPr>
          <w:p>
            <w:pPr>
              <w:ind w:left="340"/>
              <w:spacing w:after="0"/>
              <w:rPr>
                <w:sz w:val="20"/>
                <w:szCs w:val="20"/>
                <w:color w:val="auto"/>
              </w:rPr>
            </w:pPr>
            <w:r>
              <w:rPr>
                <w:rFonts w:ascii="Arial" w:cs="Arial" w:eastAsia="Arial" w:hAnsi="Arial"/>
                <w:sz w:val="17"/>
                <w:szCs w:val="17"/>
                <w:color w:val="auto"/>
              </w:rPr>
              <w:t>38 Debao Rd., Pilot Free Trade Zone</w:t>
            </w:r>
          </w:p>
        </w:tc>
      </w:tr>
      <w:tr>
        <w:trPr>
          <w:trHeight w:val="221"/>
        </w:trPr>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ind w:left="340"/>
              <w:spacing w:after="0"/>
              <w:rPr>
                <w:sz w:val="20"/>
                <w:szCs w:val="20"/>
                <w:color w:val="auto"/>
              </w:rPr>
            </w:pPr>
            <w:r>
              <w:rPr>
                <w:rFonts w:ascii="Arial" w:cs="Arial" w:eastAsia="Arial" w:hAnsi="Arial"/>
                <w:sz w:val="17"/>
                <w:szCs w:val="17"/>
                <w:color w:val="auto"/>
              </w:rPr>
              <w:t>Shanghai, China</w:t>
            </w: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18"/>
        </w:trPr>
        <w:tc>
          <w:tcPr>
            <w:tcW w:w="640" w:type="dxa"/>
            <w:vAlign w:val="bottom"/>
            <w:gridSpan w:val="3"/>
          </w:tcPr>
          <w:p>
            <w:pPr>
              <w:spacing w:after="0"/>
              <w:rPr>
                <w:sz w:val="20"/>
                <w:szCs w:val="20"/>
                <w:color w:val="auto"/>
              </w:rPr>
            </w:pPr>
            <w:r>
              <w:rPr>
                <w:rFonts w:ascii="Arial" w:cs="Arial" w:eastAsia="Arial" w:hAnsi="Arial"/>
                <w:sz w:val="17"/>
                <w:szCs w:val="17"/>
                <w:color w:val="auto"/>
              </w:rPr>
              <w:t>Email:</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Arial" w:cs="Arial" w:eastAsia="Arial" w:hAnsi="Arial"/>
                <w:sz w:val="17"/>
                <w:szCs w:val="17"/>
                <w:color w:val="auto"/>
              </w:rPr>
              <w:t>@acmrsch.com</w:t>
            </w:r>
          </w:p>
        </w:tc>
      </w:tr>
      <w:tr>
        <w:trPr>
          <w:trHeight w:val="26"/>
        </w:trPr>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312"/>
        </w:trPr>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31.01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David H. Wang, certify that:</w:t>
      </w:r>
    </w:p>
    <w:p>
      <w:pPr>
        <w:spacing w:after="0" w:line="222" w:lineRule="exact"/>
        <w:rPr>
          <w:sz w:val="20"/>
          <w:szCs w:val="20"/>
          <w:color w:val="auto"/>
        </w:rPr>
      </w:pPr>
    </w:p>
    <w:p>
      <w:pPr>
        <w:ind w:left="220" w:hanging="216"/>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ACM Research, Inc.</w:t>
      </w:r>
    </w:p>
    <w:p>
      <w:pPr>
        <w:spacing w:after="0" w:line="222" w:lineRule="exact"/>
        <w:rPr>
          <w:rFonts w:ascii="Arial" w:cs="Arial" w:eastAsia="Arial" w:hAnsi="Arial"/>
          <w:sz w:val="17"/>
          <w:szCs w:val="17"/>
          <w:color w:val="auto"/>
        </w:rPr>
      </w:pPr>
    </w:p>
    <w:p>
      <w:pPr>
        <w:ind w:right="120" w:firstLine="4"/>
        <w:spacing w:after="0" w:line="358" w:lineRule="auto"/>
        <w:tabs>
          <w:tab w:leader="none" w:pos="218"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1" w:lineRule="exact"/>
        <w:rPr>
          <w:rFonts w:ascii="Arial" w:cs="Arial" w:eastAsia="Arial" w:hAnsi="Arial"/>
          <w:sz w:val="15"/>
          <w:szCs w:val="15"/>
          <w:color w:val="auto"/>
        </w:rPr>
      </w:pPr>
    </w:p>
    <w:p>
      <w:pPr>
        <w:ind w:right="220" w:firstLine="4"/>
        <w:spacing w:after="0" w:line="287" w:lineRule="auto"/>
        <w:tabs>
          <w:tab w:leader="none" w:pos="218"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right="60" w:firstLine="4"/>
        <w:spacing w:after="0" w:line="272" w:lineRule="auto"/>
        <w:tabs>
          <w:tab w:leader="none" w:pos="21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640" w:hanging="9"/>
        <w:spacing w:after="0" w:line="272" w:lineRule="auto"/>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640" w:right="20" w:hanging="9"/>
        <w:spacing w:after="0" w:line="272" w:lineRule="auto"/>
        <w:tabs>
          <w:tab w:leader="none" w:pos="886"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ind w:left="640" w:right="40" w:hanging="9"/>
        <w:spacing w:after="0" w:line="287" w:lineRule="auto"/>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640" w:right="60" w:hanging="9"/>
        <w:spacing w:after="0" w:line="272" w:lineRule="auto"/>
        <w:tabs>
          <w:tab w:leader="none" w:pos="93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this quarterly report) that has materially affected, or is reasonably likely to materially affect, the registrant’s internal control over financial reporting.</w:t>
      </w:r>
    </w:p>
    <w:p>
      <w:pPr>
        <w:spacing w:after="0" w:line="170" w:lineRule="exact"/>
        <w:rPr>
          <w:rFonts w:ascii="Arial" w:cs="Arial" w:eastAsia="Arial" w:hAnsi="Arial"/>
          <w:sz w:val="17"/>
          <w:szCs w:val="17"/>
          <w:color w:val="auto"/>
        </w:rPr>
      </w:pPr>
    </w:p>
    <w:p>
      <w:pPr>
        <w:ind w:right="780" w:firstLine="4"/>
        <w:spacing w:after="0" w:line="320" w:lineRule="auto"/>
        <w:tabs>
          <w:tab w:leader="none" w:pos="21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20" w:hanging="9"/>
        <w:spacing w:after="0" w:line="287" w:lineRule="auto"/>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40" w:hanging="9"/>
        <w:spacing w:after="0" w:line="287" w:lineRule="auto"/>
        <w:tabs>
          <w:tab w:leader="none" w:pos="93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10, 2020</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16510</wp:posOffset>
            </wp:positionV>
            <wp:extent cx="356425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3564255" cy="16510"/>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David H. Wang</w:t>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 and President</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713676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31.02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Mark McKechnie, certify that:</w:t>
      </w:r>
    </w:p>
    <w:p>
      <w:pPr>
        <w:spacing w:after="0" w:line="222" w:lineRule="exact"/>
        <w:rPr>
          <w:sz w:val="20"/>
          <w:szCs w:val="20"/>
          <w:color w:val="auto"/>
        </w:rPr>
      </w:pPr>
    </w:p>
    <w:p>
      <w:pPr>
        <w:ind w:left="220" w:hanging="216"/>
        <w:spacing w:after="0"/>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ACM Research, Inc.</w:t>
      </w:r>
    </w:p>
    <w:p>
      <w:pPr>
        <w:spacing w:after="0" w:line="222" w:lineRule="exact"/>
        <w:rPr>
          <w:rFonts w:ascii="Arial" w:cs="Arial" w:eastAsia="Arial" w:hAnsi="Arial"/>
          <w:sz w:val="17"/>
          <w:szCs w:val="17"/>
          <w:color w:val="auto"/>
        </w:rPr>
      </w:pPr>
    </w:p>
    <w:p>
      <w:pPr>
        <w:ind w:right="120" w:firstLine="4"/>
        <w:spacing w:after="0" w:line="358" w:lineRule="auto"/>
        <w:tabs>
          <w:tab w:leader="none" w:pos="218"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1" w:lineRule="exact"/>
        <w:rPr>
          <w:rFonts w:ascii="Arial" w:cs="Arial" w:eastAsia="Arial" w:hAnsi="Arial"/>
          <w:sz w:val="15"/>
          <w:szCs w:val="15"/>
          <w:color w:val="auto"/>
        </w:rPr>
      </w:pPr>
    </w:p>
    <w:p>
      <w:pPr>
        <w:ind w:right="220" w:firstLine="4"/>
        <w:spacing w:after="0" w:line="287" w:lineRule="auto"/>
        <w:tabs>
          <w:tab w:leader="none" w:pos="218"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right="60" w:firstLine="4"/>
        <w:spacing w:after="0" w:line="272" w:lineRule="auto"/>
        <w:tabs>
          <w:tab w:leader="none" w:pos="21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640" w:hanging="9"/>
        <w:spacing w:after="0" w:line="272" w:lineRule="auto"/>
        <w:tabs>
          <w:tab w:leader="none" w:pos="9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640" w:right="440" w:hanging="9"/>
        <w:spacing w:after="0" w:line="272" w:lineRule="auto"/>
        <w:tabs>
          <w:tab w:leader="none" w:pos="93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ind w:left="640" w:right="40" w:hanging="9"/>
        <w:spacing w:after="0" w:line="287" w:lineRule="auto"/>
        <w:tabs>
          <w:tab w:leader="none" w:pos="9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640" w:right="60" w:hanging="9"/>
        <w:spacing w:after="0" w:line="272" w:lineRule="auto"/>
        <w:tabs>
          <w:tab w:leader="none" w:pos="93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this quarterly report) that has materially affected, or is reasonably likely to materially affect, the registrant’s internal control over financial reporting.</w:t>
      </w:r>
    </w:p>
    <w:p>
      <w:pPr>
        <w:spacing w:after="0" w:line="170" w:lineRule="exact"/>
        <w:rPr>
          <w:rFonts w:ascii="Arial" w:cs="Arial" w:eastAsia="Arial" w:hAnsi="Arial"/>
          <w:sz w:val="17"/>
          <w:szCs w:val="17"/>
          <w:color w:val="auto"/>
        </w:rPr>
      </w:pPr>
    </w:p>
    <w:p>
      <w:pPr>
        <w:ind w:right="780" w:firstLine="4"/>
        <w:spacing w:after="0" w:line="320" w:lineRule="auto"/>
        <w:tabs>
          <w:tab w:leader="none" w:pos="2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Arial" w:cs="Arial" w:eastAsia="Arial" w:hAnsi="Arial"/>
          <w:sz w:val="16"/>
          <w:szCs w:val="16"/>
          <w:color w:val="auto"/>
        </w:rPr>
      </w:pPr>
    </w:p>
    <w:p>
      <w:pPr>
        <w:ind w:left="640" w:right="420" w:hanging="9"/>
        <w:spacing w:after="0" w:line="287" w:lineRule="auto"/>
        <w:tabs>
          <w:tab w:leader="none" w:pos="9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40" w:hanging="9"/>
        <w:spacing w:after="0" w:line="287" w:lineRule="auto"/>
        <w:tabs>
          <w:tab w:leader="none" w:pos="93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10, 2020</w:t>
      </w:r>
      <w:r>
        <w:rPr>
          <w:sz w:val="20"/>
          <w:szCs w:val="20"/>
          <w:color w:val="auto"/>
        </w:rPr>
        <w:tab/>
      </w:r>
      <w:r>
        <w:rPr>
          <w:rFonts w:ascii="Arial" w:cs="Arial" w:eastAsia="Arial" w:hAnsi="Arial"/>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16510</wp:posOffset>
            </wp:positionV>
            <wp:extent cx="356425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3564255" cy="16510"/>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Mark McKechnie</w:t>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713676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32.01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1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connection with the Quarterly Report on Form 10-Q of ACM Research, Inc. for the quarterly period ended June 30, 2020,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71" w:lineRule="exact"/>
        <w:rPr>
          <w:sz w:val="20"/>
          <w:szCs w:val="20"/>
          <w:color w:val="auto"/>
        </w:rPr>
      </w:pPr>
    </w:p>
    <w:p>
      <w:pPr>
        <w:ind w:left="220" w:hanging="216"/>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2" w:lineRule="exact"/>
        <w:rPr>
          <w:rFonts w:ascii="Arial" w:cs="Arial" w:eastAsia="Arial" w:hAnsi="Arial"/>
          <w:sz w:val="17"/>
          <w:szCs w:val="17"/>
          <w:color w:val="auto"/>
        </w:rPr>
      </w:pPr>
    </w:p>
    <w:p>
      <w:pPr>
        <w:ind w:right="220" w:firstLine="4"/>
        <w:spacing w:after="0" w:line="287" w:lineRule="auto"/>
        <w:tabs>
          <w:tab w:leader="none" w:pos="21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ACM Research, Inc. for the period presented therein.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40" w:type="dxa"/>
            <w:vAlign w:val="bottom"/>
          </w:tcPr>
          <w:p>
            <w:pPr>
              <w:spacing w:after="0"/>
              <w:rPr>
                <w:sz w:val="20"/>
                <w:szCs w:val="20"/>
                <w:color w:val="auto"/>
              </w:rPr>
            </w:pPr>
            <w:r>
              <w:rPr>
                <w:rFonts w:ascii="Arial" w:cs="Arial" w:eastAsia="Arial" w:hAnsi="Arial"/>
                <w:sz w:val="17"/>
                <w:szCs w:val="17"/>
                <w:color w:val="auto"/>
              </w:rPr>
              <w:t>Date: August 10, 2020</w:t>
            </w:r>
          </w:p>
        </w:tc>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H. Wang</w:t>
            </w:r>
          </w:p>
        </w:tc>
      </w:tr>
      <w:tr>
        <w:trPr>
          <w:trHeight w:val="190"/>
        </w:trPr>
        <w:tc>
          <w:tcPr>
            <w:tcW w:w="564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Arial" w:cs="Arial" w:eastAsia="Arial" w:hAnsi="Arial"/>
                <w:sz w:val="17"/>
                <w:szCs w:val="17"/>
                <w:color w:val="auto"/>
              </w:rPr>
              <w:t>David H. Wang</w:t>
            </w:r>
          </w:p>
        </w:tc>
      </w:tr>
      <w:tr>
        <w:trPr>
          <w:trHeight w:val="209"/>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Chief Executive Officer and President</w:t>
            </w:r>
          </w:p>
        </w:tc>
      </w:tr>
      <w:tr>
        <w:trPr>
          <w:trHeight w:val="221"/>
        </w:trPr>
        <w:tc>
          <w:tcPr>
            <w:tcW w:w="56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7"/>
                <w:szCs w:val="17"/>
                <w:i w:val="1"/>
                <w:iCs w:val="1"/>
                <w:color w:val="auto"/>
              </w:rPr>
              <w:t>(Principal Executive Officer)</w:t>
            </w:r>
          </w:p>
        </w:tc>
      </w:tr>
      <w:tr>
        <w:trPr>
          <w:trHeight w:val="418"/>
        </w:trPr>
        <w:tc>
          <w:tcPr>
            <w:tcW w:w="5640" w:type="dxa"/>
            <w:vAlign w:val="bottom"/>
          </w:tcPr>
          <w:p>
            <w:pPr>
              <w:spacing w:after="0"/>
              <w:rPr>
                <w:sz w:val="20"/>
                <w:szCs w:val="20"/>
                <w:color w:val="auto"/>
              </w:rPr>
            </w:pPr>
            <w:r>
              <w:rPr>
                <w:rFonts w:ascii="Arial" w:cs="Arial" w:eastAsia="Arial" w:hAnsi="Arial"/>
                <w:sz w:val="17"/>
                <w:szCs w:val="17"/>
                <w:color w:val="auto"/>
              </w:rPr>
              <w:t>Date: August 10, 2020</w:t>
            </w:r>
          </w:p>
        </w:tc>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McKechnie</w:t>
            </w:r>
          </w:p>
        </w:tc>
      </w:tr>
      <w:tr>
        <w:trPr>
          <w:trHeight w:val="190"/>
        </w:trPr>
        <w:tc>
          <w:tcPr>
            <w:tcW w:w="564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Arial" w:cs="Arial" w:eastAsia="Arial" w:hAnsi="Arial"/>
                <w:sz w:val="17"/>
                <w:szCs w:val="17"/>
                <w:color w:val="auto"/>
              </w:rPr>
              <w:t>Mark McKechnie</w:t>
            </w:r>
          </w:p>
        </w:tc>
      </w:tr>
      <w:tr>
        <w:trPr>
          <w:trHeight w:val="209"/>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Chief Financial Officer, Executive Vice President and Treasurer</w:t>
            </w:r>
          </w:p>
        </w:tc>
      </w:tr>
      <w:tr>
        <w:trPr>
          <w:trHeight w:val="221"/>
        </w:trPr>
        <w:tc>
          <w:tcPr>
            <w:tcW w:w="56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307975</wp:posOffset>
            </wp:positionV>
            <wp:extent cx="713676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sectPr>
      <w:pgSz w:w="11900" w:h="16838" w:orient="portrait"/>
      <w:cols w:equalWidth="0" w:num="1">
        <w:col w:w="11240"/>
      </w:cols>
      <w:pgMar w:left="320" w:top="2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lowerRoman"/>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0">
    <w:nsid w:val="6A2342EC"/>
    <w:multiLevelType w:val="hybridMultilevel"/>
    <w:lvl w:ilvl="0">
      <w:lvlJc w:val="left"/>
      <w:lvlText w:val="%1"/>
      <w:numFmt w:val="lowerLetter"/>
      <w:start w:val="1"/>
    </w:lvl>
    <w:lvl w:ilvl="1">
      <w:lvlJc w:val="left"/>
      <w:lvlText w:val="(%2)"/>
      <w:numFmt w:val="lowerLetter"/>
      <w:start w:val="35"/>
    </w:lvl>
  </w:abstractNum>
  <w:abstractNum w:abstractNumId="31">
    <w:nsid w:val="2A487CB0"/>
    <w:multiLevelType w:val="hybridMultilevel"/>
    <w:lvl w:ilvl="0">
      <w:lvlJc w:val="left"/>
      <w:lvlText w:val="(%1)"/>
      <w:numFmt w:val="lowerLetter"/>
      <w:start w:val="2"/>
    </w:lvl>
    <w:lvl w:ilvl="1">
      <w:lvlJc w:val="left"/>
      <w:lvlText w:val="(%2)"/>
      <w:numFmt w:val="lowerLetter"/>
      <w:start w:val="9"/>
    </w:lvl>
  </w:abstractNum>
  <w:abstractNum w:abstractNumId="32">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
    <w:nsid w:val="725A06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
    <w:nsid w:val="2CD89A32"/>
    <w:multiLevelType w:val="hybridMultilevel"/>
    <w:lvl w:ilvl="0">
      <w:lvlJc w:val="left"/>
      <w:lvlText w:val="(%1)"/>
      <w:numFmt w:val="lowerLetter"/>
      <w:start w:val="2"/>
    </w:lvl>
    <w:lvl w:ilvl="1">
      <w:lvlJc w:val="left"/>
      <w:lvlText w:val="(%2)"/>
      <w:numFmt w:val="lowerRoman"/>
      <w:start w:val="1"/>
    </w:lvl>
  </w:abstractNum>
  <w:abstractNum w:abstractNumId="35">
    <w:nsid w:val="57E4CC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
    <w:nsid w:val="7A6D8D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
    <w:nsid w:val="4B588F54"/>
    <w:multiLevelType w:val="hybridMultilevel"/>
    <w:lvl w:ilvl="0">
      <w:lvlJc w:val="left"/>
      <w:lvlText w:val="%1."/>
      <w:numFmt w:val="decimal"/>
      <w:start w:val="9"/>
    </w:lvl>
  </w:abstractNum>
  <w:abstractNum w:abstractNumId="38">
    <w:nsid w:val="542289EC"/>
    <w:multiLevelType w:val="hybridMultilevel"/>
    <w:lvl w:ilvl="0">
      <w:lvlJc w:val="left"/>
      <w:lvlText w:val="%1."/>
      <w:numFmt w:val="decimal"/>
      <w:start w:val="10"/>
    </w:lvl>
    <w:lvl w:ilvl="1">
      <w:lvlJc w:val="left"/>
      <w:lvlText w:val="(%2)"/>
      <w:numFmt w:val="lowerLetter"/>
      <w:start w:val="1"/>
    </w:lvl>
  </w:abstractNum>
  <w:abstractNum w:abstractNumId="39">
    <w:nsid w:val="6DE91B18"/>
    <w:multiLevelType w:val="hybridMultilevel"/>
    <w:lvl w:ilvl="0">
      <w:lvlJc w:val="left"/>
      <w:lvlText w:val="(%1)"/>
      <w:numFmt w:val="lowerLetter"/>
      <w:start w:val="2"/>
    </w:lvl>
  </w:abstractNum>
  <w:abstractNum w:abstractNumId="40">
    <w:nsid w:val="38437FDB"/>
    <w:multiLevelType w:val="hybridMultilevel"/>
    <w:lvl w:ilvl="0">
      <w:lvlJc w:val="left"/>
      <w:lvlText w:val="(%1)"/>
      <w:numFmt w:val="lowerLetter"/>
      <w:start w:val="4"/>
    </w:lvl>
    <w:lvl w:ilvl="1">
      <w:lvlJc w:val="left"/>
      <w:lvlText w:val="(%2)"/>
      <w:numFmt w:val="lowerRoman"/>
      <w:start w:val="1"/>
    </w:lvl>
  </w:abstractNum>
  <w:abstractNum w:abstractNumId="41">
    <w:nsid w:val="7644A45C"/>
    <w:multiLevelType w:val="hybridMultilevel"/>
    <w:lvl w:ilvl="0">
      <w:lvlJc w:val="left"/>
      <w:lvlText w:val="(%1)"/>
      <w:numFmt w:val="lowerRoman"/>
      <w:start w:val="5"/>
    </w:lvl>
  </w:abstractNum>
  <w:abstractNum w:abstractNumId="42">
    <w:nsid w:val="32FFF902"/>
    <w:multiLevelType w:val="hybridMultilevel"/>
    <w:lvl w:ilvl="0">
      <w:lvlJc w:val="left"/>
      <w:lvlText w:val="(%1)"/>
      <w:numFmt w:val="lowerLetter"/>
      <w:start w:val="10"/>
    </w:lvl>
  </w:abstractNum>
  <w:abstractNum w:abstractNumId="43">
    <w:nsid w:val="684A481A"/>
    <w:multiLevelType w:val="hybridMultilevel"/>
    <w:lvl w:ilvl="0">
      <w:lvlJc w:val="left"/>
      <w:lvlText w:val="%1."/>
      <w:numFmt w:val="upperLetter"/>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2"/>
    </w:lvl>
  </w:abstractNum>
  <w:abstractNum w:abstractNumId="46">
    <w:nsid w:val="3DC240FB"/>
    <w:multiLevelType w:val="hybridMultilevel"/>
    <w:lvl w:ilvl="0">
      <w:lvlJc w:val="left"/>
      <w:lvlText w:val="%1."/>
      <w:numFmt w:val="decimal"/>
      <w:start w:val="4"/>
    </w:lvl>
  </w:abstractNum>
  <w:abstractNum w:abstractNumId="47">
    <w:nsid w:val="1BA026FA"/>
    <w:multiLevelType w:val="hybridMultilevel"/>
    <w:lvl w:ilvl="0">
      <w:lvlJc w:val="left"/>
      <w:lvlText w:val="%1."/>
      <w:numFmt w:val="decimal"/>
      <w:start w:val="5"/>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49" Type="http://schemas.openxmlformats.org/officeDocument/2006/relationships/hyperlink" Target="http://www.sec.gov/Archives/edgar/data/1680062/000114036120011506/ex10_01.htm" TargetMode="External"/><Relationship Id="rId50" Type="http://schemas.openxmlformats.org/officeDocument/2006/relationships/hyperlink" Target="http://www.sec.gov/Archives/edgar/data/1680062/000114036120012790/ex10_01.htm" TargetMode="External"/><Relationship Id="rId51" Type="http://schemas.openxmlformats.org/officeDocument/2006/relationships/hyperlink" Target="http://www.sec.gov/Archives/edgar/data/1680062/000114036120012790/ex10_02.htm" TargetMode="External"/><Relationship Id="rId52" Type="http://schemas.openxmlformats.org/officeDocument/2006/relationships/hyperlink" Target="http://www.sec.gov/Archives/edgar/data/1680062/000114036120012790/ex10_03.htm" TargetMode="External"/><Relationship Id="rId53" Type="http://schemas.openxmlformats.org/officeDocument/2006/relationships/hyperlink" Target="http://www.sec.gov/Archives/edgar/data/1680062/000114036120012790/ex10_04.htm" TargetMode="External"/><Relationship Id="rId54" Type="http://schemas.openxmlformats.org/officeDocument/2006/relationships/hyperlink" Target="http://www.sec.gov/Archives/edgar/data/1680062/000114036120012790/ex10_05.htm" TargetMode="External"/><Relationship Id="rId55" Type="http://schemas.openxmlformats.org/officeDocument/2006/relationships/hyperlink" Target="http://www.sec.gov/Archives/edgar/data/1680062/000114036120012790/ex10_06.htm" TargetMode="External"/><Relationship Id="rId56" Type="http://schemas.openxmlformats.org/officeDocument/2006/relationships/hyperlink" Target="http://www.sec.gov/Archives/edgar/data/1680062/000114036120012790/ex10_07.htm" TargetMode="External"/><Relationship Id="rId57" Type="http://schemas.openxmlformats.org/officeDocument/2006/relationships/hyperlink" Target="http://www.sec.gov/Archives/edgar/data/1680062/000114036120012790/ex10_08.htm" TargetMode="External"/><Relationship Id="rId58" Type="http://schemas.openxmlformats.org/officeDocument/2006/relationships/hyperlink" Target="http://www.sec.gov/Archives/edgar/data/1680062/000114036120012790/ex10_09.htm" TargetMode="External"/><Relationship Id="rId59" Type="http://schemas.openxmlformats.org/officeDocument/2006/relationships/hyperlink" Target="http://www.sec.gov/Archives/edgar/data/1680062/000114036120012790/ex10_10.htm" TargetMode="External"/><Relationship Id="rId60" Type="http://schemas.openxmlformats.org/officeDocument/2006/relationships/hyperlink" Target="http://www.sec.gov/Archives/edgar/data/1680062/000114036120012790/ex10_11.htm" TargetMode="External"/><Relationship Id="rId61" Type="http://schemas.openxmlformats.org/officeDocument/2006/relationships/hyperlink" Target="http://www.sec.gov/Archives/edgar/data/1680062/000114036120012790/ex10_12.htm" TargetMode="External"/><Relationship Id="rId62" Type="http://schemas.openxmlformats.org/officeDocument/2006/relationships/hyperlink" Target="http://www.sec.gov/Archives/edgar/data/1680062/000114036120012790/ex10_13.htm" TargetMode="External"/><Relationship Id="rId63" Type="http://schemas.openxmlformats.org/officeDocument/2006/relationships/hyperlink" Target="http://www.sec.gov/Archives/edgar/data/1680062/000114036120012790/ex10_14.htm" TargetMode="External"/><Relationship Id="rId64" Type="http://schemas.openxmlformats.org/officeDocument/2006/relationships/hyperlink" Target="http://www.sec.gov/Archives/edgar/data/1680062/000114036120012790/ex10_15.htm" TargetMode="External"/><Relationship Id="rId65" Type="http://schemas.openxmlformats.org/officeDocument/2006/relationships/hyperlink" Target="http://www.sec.gov/Archives/edgar/data/1680062/000114036120012790/ex10_16.htm" TargetMode="External"/><Relationship Id="rId66" Type="http://schemas.openxmlformats.org/officeDocument/2006/relationships/hyperlink" Target="http://www.sec.gov/Archives/edgar/data/1680062/000114036120015474/ex10_01.htm" TargetMode="External"/><Relationship Id="rId67" Type="http://schemas.openxmlformats.org/officeDocument/2006/relationships/hyperlink" Target="http://www.sec.gov/Archives/edgar/data/1680062/000114036120015474/ex10_02.htm" TargetMode="External"/><Relationship Id="rId68" Type="http://schemas.openxmlformats.org/officeDocument/2006/relationships/hyperlink" Target="http://www.sec.gov/Archives/edgar/data/1680062/000114036120011117/ex10_02.htm" TargetMode="External"/><Relationship Id="rId69" Type="http://schemas.openxmlformats.org/officeDocument/2006/relationships/hyperlink" Target="http://www.sec.gov/Archives/edgar/data/1680062/000114036120011117/ex10_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2020-08-10T15:39:55Z</dcterms:created>
  <dcterms:modified xsi:type="dcterms:W3CDTF">2020-08-10T15:39:55Z</dcterms:modified>
</cp:coreProperties>
</file>