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3"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(Mark One)</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For the fiscal year ended December 31, 2019</w:t>
      </w:r>
    </w:p>
    <w:p>
      <w:pPr>
        <w:jc w:val="center"/>
        <w:spacing w:after="0" w:line="229" w:lineRule="auto"/>
        <w:rPr>
          <w:sz w:val="20"/>
          <w:szCs w:val="20"/>
          <w:color w:val="auto"/>
        </w:rPr>
      </w:pPr>
      <w:r>
        <w:rPr>
          <w:rFonts w:ascii="Arial" w:cs="Arial" w:eastAsia="Arial" w:hAnsi="Arial"/>
          <w:sz w:val="22"/>
          <w:szCs w:val="22"/>
          <w:i w:val="1"/>
          <w:iCs w:val="1"/>
          <w:color w:val="auto"/>
        </w:rPr>
        <w:t>or</w:t>
      </w: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For the transition period from _________ to 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 xml:space="preserve">Commission file number: </w:t>
      </w:r>
      <w:r>
        <w:rPr>
          <w:rFonts w:ascii="Arial" w:cs="Arial" w:eastAsia="Arial" w:hAnsi="Arial"/>
          <w:sz w:val="22"/>
          <w:szCs w:val="22"/>
          <w:b w:val="1"/>
          <w:bCs w:val="1"/>
          <w:color w:val="auto"/>
        </w:rPr>
        <w:t>001-38273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165100</wp:posOffset>
            </wp:positionV>
            <wp:extent cx="52324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324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18" w:lineRule="exact"/>
        <w:rPr>
          <w:sz w:val="24"/>
          <w:szCs w:val="24"/>
          <w:color w:val="auto"/>
        </w:rPr>
      </w:pPr>
    </w:p>
    <w:tbl>
      <w:tblPr>
        <w:tblLayout w:type="fixed"/>
        <w:tblInd w:w="520" w:type="dxa"/>
        <w:tblCellMar>
          <w:top w:w="0" w:type="dxa"/>
          <w:left w:w="0" w:type="dxa"/>
          <w:bottom w:w="0" w:type="dxa"/>
          <w:right w:w="0" w:type="dxa"/>
        </w:tblCellMar>
      </w:tblP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770"/>
              <w:spacing w:after="0"/>
              <w:rPr>
                <w:sz w:val="20"/>
                <w:szCs w:val="20"/>
                <w:color w:val="auto"/>
              </w:rPr>
            </w:pPr>
            <w:r>
              <w:rPr>
                <w:rFonts w:ascii="Arial" w:cs="Arial" w:eastAsia="Arial" w:hAnsi="Arial"/>
                <w:sz w:val="18"/>
                <w:szCs w:val="18"/>
                <w:b w:val="1"/>
                <w:bCs w:val="1"/>
                <w:color w:val="auto"/>
              </w:rPr>
              <w:t>94-3290283</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42307 Osgood Road, Suite I, Fremont, California</w:t>
            </w:r>
          </w:p>
        </w:tc>
        <w:tc>
          <w:tcPr>
            <w:tcW w:w="3680" w:type="dxa"/>
            <w:vAlign w:val="bottom"/>
          </w:tcPr>
          <w:p>
            <w:pPr>
              <w:jc w:val="right"/>
              <w:ind w:right="970"/>
              <w:spacing w:after="0"/>
              <w:rPr>
                <w:sz w:val="20"/>
                <w:szCs w:val="20"/>
                <w:color w:val="auto"/>
              </w:rPr>
            </w:pPr>
            <w:r>
              <w:rPr>
                <w:rFonts w:ascii="Arial" w:cs="Arial" w:eastAsia="Arial" w:hAnsi="Arial"/>
                <w:sz w:val="18"/>
                <w:szCs w:val="18"/>
                <w:b w:val="1"/>
                <w:bCs w:val="1"/>
                <w:color w:val="auto"/>
              </w:rPr>
              <w:t>94539</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 xml:space="preserve">Registrant’s telephone number, including area code: </w:t>
      </w:r>
      <w:r>
        <w:rPr>
          <w:rFonts w:ascii="Arial" w:cs="Arial" w:eastAsia="Arial" w:hAnsi="Arial"/>
          <w:sz w:val="22"/>
          <w:szCs w:val="22"/>
          <w:b w:val="1"/>
          <w:bCs w:val="1"/>
          <w:color w:val="auto"/>
        </w:rPr>
        <w:t>(510) 445-3700</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Securities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ACMR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 xml:space="preserve">Securities registered pursuant to Section 12(g) of the Act: </w:t>
      </w:r>
      <w:r>
        <w:rPr>
          <w:rFonts w:ascii="Arial" w:cs="Arial" w:eastAsia="Arial" w:hAnsi="Arial"/>
          <w:sz w:val="22"/>
          <w:szCs w:val="22"/>
          <w:b w:val="1"/>
          <w:bCs w:val="1"/>
          <w:color w:val="auto"/>
        </w:rPr>
        <w:t>None.</w:t>
      </w:r>
    </w:p>
    <w:p>
      <w:pPr>
        <w:spacing w:after="0" w:line="213" w:lineRule="exact"/>
        <w:rPr>
          <w:sz w:val="24"/>
          <w:szCs w:val="24"/>
          <w:color w:val="auto"/>
        </w:rPr>
      </w:pPr>
    </w:p>
    <w:p>
      <w:pPr>
        <w:spacing w:after="0" w:line="29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2" w:lineRule="exact"/>
        <w:rPr>
          <w:sz w:val="24"/>
          <w:szCs w:val="24"/>
          <w:color w:val="auto"/>
        </w:rPr>
      </w:pPr>
    </w:p>
    <w:p>
      <w:pPr>
        <w:jc w:val="both"/>
        <w:spacing w:after="0" w:line="298" w:lineRule="exact"/>
        <w:rPr>
          <w:sz w:val="20"/>
          <w:szCs w:val="20"/>
          <w:color w:val="auto"/>
        </w:rPr>
      </w:pPr>
      <w:r>
        <w:rPr>
          <w:rFonts w:ascii="Arial" w:cs="Arial" w:eastAsia="Arial" w:hAnsi="Arial"/>
          <w:sz w:val="22"/>
          <w:szCs w:val="22"/>
          <w:color w:val="auto"/>
        </w:rPr>
        <w:t xml:space="preserve">Indicate by check mark if the registrant is not required to file reports pursuant to Section 13 or Section 15(d) of the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8"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9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The aggregate market value on June 28, 2019 (the last business day of the registrant’s most recently completed second quarter) of the voting common equity held by non-affiliates of the registrant, computed by reference to the $15.61 closing price of the stock on that date, was $135.6 million. The registrant does not have non-voting common equity outstanding.</w:t>
      </w:r>
    </w:p>
    <w:p>
      <w:pPr>
        <w:spacing w:after="0" w:line="196"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registrant’s classes of common stock, as of the latest practicable date.</w:t>
      </w:r>
    </w:p>
    <w:p>
      <w:pPr>
        <w:sectPr>
          <w:pgSz w:w="11900" w:h="16838" w:orient="portrait"/>
          <w:cols w:equalWidth="0" w:num="1">
            <w:col w:w="11240"/>
          </w:cols>
          <w:pgMar w:left="320" w:top="535" w:right="339" w:bottom="0" w:gutter="0" w:footer="0" w:header="0"/>
        </w:sectPr>
      </w:pPr>
    </w:p>
    <w:bookmarkStart w:id="1" w:name="page2"/>
    <w:bookmarkEnd w:id="1"/>
    <w:tbl>
      <w:tblPr>
        <w:tblLayout w:type="fixed"/>
        <w:tblInd w:w="580" w:type="dxa"/>
        <w:tblCellMar>
          <w:top w:w="0" w:type="dxa"/>
          <w:left w:w="0" w:type="dxa"/>
          <w:bottom w:w="0" w:type="dxa"/>
          <w:right w:w="0" w:type="dxa"/>
        </w:tblCellMar>
      </w:tblPr>
      <w:tr>
        <w:trPr>
          <w:trHeight w:val="251"/>
        </w:trPr>
        <w:tc>
          <w:tcPr>
            <w:tcW w:w="482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Class</w:t>
            </w:r>
          </w:p>
        </w:tc>
        <w:tc>
          <w:tcPr>
            <w:tcW w:w="420" w:type="dxa"/>
            <w:vAlign w:val="bottom"/>
          </w:tcPr>
          <w:p>
            <w:pPr>
              <w:spacing w:after="0"/>
              <w:rPr>
                <w:sz w:val="21"/>
                <w:szCs w:val="21"/>
                <w:color w:val="auto"/>
              </w:rPr>
            </w:pPr>
          </w:p>
        </w:tc>
        <w:tc>
          <w:tcPr>
            <w:tcW w:w="48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Number of Shares Outstanding</w:t>
            </w:r>
          </w:p>
        </w:tc>
      </w:tr>
      <w:tr>
        <w:trPr>
          <w:trHeight w:val="198"/>
        </w:trPr>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Class A Common Stock, $0.0001 par value</w:t>
            </w:r>
          </w:p>
        </w:tc>
        <w:tc>
          <w:tcPr>
            <w:tcW w:w="4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Arial" w:cs="Arial" w:eastAsia="Arial" w:hAnsi="Arial"/>
                <w:sz w:val="18"/>
                <w:szCs w:val="18"/>
                <w:b w:val="1"/>
                <w:bCs w:val="1"/>
                <w:color w:val="auto"/>
              </w:rPr>
              <w:t>16,273,528 shares outstanding as of March 17, 2020</w:t>
            </w: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Class B Common Stock, $0.0001 par value</w:t>
            </w:r>
          </w:p>
        </w:tc>
        <w:tc>
          <w:tcPr>
            <w:tcW w:w="5280" w:type="dxa"/>
            <w:vAlign w:val="bottom"/>
            <w:gridSpan w:val="2"/>
          </w:tcPr>
          <w:p>
            <w:pPr>
              <w:ind w:left="420"/>
              <w:spacing w:after="0"/>
              <w:rPr>
                <w:sz w:val="20"/>
                <w:szCs w:val="20"/>
                <w:color w:val="auto"/>
              </w:rPr>
            </w:pPr>
            <w:r>
              <w:rPr>
                <w:rFonts w:ascii="Arial" w:cs="Arial" w:eastAsia="Arial" w:hAnsi="Arial"/>
                <w:sz w:val="18"/>
                <w:szCs w:val="18"/>
                <w:b w:val="1"/>
                <w:bCs w:val="1"/>
                <w:color w:val="auto"/>
              </w:rPr>
              <w:t>1,862,608 shares outstanding as of March 17, 2020</w:t>
            </w:r>
          </w:p>
        </w:tc>
      </w:tr>
    </w:tbl>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Documents Incorporated By Reference</w:t>
      </w:r>
    </w:p>
    <w:p>
      <w:pPr>
        <w:spacing w:after="0" w:line="14"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The registrant intends to file a proxy statement pursuant to Regulation 14A within 120 days of the end of the fiscal year ended December 31, 2019. Portions of such proxy statement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6"/>
          </w:tcPr>
          <w:p>
            <w:pPr>
              <w:jc w:val="center"/>
              <w:ind w:right="2980"/>
              <w:spacing w:after="0"/>
              <w:rPr>
                <w:sz w:val="20"/>
                <w:szCs w:val="20"/>
                <w:color w:val="auto"/>
              </w:rPr>
            </w:pPr>
            <w:r>
              <w:rPr>
                <w:rFonts w:ascii="Arial" w:cs="Arial" w:eastAsia="Arial" w:hAnsi="Arial"/>
                <w:sz w:val="22"/>
                <w:szCs w:val="22"/>
                <w:b w:val="1"/>
                <w:bCs w:val="1"/>
                <w:color w:val="auto"/>
                <w:w w:val="97"/>
              </w:rPr>
              <w:t>TABLE OF CONTENTS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80" w:type="dxa"/>
            <w:vAlign w:val="bottom"/>
            <w:gridSpan w:val="5"/>
          </w:tcPr>
          <w:p>
            <w:pPr>
              <w:ind w:left="220"/>
              <w:spacing w:after="0"/>
              <w:rPr>
                <w:sz w:val="20"/>
                <w:szCs w:val="20"/>
                <w:color w:val="auto"/>
              </w:rPr>
            </w:pPr>
            <w:r>
              <w:rPr>
                <w:rFonts w:ascii="Arial" w:cs="Arial" w:eastAsia="Arial" w:hAnsi="Arial"/>
                <w:sz w:val="18"/>
                <w:szCs w:val="18"/>
                <w:b w:val="1"/>
                <w:bCs w:val="1"/>
                <w:color w:val="auto"/>
              </w:rPr>
              <w:t>PART I</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220" w:type="dxa"/>
            <w:vAlign w:val="bottom"/>
            <w:gridSpan w:val="16"/>
          </w:tcPr>
          <w:p>
            <w:pPr>
              <w:ind w:left="1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220" w:type="dxa"/>
            <w:vAlign w:val="bottom"/>
            <w:gridSpan w:val="16"/>
          </w:tcPr>
          <w:p>
            <w:pPr>
              <w:ind w:left="16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80" w:type="dxa"/>
            <w:vAlign w:val="bottom"/>
            <w:gridSpan w:val="5"/>
          </w:tcPr>
          <w:p>
            <w:pPr>
              <w:jc w:val="center"/>
              <w:ind w:right="3720"/>
              <w:spacing w:after="0"/>
              <w:rPr>
                <w:sz w:val="20"/>
                <w:szCs w:val="20"/>
                <w:color w:val="auto"/>
              </w:rPr>
            </w:pPr>
            <w:r>
              <w:rPr>
                <w:rFonts w:ascii="Arial" w:cs="Arial" w:eastAsia="Arial" w:hAnsi="Arial"/>
                <w:sz w:val="18"/>
                <w:szCs w:val="18"/>
                <w:b w:val="1"/>
                <w:bCs w:val="1"/>
                <w:color w:val="auto"/>
              </w:rPr>
              <w:t>PART II</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Market for Registrant’s Common Equity, Related Stockholder Matters and Issuer Purchases of Equity Securities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220" w:type="dxa"/>
            <w:vAlign w:val="bottom"/>
            <w:gridSpan w:val="16"/>
          </w:tcPr>
          <w:p>
            <w:pPr>
              <w:ind w:left="16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220" w:type="dxa"/>
            <w:vAlign w:val="bottom"/>
            <w:gridSpan w:val="16"/>
          </w:tcPr>
          <w:p>
            <w:pPr>
              <w:ind w:left="160"/>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80" w:type="dxa"/>
            <w:vAlign w:val="bottom"/>
            <w:gridSpan w:val="5"/>
          </w:tcPr>
          <w:p>
            <w:pPr>
              <w:jc w:val="center"/>
              <w:ind w:right="3740"/>
              <w:spacing w:after="0"/>
              <w:rPr>
                <w:sz w:val="20"/>
                <w:szCs w:val="20"/>
                <w:color w:val="auto"/>
              </w:rPr>
            </w:pPr>
            <w:r>
              <w:rPr>
                <w:rFonts w:ascii="Arial" w:cs="Arial" w:eastAsia="Arial" w:hAnsi="Arial"/>
                <w:sz w:val="18"/>
                <w:szCs w:val="18"/>
                <w:b w:val="1"/>
                <w:bCs w:val="1"/>
                <w:color w:val="auto"/>
              </w:rPr>
              <w:t>PART III</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Directors, Executive Officers and Corporate Governance</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11</w:t>
            </w:r>
          </w:p>
        </w:tc>
        <w:tc>
          <w:tcPr>
            <w:tcW w:w="9220" w:type="dxa"/>
            <w:vAlign w:val="bottom"/>
            <w:gridSpan w:val="16"/>
          </w:tcPr>
          <w:p>
            <w:pPr>
              <w:ind w:left="16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Executive Compensation</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Security Ownership of Certain Beneficial Owners and Management and Related Stockholder Matters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13</w:t>
            </w:r>
          </w:p>
        </w:tc>
        <w:tc>
          <w:tcPr>
            <w:tcW w:w="9220" w:type="dxa"/>
            <w:vAlign w:val="bottom"/>
            <w:gridSpan w:val="16"/>
          </w:tcPr>
          <w:p>
            <w:pPr>
              <w:ind w:left="16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 and Director Independence</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Principal Accountant Fees and Services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980" w:type="dxa"/>
            <w:vAlign w:val="bottom"/>
            <w:tcBorders>
              <w:top w:val="single" w:sz="8" w:color="CCEEFF"/>
            </w:tcBorders>
            <w:gridSpan w:val="5"/>
          </w:tcPr>
          <w:p>
            <w:pPr>
              <w:jc w:val="center"/>
              <w:ind w:right="3740"/>
              <w:spacing w:after="0"/>
              <w:rPr>
                <w:sz w:val="20"/>
                <w:szCs w:val="20"/>
                <w:color w:val="auto"/>
              </w:rPr>
            </w:pPr>
            <w:r>
              <w:rPr>
                <w:rFonts w:ascii="Arial" w:cs="Arial" w:eastAsia="Arial" w:hAnsi="Arial"/>
                <w:sz w:val="18"/>
                <w:szCs w:val="18"/>
                <w:b w:val="1"/>
                <w:bCs w:val="1"/>
                <w:color w:val="auto"/>
              </w:rPr>
              <w:t>PART IV</w:t>
            </w:r>
          </w:p>
        </w:tc>
        <w:tc>
          <w:tcPr>
            <w:tcW w:w="12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22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Exhibits and Financial Statement Schedules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85"/>
              </w:rPr>
            </w:pPr>
            <w:hyperlink w:anchor="page114">
              <w:r>
                <w:rPr>
                  <w:rFonts w:ascii="Arial" w:cs="Arial" w:eastAsia="Arial" w:hAnsi="Arial"/>
                  <w:sz w:val="18"/>
                  <w:szCs w:val="18"/>
                  <w:color w:val="0000EE"/>
                  <w:w w:val="85"/>
                </w:rPr>
                <w:t>Signatures</w:t>
              </w:r>
            </w:hyperlink>
          </w:p>
        </w:tc>
        <w:tc>
          <w:tcPr>
            <w:tcW w:w="16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 AND STATISTICAL DATA</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This report contains statements reflecting our views about our future performance that constitute “forward-looking statements” within the meaning of the Private Securities Litigation Reform Act of 1995. These forward-looking statements are generally identified through the inclusion of words such as “anticipate,” “believe,” “contemplate,” “estimate,” “expect,” “forecast,” “intend,” “may,” “objective,” “outlook,” “plan,” “potential,” “project,” “seek,” “should,” “strategy,” “target” or “will” or variations of such words or similar expressions. All statements addressing our future operating performance, and statements addressing events and developments that we expect or anticipate will occur in the future, are forward-looking statements within the meaning of the Private Securities Litigation Reform Act of 1995. Forward-looking statements are based upon currently available information, operating plans, and projections about future events and trends.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information included in this report under the heading “Item 1. Business—Our Technology and Product Offerings—Single Wafer Wet Cleaning Equipment for Front End Production Processes” contains statistical data and estimates, including forecasts, that are based on information provided by Gartner, Inc., or Gartner, in “Forecast: Semiconductor Wafer Fab Manufacturing Equipment (Including Wafer-Level Packaging), Worldwide, 2Q19 Update” (July 2019),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Forward-looking statements and statistical estimates inherently involve risks and uncertainties that could cause actual results to differ materially from those predicted or expressed in this report. These risks and uncertainties include those described below in “Item 1A. Risk Factors.” Investors are cautioned not to place undue reliance on any forward-looking statements or statistical estimates, which speak only as of the date they are made. We undertake no obligation to update any forward-looking statement or statistical estimate, whether as a result of new information, future events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Selling prices for our single-wafer wet-cleaning tools range from $2 million to more than $5 million. Revenue from single-wafer wet-cleaning tools totaled $90.9 million, or 84.6% of total revenue, in 2019 and $68.5 million, or 92% of total revenue, in 2018. Our customers for single-wafer wet-cleaning tools have included Semiconductor Manufacturing International Corporation, Shanghai Huali Microelectronics Corporation and the operations of The Huahong Group, SK Hynix Inc. and Yangtze Memory Technologies Co., Ltd.</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have focused our selling efforts on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a number of selected customers.</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Since 2009 we have delivered more than 80 single-wafer wet cleaning tools, more than 65 of which have been accepted by customers and thereby generated revenue to us. The balance of the delivered tools are awaiting customer acceptance should contractual conditions be met. To date, all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 In the second half of 2019 we began to add to our efforts to further address customers in North America, Western Europe and Southeast Asia by expanding our direct sales teams and increasing our global marketing activities.</w:t>
      </w:r>
    </w:p>
    <w:p>
      <w:pPr>
        <w:spacing w:after="0" w:line="211" w:lineRule="exact"/>
        <w:rPr>
          <w:sz w:val="20"/>
          <w:szCs w:val="20"/>
          <w:color w:val="auto"/>
        </w:rPr>
      </w:pPr>
    </w:p>
    <w:p>
      <w:pPr>
        <w:ind w:right="140"/>
        <w:spacing w:after="0" w:line="241" w:lineRule="auto"/>
        <w:rPr>
          <w:sz w:val="20"/>
          <w:szCs w:val="20"/>
          <w:color w:val="auto"/>
        </w:rPr>
      </w:pPr>
      <w:r>
        <w:rPr>
          <w:rFonts w:ascii="Arial" w:cs="Arial" w:eastAsia="Arial" w:hAnsi="Arial"/>
          <w:sz w:val="22"/>
          <w:szCs w:val="22"/>
          <w:color w:val="auto"/>
        </w:rPr>
        <w:t>Since our formation in 1998, we have focused on building a strategic portfolio of intellectual property to support and protect our key innovations. Our tools have been developed using our key proprietary technologies:</w:t>
      </w:r>
    </w:p>
    <w:p>
      <w:pPr>
        <w:spacing w:after="0" w:line="1" w:lineRule="exact"/>
        <w:rPr>
          <w:sz w:val="20"/>
          <w:szCs w:val="20"/>
          <w:color w:val="auto"/>
        </w:rPr>
      </w:pPr>
    </w:p>
    <w:p>
      <w:pPr>
        <w:jc w:val="both"/>
        <w:ind w:left="340" w:hanging="332"/>
        <w:spacing w:after="0" w:line="24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Space Alternated Phase Shift, or SAPS, technology for flat and patterned wafer surfaces. </w:t>
      </w:r>
      <w:r>
        <w:rPr>
          <w:rFonts w:ascii="Arial" w:cs="Arial" w:eastAsia="Arial" w:hAnsi="Arial"/>
          <w:sz w:val="18"/>
          <w:szCs w:val="18"/>
          <w:color w:val="auto"/>
        </w:rPr>
        <w:t>Introduced in 2009, SAPS technology employs alternating</w:t>
      </w:r>
      <w:r>
        <w:rPr>
          <w:rFonts w:ascii="Arial" w:cs="Arial" w:eastAsia="Arial" w:hAnsi="Arial"/>
          <w:sz w:val="18"/>
          <w:szCs w:val="18"/>
          <w:i w:val="1"/>
          <w:iCs w:val="1"/>
          <w:color w:val="auto"/>
        </w:rPr>
        <w:t xml:space="preserve"> </w:t>
      </w:r>
      <w:r>
        <w:rPr>
          <w:rFonts w:ascii="Arial" w:cs="Arial" w:eastAsia="Arial" w:hAnsi="Arial"/>
          <w:sz w:val="18"/>
          <w:szCs w:val="18"/>
          <w:color w:val="auto"/>
        </w:rPr>
        <w:t>phases of megasonic waves to deliver megasonic energy in a highly uniform manner on a microscopic level. We have shown SAPS technology to be more effective than conventional megasonic and jet spray technologies in removing random defects across an entire wafer as node sizes shrink from 300 nanometers, or nm, to 20nm and lower.</w:t>
      </w:r>
    </w:p>
    <w:p>
      <w:pPr>
        <w:spacing w:after="0" w:line="3" w:lineRule="exact"/>
        <w:rPr>
          <w:rFonts w:ascii="Arial" w:cs="Arial" w:eastAsia="Arial" w:hAnsi="Arial"/>
          <w:sz w:val="18"/>
          <w:szCs w:val="18"/>
          <w:color w:val="auto"/>
        </w:rPr>
      </w:pPr>
    </w:p>
    <w:p>
      <w:pPr>
        <w:jc w:val="both"/>
        <w:ind w:left="340" w:hanging="332"/>
        <w:spacing w:after="0" w:line="216" w:lineRule="exact"/>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Timely Energized Bubble Oscillation, or TEBO, technology for patterned wafer surfaces at advanced process nodes</w:t>
      </w:r>
      <w:r>
        <w:rPr>
          <w:rFonts w:ascii="Arial" w:cs="Arial" w:eastAsia="Arial" w:hAnsi="Arial"/>
          <w:sz w:val="18"/>
          <w:szCs w:val="18"/>
          <w:color w:val="auto"/>
        </w:rPr>
        <w:t>. Introduced in March 2016, TEBO</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has been developed to provide effective, damage-free cleaning for 2D and 3D patterned wafers with fine feature sizes. We have demonstrated the damage-free cleaning capabilities of TEBO technology on patterned wafers for feature nodes as small as 1xnm (16nm to 19nm), and we have shown TEBO technology can be applied in manufacturing processes for patterned chips with 3D architectures having aspect ratios as high as 60</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1" w:lineRule="exact"/>
        <w:rPr>
          <w:rFonts w:ascii="Arial" w:cs="Arial" w:eastAsia="Arial" w:hAnsi="Arial"/>
          <w:sz w:val="18"/>
          <w:szCs w:val="18"/>
          <w:color w:val="auto"/>
        </w:rPr>
      </w:pPr>
    </w:p>
    <w:p>
      <w:pPr>
        <w:ind w:left="340" w:right="28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Tahoe technology for cost and environmental savings. </w:t>
      </w:r>
      <w:r>
        <w:rPr>
          <w:rFonts w:ascii="Arial" w:cs="Arial" w:eastAsia="Arial" w:hAnsi="Arial"/>
          <w:sz w:val="16"/>
          <w:szCs w:val="16"/>
          <w:color w:val="auto"/>
        </w:rPr>
        <w:t>Introduced in 2018, Tahoe technology delivers high cleaning performance using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less sulfuric acid and hydrogen peroxide than is typically consumed by conventional high-temperature single-wafer cleaning tools.</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Electro-Chemical Plating, or ECP, technology for advanced metal plating. </w:t>
      </w:r>
      <w:r>
        <w:rPr>
          <w:rFonts w:ascii="Arial" w:cs="Arial" w:eastAsia="Arial" w:hAnsi="Arial"/>
          <w:sz w:val="18"/>
          <w:szCs w:val="18"/>
          <w:color w:val="auto"/>
        </w:rPr>
        <w:t>Our Ultra ECP AP, or Advanced Packaging, technology was developed for</w:t>
      </w:r>
      <w:r>
        <w:rPr>
          <w:rFonts w:ascii="Arial" w:cs="Arial" w:eastAsia="Arial" w:hAnsi="Arial"/>
          <w:sz w:val="18"/>
          <w:szCs w:val="18"/>
          <w:i w:val="1"/>
          <w:iCs w:val="1"/>
          <w:color w:val="auto"/>
        </w:rPr>
        <w:t xml:space="preserve"> </w:t>
      </w:r>
      <w:r>
        <w:rPr>
          <w:rFonts w:ascii="Arial" w:cs="Arial" w:eastAsia="Arial" w:hAnsi="Arial"/>
          <w:sz w:val="18"/>
          <w:szCs w:val="18"/>
          <w:color w:val="auto"/>
        </w:rPr>
        <w:t>back-end assembly processes to deliver a more uniform metal layer at the notch area of wafers prior to packaging. Our Ultra ECP MAP, or Multi-Anode Partial Plating, technology was developed for front-end wafer fabrication processes to deliver advanced electrochemical copper plating for copper interconnect applications. ECP MAP offers improved gap-filling performance for ultra-thin seed layer applications, which is critical for advanced nodes at 14nm and beyond.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have been issued more than 285 patents in the United States, the People’s Republic of China or PRC, Japan, Korea, Singapore and Taiwan.</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conduct substantially all of our product development, manufacturing, support and services in the PRC. All of our tools are built to order at two leased manufacturing facilities in Shanghai, which encompass 86,000 square feet of floor space for production capacity. In November 2019 ACM Shanghai entered into an agreement initiating a bidding process to acquire land rights to build a development and production center in the Lingang region of Shanghai, as described under “Item 2. Properties.”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and ECP technologies, and enable us to design innovative products and solutions to address their needs.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June 2019 we announced a strategic plan to list shares of ACM Shanghai on the Shanghai Stock Exchange’s Sci-Tech InnovAtion BoaRd, as described under “Item 7. Management’s Discussion and Analysis of Financial Condition and Results of Operations—Recent Developments—STAR Market Listing and IPO.”</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 and Product Offerings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Single Wafer Wet Cleaning Equipment for Front End Production Processes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Chip fabricators can use our single-wafer wet-cleaning tools in numerous steps to improve product yield during the front-end production process, during which individual devices are patterned in a chip prior to being interconnected on a wafer. Based on Gartner’s estimates, the market for global wafer cleaning equipment (auto wet stations, single-wafer processors and other clean process equipment) increased 20% from $2.9 billion in 2017 to $3.5 billion in 2018, but was expected to decrease 24% to $2.6 billion in 2019. We estimate, based on third-party reports and on customer and other information, that our tools address more than 50% of this global wafer cleaning equipment market.</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wet-cleaning equipment has been developed using our proprietary SAPS, TEBO and Tahoe technologies, which allow our tools to remove random defects from a wafer surface effectively, without damaging a wafer or its features, even at an increasingly advanced process nodes (the minimum line widths on a chip) of 22nm or less. We use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compound semiconductor, quartz, sapphire, glass and plastics. Selling prices for our single-wafer wet-cleaning tools range from $2 million to more than $5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SAPS Technology, Applications and Equipment</w:t>
      </w:r>
    </w:p>
    <w:p>
      <w:pPr>
        <w:spacing w:after="0" w:line="239"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SAPS Technology</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20nm and below. These trials show that SAPS technology has an even greater relative advantage over conventional jet spray technology for cleaning defects between 50 and 65nm in size, and we expect the relative benefits of SAPS will continue to apply in cleaning even smaller defect sizes.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SAPS Applications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SAPS megasonic cleaning technology can be applied during the chip fabrication process to clean wafer surfaces and interconnects. It also can be used to clean, and lengthen the lifetime of recycled test wafers.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2"/>
          <w:szCs w:val="22"/>
          <w:i w:val="1"/>
          <w:iCs w:val="1"/>
          <w:color w:val="auto"/>
        </w:rPr>
        <w:t xml:space="preserve">Wafer Surfaces. </w:t>
      </w:r>
      <w:r>
        <w:rPr>
          <w:rFonts w:ascii="Arial" w:cs="Arial" w:eastAsia="Arial" w:hAnsi="Arial"/>
          <w:sz w:val="22"/>
          <w:szCs w:val="22"/>
          <w:color w:val="auto"/>
        </w:rPr>
        <w:t>SAPS technology can enhance removal of random defects following planarization and deposition, which are</w:t>
      </w:r>
      <w:r>
        <w:rPr>
          <w:rFonts w:ascii="Arial" w:cs="Arial" w:eastAsia="Arial" w:hAnsi="Arial"/>
          <w:sz w:val="22"/>
          <w:szCs w:val="22"/>
          <w:i w:val="1"/>
          <w:iCs w:val="1"/>
          <w:color w:val="auto"/>
        </w:rPr>
        <w:t xml:space="preserve"> </w:t>
      </w:r>
      <w:r>
        <w:rPr>
          <w:rFonts w:ascii="Arial" w:cs="Arial" w:eastAsia="Arial" w:hAnsi="Arial"/>
          <w:sz w:val="22"/>
          <w:szCs w:val="22"/>
          <w:color w:val="auto"/>
        </w:rPr>
        <w:t>among the most important, and most repeated, steps in the fabrication process:</w:t>
      </w:r>
    </w:p>
    <w:p>
      <w:pPr>
        <w:spacing w:after="0" w:line="1" w:lineRule="exact"/>
        <w:rPr>
          <w:sz w:val="20"/>
          <w:szCs w:val="20"/>
          <w:color w:val="auto"/>
        </w:rPr>
      </w:pPr>
    </w:p>
    <w:p>
      <w:pPr>
        <w:jc w:val="both"/>
        <w:ind w:left="660" w:hanging="328"/>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Post CMP</w:t>
      </w:r>
      <w:r>
        <w:rPr>
          <w:rFonts w:ascii="Arial" w:cs="Arial" w:eastAsia="Arial" w:hAnsi="Arial"/>
          <w:sz w:val="18"/>
          <w:szCs w:val="18"/>
          <w:color w:val="auto"/>
        </w:rPr>
        <w:t>: Chemical mechanical planarization, or CMP, uses an abrasive chemical slurry following other fabrication processes, such as deposition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etching, in order to achieve a smooth wafer surface in preparation for subsequent processing steps. SAPS technology can be applied following each CMP process to remove residual random defects deposited or formed during CMP.</w:t>
      </w:r>
    </w:p>
    <w:p>
      <w:pPr>
        <w:spacing w:after="0" w:line="2" w:lineRule="exact"/>
        <w:rPr>
          <w:rFonts w:ascii="Arial" w:cs="Arial" w:eastAsia="Arial" w:hAnsi="Arial"/>
          <w:sz w:val="18"/>
          <w:szCs w:val="18"/>
          <w:color w:val="auto"/>
        </w:rPr>
      </w:pPr>
    </w:p>
    <w:p>
      <w:pPr>
        <w:jc w:val="both"/>
        <w:ind w:left="660" w:hanging="328"/>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Post Hard Mask Deposition: </w:t>
      </w:r>
      <w:r>
        <w:rPr>
          <w:rFonts w:ascii="Arial" w:cs="Arial" w:eastAsia="Arial" w:hAnsi="Arial"/>
          <w:sz w:val="18"/>
          <w:szCs w:val="18"/>
          <w:color w:val="auto"/>
        </w:rPr>
        <w:t>As part of the photolithographical patterning process, a mask is applied with each deposition of a material layer to</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color w:val="auto"/>
        </w:rPr>
        <w:t>Interconnects and Barrier Metals</w:t>
      </w:r>
      <w:r>
        <w:rPr>
          <w:rFonts w:ascii="Arial" w:cs="Arial" w:eastAsia="Arial" w:hAnsi="Arial"/>
          <w:sz w:val="21"/>
          <w:szCs w:val="21"/>
          <w:color w:val="auto"/>
        </w:rPr>
        <w:t>. Each successive advanced process node has led to finer feature sizes of interconnects such as</w:t>
      </w:r>
      <w:r>
        <w:rPr>
          <w:rFonts w:ascii="Arial" w:cs="Arial" w:eastAsia="Arial" w:hAnsi="Arial"/>
          <w:sz w:val="21"/>
          <w:szCs w:val="21"/>
          <w:i w:val="1"/>
          <w:iCs w:val="1"/>
          <w:color w:val="auto"/>
        </w:rPr>
        <w:t xml:space="preserve"> </w:t>
      </w:r>
      <w:r>
        <w:rPr>
          <w:rFonts w:ascii="Arial" w:cs="Arial" w:eastAsia="Arial" w:hAnsi="Arial"/>
          <w:sz w:val="21"/>
          <w:szCs w:val="21"/>
          <w:color w:val="auto"/>
        </w:rPr>
        <w:t>contacts, which form electrical 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1" w:lineRule="exact"/>
        <w:rPr>
          <w:sz w:val="20"/>
          <w:szCs w:val="20"/>
          <w:color w:val="auto"/>
        </w:rPr>
      </w:pPr>
    </w:p>
    <w:p>
      <w:pPr>
        <w:ind w:left="6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Post Contact/Via Etch: </w:t>
      </w:r>
      <w:r>
        <w:rPr>
          <w:rFonts w:ascii="Arial" w:cs="Arial" w:eastAsia="Arial" w:hAnsi="Arial"/>
          <w:sz w:val="18"/>
          <w:szCs w:val="18"/>
          <w:color w:val="auto"/>
        </w:rPr>
        <w:t>Wet etching processes are commonly used to create patterns of high-density contacts and vias. SAPS technology can be</w:t>
      </w:r>
      <w:r>
        <w:rPr>
          <w:rFonts w:ascii="Arial" w:cs="Arial" w:eastAsia="Arial" w:hAnsi="Arial"/>
          <w:sz w:val="18"/>
          <w:szCs w:val="18"/>
          <w:i w:val="1"/>
          <w:iCs w:val="1"/>
          <w:color w:val="auto"/>
        </w:rPr>
        <w:t xml:space="preserve"> </w:t>
      </w:r>
      <w:r>
        <w:rPr>
          <w:rFonts w:ascii="Arial" w:cs="Arial" w:eastAsia="Arial" w:hAnsi="Arial"/>
          <w:sz w:val="18"/>
          <w:szCs w:val="18"/>
          <w:color w:val="auto"/>
        </w:rPr>
        <w:t>applied after each such etching process to remove random defects that could otherwise lead to electrical shorts.</w:t>
      </w:r>
    </w:p>
    <w:p>
      <w:pPr>
        <w:jc w:val="both"/>
        <w:ind w:left="660" w:hanging="328"/>
        <w:spacing w:after="0" w:line="24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Pre Barrier Metal Deposition</w:t>
      </w:r>
      <w:r>
        <w:rPr>
          <w:rFonts w:ascii="Arial" w:cs="Arial" w:eastAsia="Arial" w:hAnsi="Arial"/>
          <w:sz w:val="18"/>
          <w:szCs w:val="18"/>
          <w:color w:val="auto"/>
        </w:rPr>
        <w:t>: Copper wiring requires metal diffusion barriers at the top of via holes to prevent electrical leakage. SAPS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can be applied prior to deposition of barrier metal to remove residual oxidized copper, which otherwise would adhere poorly to the barrier and impair performance.</w:t>
      </w:r>
    </w:p>
    <w:p>
      <w:pPr>
        <w:jc w:val="both"/>
        <w:spacing w:after="0" w:line="244" w:lineRule="auto"/>
        <w:rPr>
          <w:sz w:val="20"/>
          <w:szCs w:val="20"/>
          <w:color w:val="auto"/>
        </w:rPr>
      </w:pPr>
      <w:r>
        <w:rPr>
          <w:rFonts w:ascii="Arial" w:cs="Arial" w:eastAsia="Arial" w:hAnsi="Arial"/>
          <w:sz w:val="21"/>
          <w:szCs w:val="21"/>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Recycled Test Wafers. </w:t>
      </w:r>
      <w:r>
        <w:rPr>
          <w:rFonts w:ascii="Arial" w:cs="Arial" w:eastAsia="Arial" w:hAnsi="Arial"/>
          <w:sz w:val="19"/>
          <w:szCs w:val="19"/>
          <w:color w:val="auto"/>
        </w:rPr>
        <w:t>In addition to using silicon wafers for chip production, chip manufacturers routinely process wafers</w:t>
      </w:r>
      <w:r>
        <w:rPr>
          <w:rFonts w:ascii="Arial" w:cs="Arial" w:eastAsia="Arial" w:hAnsi="Arial"/>
          <w:sz w:val="19"/>
          <w:szCs w:val="19"/>
          <w:i w:val="1"/>
          <w:iCs w:val="1"/>
          <w:color w:val="auto"/>
        </w:rPr>
        <w:t xml:space="preserve"> </w:t>
      </w:r>
      <w:r>
        <w:rPr>
          <w:rFonts w:ascii="Arial" w:cs="Arial" w:eastAsia="Arial" w:hAnsi="Arial"/>
          <w:sz w:val="19"/>
          <w:szCs w:val="19"/>
          <w:color w:val="auto"/>
        </w:rPr>
        <w:t>through a limited portion of the front-end fabrication steps in order to evaluate the health, 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SAPS Equipment</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offer two principal models of wet wafer cleaning equipment based on our SAPS technology, Ultra C SAPS II and Ultra C SAPS V. Each of these models is a single-wafer, serial-processing tool that can be configured to customer specifications and, in conjunction with appropriate dilute chemicals, used to remove random defects from wafer surfaces or interconnects and barrier metals as part of the chip front-end fabrication process or for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The sales prices of our SAPS tools generally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028700" cy="1028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SAPS II (released in 2011). </w:t>
      </w:r>
      <w:r>
        <w:rPr>
          <w:rFonts w:ascii="Arial" w:cs="Arial" w:eastAsia="Arial" w:hAnsi="Arial"/>
          <w:sz w:val="18"/>
          <w:szCs w:val="18"/>
          <w:color w:val="auto"/>
        </w:rPr>
        <w:t>Highlights of our SAPS II equipment include:</w:t>
      </w:r>
    </w:p>
    <w:p>
      <w:pPr>
        <w:spacing w:after="0" w:line="225" w:lineRule="exact"/>
        <w:rPr>
          <w:sz w:val="20"/>
          <w:szCs w:val="20"/>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compact design, with footprint of 2.65m x 4.10m x 2.85m (WxDxH), requiring limited clean room floor space;</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8 chambers, providing throughput of up to 225 wafers per hour;</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double-sided cleaning capability, with up to 5 cleaning chemicals for process flexibility;</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2-chemical recycling capability for reduced chemical consumption;</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image wafer detection method for lowering wafer breakage rates; and</w:t>
      </w:r>
    </w:p>
    <w:p>
      <w:pPr>
        <w:spacing w:after="0" w:line="225" w:lineRule="exact"/>
        <w:rPr>
          <w:rFonts w:ascii="Arial" w:cs="Arial" w:eastAsia="Arial" w:hAnsi="Arial"/>
          <w:sz w:val="18"/>
          <w:szCs w:val="18"/>
          <w:color w:val="auto"/>
        </w:rPr>
      </w:pPr>
    </w:p>
    <w:p>
      <w:pPr>
        <w:jc w:val="both"/>
        <w:ind w:left="2580" w:hanging="318"/>
        <w:spacing w:after="0" w:line="263" w:lineRule="auto"/>
        <w:tabs>
          <w:tab w:leader="none" w:pos="2609"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chemical delivery module for delivery of dilute hydrofluoric acid, RCA SC-1 solution, functional de-ionized water and carbon dioxide to each of the chambers. </w:t>
      </w:r>
      <w:r>
        <w:rPr>
          <w:rFonts w:ascii="Arial" w:cs="Arial" w:eastAsia="Arial" w:hAnsi="Arial"/>
          <w:sz w:val="18"/>
          <w:szCs w:val="18"/>
          <w:i w:val="1"/>
          <w:iCs w:val="1"/>
          <w:color w:val="auto"/>
        </w:rPr>
        <w:t>SAPS V (released in 2014)</w:t>
      </w:r>
      <w:r>
        <w:rPr>
          <w:rFonts w:ascii="Arial" w:cs="Arial" w:eastAsia="Arial" w:hAnsi="Arial"/>
          <w:sz w:val="18"/>
          <w:szCs w:val="18"/>
          <w:b w:val="1"/>
          <w:bCs w:val="1"/>
          <w:color w:val="auto"/>
        </w:rPr>
        <w:t>.</w:t>
      </w:r>
      <w:r>
        <w:rPr>
          <w:rFonts w:ascii="Arial" w:cs="Arial" w:eastAsia="Arial" w:hAnsi="Arial"/>
          <w:sz w:val="18"/>
          <w:szCs w:val="18"/>
          <w:color w:val="auto"/>
        </w:rPr>
        <w:t xml:space="preserve"> SAPS V includes SAPS II features with the following upgrades:</w:t>
      </w:r>
    </w:p>
    <w:p>
      <w:pPr>
        <w:spacing w:after="0" w:line="183"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compact design, with footprint of 2.55m x 5.1m x 2.85m (WxDxH);</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12 chambers, providing throughput of up to 375 wafers per hour;</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chemical supply system integrated into mainframe;</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inline mixing method replaces tank auto-changing, reducing process time; and</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-3139440</wp:posOffset>
            </wp:positionV>
            <wp:extent cx="1114425" cy="1028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4425" cy="10287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TEBO Technology, Applications and Equipment</w:t>
      </w:r>
    </w:p>
    <w:p>
      <w:pPr>
        <w:spacing w:after="0" w:line="239" w:lineRule="exact"/>
        <w:rPr>
          <w:sz w:val="20"/>
          <w:szCs w:val="20"/>
          <w:color w:val="auto"/>
        </w:rPr>
      </w:pPr>
    </w:p>
    <w:p>
      <w:pPr>
        <w:ind w:left="980"/>
        <w:spacing w:after="0"/>
        <w:rPr>
          <w:sz w:val="20"/>
          <w:szCs w:val="20"/>
          <w:color w:val="auto"/>
        </w:rPr>
      </w:pPr>
      <w:r>
        <w:rPr>
          <w:rFonts w:ascii="Arial" w:cs="Arial" w:eastAsia="Arial" w:hAnsi="Arial"/>
          <w:sz w:val="22"/>
          <w:szCs w:val="22"/>
          <w:i w:val="1"/>
          <w:iCs w:val="1"/>
          <w:u w:val="single" w:color="auto"/>
          <w:color w:val="auto"/>
        </w:rPr>
        <w:t>TEBO Technology</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developed TEBO technology for application in wet wafer cleaning during the fabrication of 2D and 3D wafers with fine feature sizes. TEBO technology facilitates effective cleaning even with patterned features too small or fragile to be addressed by conventional jet spray and megasonic cleaning technologies.</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 Field Effect Transistors or FinFET, DRAM, 3D NAND and 3D cross point memory, and we expect it will be applicable to other 3D architectures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TEBO Applications</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5" w:lineRule="exact"/>
        <w:rPr>
          <w:sz w:val="20"/>
          <w:szCs w:val="20"/>
          <w:color w:val="auto"/>
        </w:rPr>
      </w:pPr>
    </w:p>
    <w:p>
      <w:pPr>
        <w:ind w:left="660" w:hanging="328"/>
        <w:spacing w:after="0" w:line="28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Memory Chips: </w:t>
      </w:r>
      <w:r>
        <w:rPr>
          <w:rFonts w:ascii="Arial" w:cs="Arial" w:eastAsia="Arial" w:hAnsi="Arial"/>
          <w:sz w:val="16"/>
          <w:szCs w:val="16"/>
          <w:color w:val="auto"/>
        </w:rPr>
        <w:t>We estimate that TEBO technology can be applied in as many as 50 steps in the fabrication of a DRAM chip, consisting of up to</w:t>
      </w:r>
      <w:r>
        <w:rPr>
          <w:rFonts w:ascii="Arial" w:cs="Arial" w:eastAsia="Arial" w:hAnsi="Arial"/>
          <w:sz w:val="16"/>
          <w:szCs w:val="16"/>
          <w:i w:val="1"/>
          <w:iCs w:val="1"/>
          <w:color w:val="auto"/>
        </w:rPr>
        <w:t xml:space="preserve"> </w:t>
      </w:r>
      <w:r>
        <w:rPr>
          <w:rFonts w:ascii="Arial" w:cs="Arial" w:eastAsia="Arial" w:hAnsi="Arial"/>
          <w:sz w:val="16"/>
          <w:szCs w:val="16"/>
          <w:color w:val="auto"/>
        </w:rPr>
        <w:t>10 steps in cleaning ISO structures, 20 steps in cleaning buried gates, and 20 steps in cleaning high aspect-ratio storage nodes and stacked films.</w:t>
      </w:r>
    </w:p>
    <w:p>
      <w:pPr>
        <w:spacing w:after="0" w:line="1" w:lineRule="exact"/>
        <w:rPr>
          <w:rFonts w:ascii="Arial" w:cs="Arial" w:eastAsia="Arial" w:hAnsi="Arial"/>
          <w:sz w:val="16"/>
          <w:szCs w:val="16"/>
          <w:color w:val="auto"/>
        </w:rPr>
      </w:pPr>
    </w:p>
    <w:p>
      <w:pPr>
        <w:ind w:left="660" w:hanging="328"/>
        <w:spacing w:after="0" w:line="24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Logic Chips: </w:t>
      </w:r>
      <w:r>
        <w:rPr>
          <w:rFonts w:ascii="Arial" w:cs="Arial" w:eastAsia="Arial" w:hAnsi="Arial"/>
          <w:sz w:val="18"/>
          <w:szCs w:val="18"/>
          <w:color w:val="auto"/>
        </w:rPr>
        <w:t>In the fabrication process for a logic chip with a FinFET structure, we estimate that TEBO technology can be used in 15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cleaning steps.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purposes of solving inside pattern surface conditions for memory or logic chips, TEBO technology uses environmentally friendly dilute chemicals such as RCA SC-1 and hydrogen gas doped functional water.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TEBO Equipment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of 28nm or less. TEBO equipment solves the problem of pattern damage caused by transient cavitation in conventional jet spray and megasonic cleaning processes, providing better particle removal efficiency with limited material loss or roughing. TEBO equipment is being evaluated by a select group of leading memory and logic chip customers. The sales prices of our TEBO tools generally range between $3.5 million and $6.5 million, although sales prices vary depending upon the required specifications.</w:t>
      </w:r>
    </w:p>
    <w:p>
      <w:pPr>
        <w:sectPr>
          <w:pgSz w:w="11900" w:h="16838" w:orient="portrait"/>
          <w:cols w:equalWidth="0" w:num="1">
            <w:col w:w="11240"/>
          </w:cols>
          <w:pgMar w:left="320" w:top="121" w:right="339" w:bottom="10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07"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Each model of TEBO equipment includes:</w:t>
      </w:r>
    </w:p>
    <w:p>
      <w:pPr>
        <w:spacing w:after="0" w:line="240" w:lineRule="exact"/>
        <w:rPr>
          <w:sz w:val="20"/>
          <w:szCs w:val="20"/>
          <w:color w:val="auto"/>
        </w:rPr>
      </w:pPr>
    </w:p>
    <w:p>
      <w:pPr>
        <w:ind w:left="2640" w:hanging="378"/>
        <w:spacing w:after="0"/>
        <w:tabs>
          <w:tab w:leader="none" w:pos="2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equipment front-end module, or EFEM, which moves wafers from chamber to chamber;</w:t>
      </w:r>
    </w:p>
    <w:p>
      <w:pPr>
        <w:spacing w:after="0" w:line="225" w:lineRule="exact"/>
        <w:rPr>
          <w:rFonts w:ascii="Arial" w:cs="Arial" w:eastAsia="Arial" w:hAnsi="Arial"/>
          <w:sz w:val="18"/>
          <w:szCs w:val="18"/>
          <w:color w:val="auto"/>
        </w:rPr>
      </w:pPr>
    </w:p>
    <w:p>
      <w:pPr>
        <w:ind w:left="2640" w:hanging="378"/>
        <w:spacing w:after="0"/>
        <w:tabs>
          <w:tab w:leader="none" w:pos="2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or more chamber modules, each equipped with a TEBO megasonic generator system;</w:t>
      </w:r>
    </w:p>
    <w:p>
      <w:pPr>
        <w:spacing w:after="0" w:line="225" w:lineRule="exact"/>
        <w:rPr>
          <w:rFonts w:ascii="Arial" w:cs="Arial" w:eastAsia="Arial" w:hAnsi="Arial"/>
          <w:sz w:val="18"/>
          <w:szCs w:val="18"/>
          <w:color w:val="auto"/>
        </w:rPr>
      </w:pPr>
    </w:p>
    <w:p>
      <w:pPr>
        <w:ind w:left="2640" w:hanging="378"/>
        <w:spacing w:after="0"/>
        <w:tabs>
          <w:tab w:leader="none" w:pos="2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electrical module to provide power for the tool; and</w:t>
      </w:r>
    </w:p>
    <w:p>
      <w:pPr>
        <w:spacing w:after="0" w:line="225" w:lineRule="exact"/>
        <w:rPr>
          <w:rFonts w:ascii="Arial" w:cs="Arial" w:eastAsia="Arial" w:hAnsi="Arial"/>
          <w:sz w:val="18"/>
          <w:szCs w:val="18"/>
          <w:color w:val="auto"/>
        </w:rPr>
      </w:pPr>
    </w:p>
    <w:p>
      <w:pPr>
        <w:ind w:left="2640" w:hanging="378"/>
        <w:spacing w:after="0"/>
        <w:tabs>
          <w:tab w:leader="none" w:pos="2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-910590</wp:posOffset>
            </wp:positionV>
            <wp:extent cx="1028700" cy="1028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Ultra C TEBO II (released in 2016). </w:t>
      </w:r>
      <w:r>
        <w:rPr>
          <w:rFonts w:ascii="Arial" w:cs="Arial" w:eastAsia="Arial" w:hAnsi="Arial"/>
          <w:sz w:val="18"/>
          <w:szCs w:val="18"/>
          <w:color w:val="auto"/>
        </w:rPr>
        <w:t>Highlights of our Ultra C TEBO II equipment include:</w:t>
      </w:r>
    </w:p>
    <w:p>
      <w:pPr>
        <w:spacing w:after="0" w:line="225" w:lineRule="exact"/>
        <w:rPr>
          <w:sz w:val="20"/>
          <w:szCs w:val="20"/>
          <w:color w:val="auto"/>
        </w:rPr>
      </w:pPr>
    </w:p>
    <w:p>
      <w:pPr>
        <w:ind w:left="2600" w:hanging="33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compact design, with footprint of 2.25m x 2.25m x 2.85m (WxDxH);</w:t>
      </w:r>
    </w:p>
    <w:p>
      <w:pPr>
        <w:spacing w:after="0" w:line="225" w:lineRule="exact"/>
        <w:rPr>
          <w:rFonts w:ascii="Arial" w:cs="Arial" w:eastAsia="Arial" w:hAnsi="Arial"/>
          <w:sz w:val="18"/>
          <w:szCs w:val="18"/>
          <w:color w:val="auto"/>
        </w:rPr>
      </w:pPr>
    </w:p>
    <w:p>
      <w:pPr>
        <w:ind w:left="2580" w:hanging="318"/>
        <w:spacing w:after="0" w:line="277" w:lineRule="auto"/>
        <w:tabs>
          <w:tab w:leader="none" w:pos="2667"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8 chambers with an upgraded transport system and optimized robotic scheduler, providing throughput of up to 300 wafers per hour;</w:t>
      </w:r>
    </w:p>
    <w:p>
      <w:pPr>
        <w:spacing w:after="0" w:line="170" w:lineRule="exact"/>
        <w:rPr>
          <w:rFonts w:ascii="Arial" w:cs="Arial" w:eastAsia="Arial" w:hAnsi="Arial"/>
          <w:sz w:val="18"/>
          <w:szCs w:val="18"/>
          <w:color w:val="auto"/>
        </w:rPr>
      </w:pPr>
    </w:p>
    <w:p>
      <w:pPr>
        <w:ind w:left="2600" w:hanging="33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EFEM module consisting of 4 load ports, transfer robot and 1 process robot; and</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on dilute chemicals contributes to environmental sustainability and lower cost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-1047750</wp:posOffset>
            </wp:positionV>
            <wp:extent cx="1242695" cy="1028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269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00" w:hanging="338"/>
        <w:spacing w:after="0"/>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footprint of 2.45m x 5.30m x 2.85m (WxDxH);</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12 chamber modules, providing throughput of up to 300 wafers per hour;</w:t>
      </w:r>
    </w:p>
    <w:p>
      <w:pPr>
        <w:spacing w:after="0" w:line="225" w:lineRule="exact"/>
        <w:rPr>
          <w:rFonts w:ascii="Arial" w:cs="Arial" w:eastAsia="Arial" w:hAnsi="Arial"/>
          <w:sz w:val="18"/>
          <w:szCs w:val="18"/>
          <w:color w:val="auto"/>
        </w:rPr>
      </w:pPr>
    </w:p>
    <w:p>
      <w:pPr>
        <w:ind w:left="2600" w:hanging="338"/>
        <w:spacing w:after="0"/>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EFEM module consisting of 4 load ports, 1 transfer robot and 1 process robot; and</w:t>
      </w:r>
    </w:p>
    <w:p>
      <w:pPr>
        <w:spacing w:after="0" w:line="225" w:lineRule="exact"/>
        <w:rPr>
          <w:rFonts w:ascii="Arial" w:cs="Arial" w:eastAsia="Arial" w:hAnsi="Arial"/>
          <w:sz w:val="18"/>
          <w:szCs w:val="18"/>
          <w:color w:val="auto"/>
        </w:rPr>
      </w:pPr>
    </w:p>
    <w:p>
      <w:pPr>
        <w:ind w:left="2580" w:hanging="318"/>
        <w:spacing w:after="0" w:line="277" w:lineRule="auto"/>
        <w:tabs>
          <w:tab w:leader="none" w:pos="25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chemical delivery module for delivery of isopropyl alcohol,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-1013460</wp:posOffset>
            </wp:positionV>
            <wp:extent cx="1242695" cy="1028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2695" cy="102870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line="68"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Tahoe Overview</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Ultra-C Tahoe wafer cleaning tool can deliver high cleaning performance using significantly less sulfuric acid and hydrogen peroxide than is typically consumed by conventional high-temperature single-wafer cleaning tools. During normal single-wafer cleaning processes, only a fraction of the acid reacts with the wafer surface, while the majority is wasted as acid spins off the wafer and cannot be recycled. In addition to providing cost savings resulting from vastly reduced acid consumption, Ultra-C Tahoe meets the needs of customers who face increased environmental regulations and demand new, more environmentally friendly tools. We announced our first purchase order for an Ultra C Tahoe tool in August 2018, and we delivered the tool to a strategic customer in January of 2019.</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Single-Wafer Tools for Back-End Assembly and Packaging</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leverage our technology and expertise to provide a range of single-wafer tools for back-end wafer assembly and packaging factories. We develop, manufacture and sell a wide range of advanced packaging tools, such as coaters, developers, photoresist strippers, scrubbers, wet etchers and copper-plating tools. We focus on providing custom-made, differentiated equipment that incorporates customer-requested features at a competitive price. Selling prices for these tools range from $500,000 to more than $2 million.</w:t>
      </w:r>
    </w:p>
    <w:p>
      <w:pPr>
        <w:spacing w:after="0" w:line="221" w:lineRule="exact"/>
        <w:rPr>
          <w:sz w:val="20"/>
          <w:szCs w:val="20"/>
          <w:color w:val="auto"/>
        </w:rPr>
      </w:pPr>
    </w:p>
    <w:p>
      <w:pPr>
        <w:jc w:val="both"/>
        <w:ind w:left="2260"/>
        <w:spacing w:after="0" w:line="293" w:lineRule="auto"/>
        <w:rPr>
          <w:sz w:val="20"/>
          <w:szCs w:val="20"/>
          <w:color w:val="auto"/>
        </w:rPr>
      </w:pPr>
      <w:r>
        <w:rPr>
          <w:rFonts w:ascii="Arial" w:cs="Arial" w:eastAsia="Arial" w:hAnsi="Arial"/>
          <w:sz w:val="16"/>
          <w:szCs w:val="16"/>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1122680" cy="1028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10287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Ultra C Thin Wafer Scrubber, which addresses a sub-market of cleaning very thin wafers for certain Asian assembly factories; and Ultra C Wet Etcher, which etches silicon wafers and copper and titanium interconnects.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Customers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Since 2009 we have delivered more than 80 single-wafer wet cleaning tools, more than 65 of which have been accepted by customers and thereby generated revenue to us. The balance of the delivered tools are awaiting customer acceptance should contractual conditions be met. To date, all of our sales of single-wafer wet cleaning equipment for front-end manufacturing have been to customers located in Asia, and we anticipate that a substantial majority of our revenue from these products will continue to come from customers located in this region for the foreseeable future. In the second half of 2019 we began to add to our efforts to further address customers in North America, Western Europe and Southeast Asia, by expanding our direct sales teams and increasing our global marketing activities.</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generate most of our revenue from a limited number of customers as the result of our strategy of initially placing single-wafer wet cleaning equipment with a small number of leading chip manufacturers that are driving technology trends and key capability implementation. In 2019, 73.8% of our revenue was derived from three customers: Yangtze Memory Technologies Co., Ltd., a leading PRC memory chip company, together with one of its subsidiaries, accounted for 27.5% of our revenue; Shanghai Huali Microelectronics Corporation and the operations of The Huahong Group, a leading PRC foundry, accounted for 26.5% of our revenue; and SK Hynix Inc., a leading Korean memory chip company, accounted for 19.8% of our revenue. In 2018, 87.6% of our revenue was derived from three customers: Yangtze Memory Technologies Co., Ltd. (together with a subsidiary) accounted for 39.6% of our revenue; Shanghai Huali Microelectronics Corporation accounted for 24.2% of our revenue; and SK Hynix Inc. accounted for 23.8% of our revenue.</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Based on our market experience, we believe that implementation of our single-wafer wet cleaning equipment by one of our selected chip manufacturers will attract and encourage other manufacturers to evaluate our equipment, because the leading company’s implementation will serve as validation of our equipment and could enable the other manufacturers to shorten their evaluation processes. We placed our first SAPS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 tools following the customer’s completion of its qualification process. The period from new product introduction to high volume manufacturing can range from one to several years.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our back-end wafer assembly and packaging customers, we focus on providing custom-made, differentiated single wafer wet cleaning equipment that incorporates a customer’s requested features at a competitive cost of ownership. Our primary customers of these products in 2018 and 2019 included: Jiangyin Changdian Advanced Packaging Co. Ltd., a leading PRC-based wafer bumping packaging house that is a subsidiary of JCET Group Co., Ltd.; Nantong Tongfu Microelectronics Co., Ltd., a PRC-based chip assembly and testing company that is a subsidiary of Nantong Fujitsu Microelectronics Co., Ltd.; Deca Technologies, a wafer-level interconnect foundry with headquarters in Arizona and manufacturing in the Philippines that is a majority-owned, independent subsidiary of Cypress Semiconductor Corp.; and Wafer Works Corporation, a leading PRC-based wafer supplier.</w:t>
      </w:r>
    </w:p>
    <w:p>
      <w:pPr>
        <w:sectPr>
          <w:pgSz w:w="11900" w:h="16907" w:orient="portrait"/>
          <w:cols w:equalWidth="0" w:num="1">
            <w:col w:w="11240"/>
          </w:cols>
          <w:pgMar w:left="320" w:top="122" w:right="339" w:bottom="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Sales and Marketing</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 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sales have historically been made using purchase orders with agreed technical specifications. Our sales terms and conditions are generally consistent with industry practice, but may vary from customer to customer. We seek to obtain a purchase order two to four months ahead of the customer’s desired delivery date. For some customers, we receive a letter of intent a few weeks ahead, followed by the corresponding purchase order four months ahead of the customer’s desired delivery date. Consistent with industry practice, we allow customers to reschedule or cancel orders at a certain cost to them on relatively short notice. Because of our relatively short delivery period and our practice of permitting rescheduling or cancellation, we believe that backlog is not a reliable indicator of our future revenue.</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All of our products are built to order at our Shanghai facilities. Our first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21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In September 2018, we began production at our second factory, located ten miles from our Shanghai headquarters. The new facility provides an additional 50,000 square feet of floor space for production capacity. We plan to shift an increasing portion of our future production to this factory based on its modernized capabilities.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November 2019 ACM Shanghai entered into an agreement initiating a bidding process to acquire land rights to build a center in the Lingang region of Shanghai for manufacturing as well as development. See “Item 2. Properties.”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February 2020 our ACM Shanghai headquarters were closed for an additional six days beyond the normal Lunar New Year Holiday in accordance with Shanghai government restrictions related to the COVID-19 outbreak, as described under “Item 7. Management’s Discussion and Analysis of Financial Condition and Results of Operations—Recent Developments—COVID-19 Outbreak.”</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To supplement our internal expertise, we have also collaborated with external research and development entities such as International SEMATECH, and we are in the process of engaging with IMEC on specific areas of interests. We also retain, as technical advisors, several experts in semiconductor technology.</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For the foreseeable future we are focusing on enhancing our Ultra C SAPS, TEBO, Tahoe and ECP tools and integrating additional capabilities to meet and anticipate requirements from our existing and potential customers. Our particular areas of focus include development of the following:</w:t>
      </w:r>
    </w:p>
    <w:p>
      <w:pPr>
        <w:spacing w:after="0" w:line="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30"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cleaning steps for Ultra C TEBO cleaners for FinFET in logic chips, gates in DRAM, and deep vias in both 3D NAND and 3D cross point memory technologies;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hardware, including new system platforms, new and additional chamber structures and new chemical blending systems;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software to integrate new functionalities to improve tool performance.</w:t>
      </w: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research and development expense totaled $12.9 million, or 12.0% of revenue, in 2019 and $10.4 million, or 13.9% of revenue, in 2018. We intend to continue to invest in research and development to support and enhance our existing cleaning products and to develop future product offerings to build and maintain our technology leadership position.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have aggressively pursued intellectual property since our founding in 1998. We focus our patent filing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December 31, 2019, we had 25 issued patents, and 24 patents pending, in the United States. These patents carry expiration dates from 2022 through 2037. Many of the US patents and applications have also been filed internationally, in one or more of the European Union, Japan, Korea, PRC, Singapore and Taiwan. Specifically, we own patents in wafer cleaning, electro-polishing and plating, wafer preparation, and other semiconductor processing technologies. We have been issued more than 288 patents in the United States, the PRC, Japan, Korea, Singapore and Taiwan.</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manufacture advanced single-wafer cleaning systems equipped with our SAPS, TEBO and Tahoe technologies. Our wafer cleaning technologies are protected by US Patent Numbers 8580042, 8671961, 9070723 and 9281177, as well as their corresponding international patents. We have 35 patents granted internationally protecting our SAPS technologies. We also have filed 11 international patent applications for key TEBO technologies, and 2 for Tahoe, in accordance with the Patent Cooperation Treaty, in anticipation of filing in the U.S. national phase.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to the above core technologies, we have technologies for stress-free polishing, or SFP, and ECP that are used in certain of our tools. SFP is an integral part of the electro polishing process. Our technology was a breakthrough in electro-chemical-copper-planarization technology when it was first introduced, because it can polish, stress-free, copper layers used in copper low-K interconnects. Our innovations in SFP and ECP are reflected in US Patent Numbers 6638863 and 8518224, and their corresponding international counterparts.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also have technologies in other semiconductor processing areas, such as wafer preparation and some specific processing steps. The wafer preparation technology is covered by US Patent Numbers 8383429 and 9295167. The specific processing steps includes US Patent Number 8598039 titled “Barrier layer removal method and apparatus.”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21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Additional information about the risks relating to our intellectual property is provided under “Item 1A. Risk Factors—Risks Relating to Our Intellectual Property.”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Beijing Sevenstar Electronics Technology Co., Ltd. (a subsidiary of NAURA Technology Group Co., Ltd.), Lam Research Corporation, Mujin Electronics Co., Ltd., SCREEN SPE USA, LLC (a subsidiary of SCREEN Holdings Co., Ltd.), SEMES Co. Ltd. and Tokyo Electron Ltd.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Compared to our company, our current and potential competitors may have:</w:t>
      </w:r>
    </w:p>
    <w:p>
      <w:pPr>
        <w:spacing w:after="0" w:line="1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better established credibility and market reputations, longer operating histories, and broader product offerings;</w:t>
      </w:r>
    </w:p>
    <w:p>
      <w:pPr>
        <w:spacing w:after="0" w:line="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greater financial, technical, marketing and other resources, which may allow them to pursue design, development, manufacturing, sales, marketing, distribution and service support of their products;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extensive customer and partner relationships, which may position them to identify and respond more successfully to market developments and changes in customer demands; and</w:t>
      </w: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product offerings, which may enable them to offer bundled discounts for customers purchasing multiple products or other incentives that we cannot match or offer.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principal competitive factors in our market include:</w:t>
      </w:r>
    </w:p>
    <w:p>
      <w:pPr>
        <w:spacing w:after="0" w:line="13" w:lineRule="exact"/>
        <w:rPr>
          <w:sz w:val="20"/>
          <w:szCs w:val="20"/>
          <w:color w:val="auto"/>
        </w:rPr>
      </w:pPr>
    </w:p>
    <w:p>
      <w:pPr>
        <w:ind w:left="660" w:right="20" w:hanging="328"/>
        <w:spacing w:after="0" w:line="24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products, including particle removal efficiency, rate of damage to wafer structures, high temperature chemistry, throughput, tool uptime and reliability, safety, chemical waste treatment, and environmental impact;</w:t>
      </w: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service support capability and spare parts delivery time; innovation and development of functionality and features that are must-haves for advanced fabrication nodes;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ability to anticipate customer requirements, especially for advanced process nodes of less than 45nm; ability to identify new process applications;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recognition and reputation;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skill and capability of personnel, including design engineers, manufacturing engineers and technicians, application engineers, and service engineers.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semiconductor manufacturers must make a substantial investment to qualify and integrate new equipment into semiconductor production lines. Some manufacturers began fabricating chips for the 10nm node in 2017 and the 7nm node in 2018, and we have one customer that is evaluating implementation of our equipment at these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TEBO and Tahoe technologies, which we believe offer better performance, much less chemical consumption, and lower cost of consumables, including at advanced process nodes of 22nm or less.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December 31, 2019, we had 361 full-time equivalent employees, of whom 32 were in administration, 89 were in manufacturing, 149 were in research and development, and 91 were in sales and marketing and customer services. Of these employees, 328 were located in mainland China and Taiwan, 28 were located in Korea and 5 were based in the United States. We have never had a work stoppage, and none of our employees are represented by a labor organization or subject to any collective bargaining arrangements. We consider our employee relations to be good.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required to file annual, quarterly and current reports, proxy statements and other information with the SEC. The SEC maintains a website at www.sec.gov that contains reports, proxy and information statements, and other information regarding issuers that file electronically with the SEC.</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 www.acmrcsh.com as soon as reasonably practicable after such reports are electronically filed with or furnished to the SEC.</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Investors should note that we announce material information to our investors and others using filings with the SEC, press releases, public conference calls, webcasts or our website (www.acmrcsh.com),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www.acmrcsh.com. The information on our website is not, and shall not be deemed to be, a part hereof or incorporated into this or any of our other filings with the SEC.</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1. Financial Statements” of Part I above,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Our Industry</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have generated limited operating income in the past, and if our revenue does not meet our expectations in future years we may not be able to maintain or increase our profitability.</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have incurred significant losses since our inception in 1998. We generated net income of $19.5 million in 2019 and $6.6 million in 2018, but incurred net losses in every year from 1998 to 2015 and in 2017. We have a limited history of generating meaningful levels of revenue, and we expect our costs to increase in future periods. If we are unable to increase our revenue at a rate sufficient to offset the expected increase in our costs, our business, financial position and results of operations will be harmed and we may not be able to achieve or maintain profitability over the long term.</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revenue was $107.5 million in 2019 and $74.6 million in 2018, but totaled only $36.5 million in 2017, $27.4 million in 2016 and $31.2 million in 2015. Our ability to generate significant revenue depends on a number of factors, including our ability to:</w:t>
      </w:r>
    </w:p>
    <w:p>
      <w:pPr>
        <w:spacing w:after="0" w:line="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wider market acceptance of Ultra C equipment based on SAPS, TEBO and Tahoe technology;</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 our customer base in the PRC and globally, including the establishment of relationships with companies in the United States;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expand our supplier relationships with third parties;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our reputation for providing efficient on-time delivery of high quality products.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We expect to expend increasing levels of financial and other resources on:</w:t>
      </w:r>
    </w:p>
    <w:p>
      <w:pPr>
        <w:spacing w:after="0" w:line="1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including continued investments in our research and development team;</w:t>
      </w:r>
    </w:p>
    <w:p>
      <w:pPr>
        <w:spacing w:after="0" w:line="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goods being manufactured and sold for our installed base;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field service.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These investments may not result in increased revenue or growth in our business.</w:t>
      </w:r>
    </w:p>
    <w:p>
      <w:pPr>
        <w:spacing w:after="0" w:line="21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Additionally, we may encounter unforeseen operating expenses, difficulties, complications, delays and other factors that may result in losses in future periods. If we fail to regain and sustain profitability on a continuing basis, we may be unable to continue our operations at planned levels and be forced to reduce our operations or even shut down.</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may need to raise funds in the future, depending on many factors, including:</w:t>
      </w:r>
    </w:p>
    <w:p>
      <w:pPr>
        <w:spacing w:after="0" w:line="1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sales growth;</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applying our existing technologies to new or enhanced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developing new technologies and introducing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our expansion, including capital expenditures, increasing our sales and marketing and service and support efforts, and expanding our geographic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obtain governmental subsidies for developmental projects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debt repayment obligations;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timing of any future acquisitions.</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Proceeds received by ACM Shanghai from the initial placements of shares with PRC investors and from the planned listing initial public offering of shares of ACM Shanghai in the PRC, which we refer to as the STAR IPO, in connection with the planned listing, which we refer to as the STAR Listing, of ACM Shanghai shares on the Shanghai Stock Exchange’s Sci-Tech innovAtion boaRd, or STAR Market, will be used to grow and support our PRC operations. Those proceeds generally will not be available for distribution to ACM Research. Under existing PRC laws and regulations, it may be difficult, if not impossible, for ACM Research to be able to receive dividends comprised of funds generated by ACM Shanghai and, even if such dividends can be paid from the PRC to the United States, after the completion of the STAR Listing and the STAR IPO, any such dividends can be paid to ACM Research only if other holders of ACM Shanghai shares receive their pro rata dividends. As a result, it is unlikely that funds raised or generated by ACM Shanghai will be readily distributable to ACM Research.</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Our quarterly operating results can be difficult to predict and can fluctuate substantially, which could result in volatility in the price of Class A common stock.</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ind w:left="660" w:hanging="328"/>
        <w:spacing w:after="0" w:line="24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cyclicality of the semiconductor industry and the related impact on the purchase of equipment used in the manufacture of integrated circuits, or chips;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purchases of our tools by chip fabricators, which order types of tools based on multi-year capital plans under which the number and dollar amount of tool purchases can vary significantly from year to year;</w:t>
      </w: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significant expenditures required to customize our products often exceed the deposits received from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lead time required to manufacture our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recognizing revenue due to the timing of shipment and acceptance of our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sell additional tools to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changes in customer specifications or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our product sales cycle;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product mix, including the mix of systems, upgrades, spare parts and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product releases or upgrades or announcements of product releases or upgrades by us or our competitors, including changes in customer orders in anticipation of new products or product enhancements;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enhance our tools with new and better functionality that meet customer requirements and changing industry trends;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constraints on our suppliers’ capacity;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investments in research and development related to releasing new applications of our technologies and new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development and manufacture of our new products and upgraded versions of our products and the market acceptance of these products when introduced;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control costs, including operating expenses and the costs of the components and subassemblies used in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related to the acquisition and integration of product lines, technologies or businesses;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or Lunar,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PRC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success will depend on industry chip manufacturers adopting our SAPS, TEBO and Tahoe technologies.</w:t>
      </w: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and Tahoe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If our SAPS, TEBO and Tahoe technologies do not achieve widespread market acceptance, we will not be able to compete effectively.</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commercial success of our tools will depend, in part, on gaining substantial market acceptance by chip manufacturers. Our ability to gain acceptance for our products will depend upon a number of factors, including:</w:t>
      </w:r>
    </w:p>
    <w:p>
      <w:pPr>
        <w:spacing w:after="0" w:line="1" w:lineRule="exact"/>
        <w:rPr>
          <w:sz w:val="20"/>
          <w:szCs w:val="20"/>
          <w:color w:val="auto"/>
        </w:rPr>
      </w:pPr>
    </w:p>
    <w:p>
      <w:pPr>
        <w:ind w:left="660" w:right="20" w:hanging="328"/>
        <w:spacing w:after="0" w:line="24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demonstrate the differentiated, innovative nature of our SAPS, TEBO and Tahoe technologies and the advantages of our tools over those of our competitors;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compatibility of our tools with existing or potential customers’ manufacturing processes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customer service available to support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experiences our customers have with our products.</w:t>
      </w:r>
    </w:p>
    <w:p>
      <w:pPr>
        <w:spacing w:after="0" w:line="23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If we do not continue to enhance our existing single-wafer wet cleaning tools and achieve market acceptance, we will not be able to compete effectively.</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and Tahoe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accurate anticipation of market requirements, changes in technology and evolving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design products that meet chip manufacturers’ cost, size, acceptance and specification criteria, and performance requirements;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and availability of suppliers and third-party manufacturers to manufacture and deliver the critical components and subassemblies of our tools in a timely manner;</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lifecycle of those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deliver products in a timely manner within our customers’ product planning and deployment cycle.</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If we are unable to implement our strategy to expand our PRC operations by completing an initial public offering and listing on the STAR Market, our ability to strengthen our market position and operations in the PRC, including our ability to increase our revenues and augment our product line, could be materially impaired.</w:t>
      </w:r>
    </w:p>
    <w:p>
      <w:pPr>
        <w:spacing w:after="0" w:line="196" w:lineRule="exact"/>
        <w:rPr>
          <w:sz w:val="20"/>
          <w:szCs w:val="20"/>
          <w:color w:val="auto"/>
        </w:rPr>
      </w:pPr>
    </w:p>
    <w:p>
      <w:pPr>
        <w:jc w:val="both"/>
        <w:spacing w:after="0" w:line="246" w:lineRule="exact"/>
        <w:rPr>
          <w:sz w:val="20"/>
          <w:szCs w:val="20"/>
          <w:color w:val="auto"/>
        </w:rPr>
      </w:pPr>
      <w:r>
        <w:rPr>
          <w:rFonts w:ascii="Arial" w:cs="Arial" w:eastAsia="Arial" w:hAnsi="Arial"/>
          <w:sz w:val="21"/>
          <w:szCs w:val="21"/>
          <w:color w:val="auto"/>
        </w:rPr>
        <w:t>In June 2019 we announced plans to complete over the following three years the STAR Listing, which consists of a listing, of shares of ACM Shanghai on the Shanghai Stock Exchange’s STAR Market, and the STAR IPO, which would be a concurrent initial public offering of ACM Shanghai shares in the PRC. ACM Shanghai is our principal operating company and, prior to the STAR Listing process, was a wholly owned subsidiary of ACM Research. Following the STAR Listing and the STAR IPO, ACM Shanghai will be a majority owned subsidiary of ACM Research. We may not be able to complete the STAR Listing and the STAR IPO for a number of reasons, many of which are outside our control. ACM Shanghai must succeed in obtaining PRC governmental approvals required to permit the STAR Listing and the STAR IPO, and one or more of those approvals may be denied, or significantly delayed, by the PRC regulators for reasons outside our control or unknown to us. Similarly, the STAR Listing application may be denied or delayed by the Shanghai Stock Exchange in its discretion. See also “—Risks Related to the COVID-19 Outbreak—The COVID</w:t>
      </w:r>
      <w:r>
        <w:rPr>
          <w:rFonts w:ascii="MS PGothic" w:cs="MS PGothic" w:eastAsia="MS PGothic" w:hAnsi="MS PGothic"/>
          <w:sz w:val="21"/>
          <w:szCs w:val="21"/>
          <w:color w:val="auto"/>
        </w:rPr>
        <w:t>‑</w:t>
      </w:r>
      <w:r>
        <w:rPr>
          <w:rFonts w:ascii="Arial" w:cs="Arial" w:eastAsia="Arial" w:hAnsi="Arial"/>
          <w:sz w:val="21"/>
          <w:szCs w:val="21"/>
          <w:color w:val="auto"/>
        </w:rPr>
        <w:t>19 outbreak could negatively impact our currently planned projects and investments in the PRC, including the STAR IPO.”</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we are unable to complete the STAR Listing and the STAR IPO, we may not otherwise be able to realize the advantages to our PRC operations contemplated by our business strategy, including improving our ability to market our products, building our brand in the PRC markets, assisting our sales efforts to new customers and encouraging additional purchases of our tools by existing customers. Because it may be more than three years before we know whether the STAR Listing and the STAR IPO will be completed, we may, in the interim, forego or postpone other alternative actions to strengthen our market position and operations in the PRC.</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PRC companies are critical to the global semiconductor industry, and our current business is substantially concentrated in the PRC market. Our inability to build, or any delay in growing, our PRC-based operations over the next three years would materially and adversely limit our operations and operating results, including our revenue growth. In addition, during that time, the process underlying the STAR Listing and the STAR IPO could result in significant diversion of management time as well as substantial out-of-pocket costs, which could further impair our ability to expand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success will depend on our ability to identify and enter new product markets.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20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chip equipment industry is highly competitive, and we face substantial competition throughout the world in each of the markets we serve. Many of our current and potential competitors have, among other things:</w:t>
      </w:r>
    </w:p>
    <w:p>
      <w:pPr>
        <w:spacing w:after="0" w:line="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financial, technical, sales and marketing, manufacturing, distribution and other resources;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credibility and market reputations;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more extensive service offerings, including the ability to have large inventories of spare parts available near, or even at, customer locations;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sales forces;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extensive geographic coverage.</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chip manufacturing industry is highly concentrated, and we derive most of our revenue from a limited number of customers. In 2019, 73.8% of our revenue was derived from three customers: Yangtze Memory Technologies Co., Ltd., a leading PRC memory chip company, together with one of its subsidiaries, accounted for 27.5% of our revenue; Shanghai Huali Microelectronics Corporation, and the operations of The Huahong Group in Wuxi, China, a leading PRC foundry, accounted for 26.5% of our revenue; and SK Hynix Inc., a leading Korean memory chip company, accounted for 19.8% of our revenue. In 2018, 87.6% of our revenue was derived from three customers: Yangtze Memory Technologies Co., Ltd., a leading PRC memory chip company, together with one of its subsidiaries, accounted for 39.6% of our revenue; Shanghai Huali Microelectronics Corporation, a leading PRC foundry, accounted for 24.2% of our revenue; and SK Hynix Inc., a leading Korean memory chip company, accounted for 23.8% of our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customers do not enter into long-term purchase commitments, and they may decrease, cancel or delay their projected purchases at any time.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accordance with industry practice, our sales are on a purchase order basis, which we seek to obtain three to four months in advance of the expected product delivery date. Until a purchase order is received, we do not have a binding purchase commitment. Our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8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a significant amount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duration or ultimate success of our sales cycle depends on factors such as:</w:t>
      </w:r>
    </w:p>
    <w:p>
      <w:pPr>
        <w:spacing w:after="0" w:line="1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by our sales force;</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complexity of our customers’ manufacturing processes and the compatibility of our tools with those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internal technical capabilities and sophistication;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customers’ capital spending plans and processes, including budgetary constraints, internal approvals, extended negotiations or administrative delays.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Difficulties in forecasting demand for our tools may lead to periodic inventory shortages or excess spending on inventory items that may not be used.</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failure to prevent inventory shortages or accurately predict customers’ needs could result in decreased revenue and gross margins and harm our business.</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If our tools contain defects or do not meet customer specifications, we could lose customers and revenue.</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customers may delay or reject acceptance of our tools that contain defects or fail to meet their specifications;</w:t>
      </w:r>
    </w:p>
    <w:p>
      <w:pPr>
        <w:spacing w:after="0" w:line="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suffer customer dissatisfaction, negative publicity and reputational damage, resulting in reduced orders or otherwise damaging our ability to retain existing customers and attract new customers;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substantial costs as a result of warranty claims or service obligations or in order to enhance the reliability of our tools;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attention of our technical and management resources may be diverted;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replace defective systems or invest significant capital to resolve these problems;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write off inventory and other assets related to our tools.</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Warranty claims in excess of our estimates could adversely affect our business.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have provided warranties against manufacturing defects of our tools that range from 12 to 36 months in duration. Our product warranty requires us to provide labor and parts necessary to repair defects. As of December 31, 2019, we had accrued $2.8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1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13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price increases;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capacity shortages or other inability to meet any increase in demand for our products;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over manufacturing process for components and subassemblies and delivery schedules;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ability of some suppliers to manufacture and sell subassemblies or parts in the volumes we require and at acceptable quality levels and prices, due to the suppliers’ relatively small operations and limited manufacturing resources;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exposure to potential misappropriation of our intellectual property;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warranties on subassemblies and components supplied to us.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Any shortage of components or subassemblies could result in delayed delivery of products to us or in increased costs to us, which could harm our business.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Ninebell Co., Ltd., or Ninebell, as the principal supplier of robotic delivery system subassemblies used in our single-wafer cleaning equipment; and Advanced Electric Co. Inc., as a key supplier of valves used in our single-wafer cleaning equipment. An adverse change to our relationship with any of these suppliers would disrupt our production of single-wafer cleaning equipment and could cause substantial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received subsidies from local and central governmental authorities in the PRC in 2008, 2009, 2014, 2018, and 2019.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SAPS, TEBO, Tahoe and ECP. To the extent that we receive a lower level of, or no, governmental subsidies in the future, we may need to raise additional funds through public or private financings, strategic relationships, or other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success of our business will depend on our ability to manage any future growth.</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experienced rapid growth in our business recently due, in part, to an expansion of our product offerings and an increase in the number of customers that we serve. For example, our headcount grew by 35% during 2018 and by an additional 32% during 2019.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spacing w:after="0" w:line="6" w:lineRule="exact"/>
        <w:rPr>
          <w:sz w:val="20"/>
          <w:szCs w:val="20"/>
          <w:color w:val="auto"/>
        </w:rPr>
      </w:pPr>
    </w:p>
    <w:p>
      <w:pPr>
        <w:ind w:left="660" w:hanging="328"/>
        <w:spacing w:after="0" w:line="24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train, integrate and manage additional qualified engineers for research and development activities, sales and marketing personnel, service and support personnel and financial and information technology personnel;</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multiple relationships with our customers, suppliers and other third parties;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enhance our information technology infrastructure, systems and controls.</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organizational structure has become more complex, including as a result of preparations for the STAR Listing and the STAR IPO. We will need to continue to scale and adapt our operational, financial and management controls, as well as our reporting systems and procedures, at both ACM Research and ACM Shanghai. The continued expansion of our infrastructure will require us to commit substantial financial, operational and management resources before our revenue increases and without any assurances that our revenue will increase.</w:t>
      </w:r>
    </w:p>
    <w:p>
      <w:pPr>
        <w:spacing w:after="0" w:line="21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Even if we complete the STAR Listing and the STAR IPO, we may not achieve the results contemplated by our business strategy and our strategy for growth in the PRC may not result in increases in the price of Class A common stock.</w:t>
      </w:r>
    </w:p>
    <w:p>
      <w:pPr>
        <w:spacing w:after="0" w:line="13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cannot assure you that, even if the STAR Listing and the STAR IPO are completed, we will realize any or all of our anticipated benefits of the STAR Listing and the STAR IPO. Our completion of the STAR Listing and the STAR IPO may not have the anticipated effects of including the strengthening of our market position and operations in the PRC. If the STAR Listing and the STAR IPO are completed, ACM Shanghai will have broad discretion in the use of the proceeds from the initial sales of shares to investors and the proceeds from the STAR IPO, and it may not spend or invest those proceeds in a manner that results in our operating success or with which ACM Research stockholders agree. Our failure to successfully leverage the completion of the STAR Listing and the STAR IPO to expand our PRC business could result in a decrease in the price of the Class A common stock, and we cannot assure you that the success of ACM Shanghai will have a an attendant positive effect on the price of the Class A common stock.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Completion of the STAR Listing and the STAR IPO may not occur until 2022 or later. In order to help ensure that proceeds from the current placements of shares with PRC investors can be repaid if necessary under the terms of the applicable agreements, ACM Shanghai will reserve those proceeds in segregated accounts and therefore those proceeds will not be available to fund our operations in the PRC. In the interim, ACM Shanghai may require additional funding from ACM Research in order to proceed to augment its PRC operations, and we cannot give any assurance that such capital will be available from ACM Research at all in terms acceptable to us. Any such inability to obtain funds may impair the ability of ACM Shanghai to grow its operations, which could have a material adverse effect on our consolidated operating results and on the price of the Class A common stock.</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ACM Shanghai’s status as a publicly traded company that is controlled, but less than wholly owned, by ACM Research could have an adverse effect on us.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the result of actions being taken in connection with the STAR Listing and the STAR IPO, ACM Shanghai will no longer be a wholly owned subsidiary of ACM Research, and the interests of ACM Shanghai may diverge from the interests of ACM Research and its other subsidiaries in the future. We may face conflicts of interest in managing, financing or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the PRC and is owned by ACM Shanghai. As we expand our global operations through operating subsidiaries outside of the PRC,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ACM Research will retain majority ownership of ACM Shanghai after the STAR IPO, but ACM Shanghai will be managed by a separate board of directors and officers and those directors and officers will owe fiduciary duties to the various stakeholders of ACM Shanghai, including shareholders other than ACM Research. In the operation of ACM Shanghai’s business, there may be situations that arise whereby the directors and officers of ACM Shanghai, in the exercise of their fiduciary duties, take actions that may be contrary to the best interests of ACM Research.</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highly dependent on our Chief Executive Officer and President and other senior management and key employees.</w:t>
      </w:r>
    </w:p>
    <w:p>
      <w:pPr>
        <w:spacing w:after="0" w:line="26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success largely depends on the skills, experience and continued efforts of our management, technical and sales personnel, including in particular Dr. David H. Wang, the Chair of the Board, Chief Executive Officer and President of ACM Research. All of our senior management are at-will employees, which means either we or the employee may terminate their employment at any time. If one or more of our other senior management were unable or unwilling to continue their employment with us, we may not be able to replace them in a timely manner. Moreover, in connection with planning for the STAR Listing and the STAR IPO, ACM Shanghai is now managed by a group of officers separate from those of ACM Research and those officers owe fiduciary duties to the various stakeholders of ACM Shanghai. We do not have employment or retention agreements with, or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The loss of Dr. Wang or other key management personnel, including our Chief Financial Officer, could significantly delay or prevent the achievement of our business objectives.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Failure to attract and retain qualified personnel could put us at a competitive disadvantage and prevent us from effectively growing our business.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ability to utilize certain U.S. and state net operating loss carryforwards may be limited under applicable tax laws.</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2019, we had net operating loss carryforward amounts, or NOLs, of $12.2 million for U.S. federal income tax purposes and $559,000 for U.S. state income tax purposes. The federal and state NOLs will expire at various dates beginning in 2020.</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 previous ownership changes, including in connection with our initial public offering and concurrent private placement in November 2017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Acquisitions that we pursue in the future, whether or not consummated, could result in other operating and financial difficulties.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acquired product lines, technologies or businesses may not improve our financial and strategic position as planned;</w:t>
      </w:r>
    </w:p>
    <w:p>
      <w:pPr>
        <w:spacing w:after="0" w:line="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determine we have overpaid for the product lines, technologies or businesses, or that the economic conditions underlying our acquisition have changed;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have difficulty integrating the operations and personnel of the acquired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have difficulty retaining the employees with the technical skills needed to enhance and provide services with respect to the acquired product lines or technologies;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acquisition may be viewed negatively by customers, employees, suppliers, financial markets or investors;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have difficulty incorporating the acquired product lines or technologies with our existing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encounter a competitive response, including price competition or intellectual property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incur one-time write-offs, such as acquired in-process research and development costs, and restructuring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acquire goodwill and other intangible assets that are subject to impairment tests, which could result in future impairment charges;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ongoing business and management’s attention may be disrupted or diverted by transition or integration issues and the complexity of managing geographically or culturally diverse enterprises;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existing issues with the target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19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demand for our products;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reserves on accounts receivable due to our customers’ inability to pay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reserves on inventory balances due to excess or obsolete inventory as a result of our inability to sell such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valuation allowances on deferred tax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impairments including the potential impairment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the value of our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the value of certain facilities we lease to less than our residual value guarantee with the lessor;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maintaining reliable and uninterrupted sources of supply.</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conduct substantially all of our operations outside the United States and face risks associated with conducting business in foreign markets.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All of our sales in 2018 and 2019 were made to customers outside the United States. Our manufacturing center has been located in Shanghai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ind w:left="660" w:hanging="328"/>
        <w:spacing w:after="0" w:line="24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or adverse changes in, foreign laws or regulatory requirements, such as work stoppages and travel restrictions imposed in connection with the COVID-19 pandemic;</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need to comply with the import laws and regulations of various foreign jurisdictions, including a range of U.S. import laws;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adverse tax consequences, including withholding tax rules that may limit the repatriation of our earnings, and higher effective income tax rates in foreign countries where we conduct business;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from local suppliers with which potential customers may prefer to do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seasonal reduction in business activity, such as during the Lunar New Year in parts of Asia and in other periods in various individual countries;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sales cycles and reliance on indirect sales in certain regions;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length of time for shipping and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responding to customer requests for maintenance and spare parts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the increased travel, infrastructure and legal and compliance costs associated with multiple international locations;</w:t>
      </w: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ind w:left="66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particular, the Asian market is extremely competitive, and chip manufacturers may be aggressive in seeking price concessions from suppliers, including chip equipment manufacturers.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Fluctuation in foreign currency exchange rates may adversely affect our results of operations and financial position.</w:t>
      </w:r>
    </w:p>
    <w:p>
      <w:pPr>
        <w:spacing w:after="0" w:line="26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Changes in government trade policies could limit the demand for our tools and increase the cost of our tools.</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General trade tensions between the United States and the PRC escalated beginning in 2018. In each of July, August and September 2018, June and September 2019, and February 2020, the U.S. government imposed a round of new or higher tariffs on specified imported products originating from the PRC in response to what the U.S. government characterizes as unfair trade practices. The PRC government responded to each of these rounds of U.S. tariff changes by imposing new or higher tariffs on specified products imported from the United States. Higher duties on existing tariffs and further rounds of tariffs have been announced or threatened by U.S. and PRC leaders.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imposition of tariffs by the U.S. and PRC governments and the surrounding economic uncertainty may negatively impact the semiconductor industry, including reducing the demand of fabricators for capital 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the PRC were to impose additional tariffs on raw materials, subsystems or other supplies that we source from the United States, our cost for those supplies would increase. As a result of any of the foregoing events, the imposition or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conditions.</w:t>
      </w:r>
    </w:p>
    <w:p>
      <w:pPr>
        <w:spacing w:after="0" w:line="21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production facilities could be damaged or disrupted by a natural disaster, war, terrorist attacks or other catastrophic events.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BDO China is the independent registered public accounting firm that issued the audit report included in this report in connection with our consolidated financial statements as of, and for the years ended, December 31, 2019 and 2018.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May 2013 the PCAOB announced that it had entered into a Memorandum of Understanding on Enforcement Cooperation with the China Securities Regulatory Commission and the Ministry of Finance of China pursuant to which the Ministry of Finance established a cooperative framework between the parties for the 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Intellectual Property</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success depends on our ability to protect our intellectual property, including our SAPS, TEBO, Tahoe, SFP and ECP technologies.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commercial success depends in part on our ability to obtain and maintain patent and trade secret protection for our intellectual property, including our SAPS, TEBO, Tahoe, SFP and ECP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3" w:lineRule="exact"/>
        <w:rPr>
          <w:sz w:val="20"/>
          <w:szCs w:val="20"/>
          <w:color w:val="auto"/>
        </w:rPr>
      </w:pPr>
    </w:p>
    <w:p>
      <w:pPr>
        <w:jc w:val="both"/>
        <w:ind w:left="660" w:hanging="328"/>
        <w:spacing w:after="0" w:line="264"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Patents that may be issued may be challenged, invalidated, modified, revoked, circumvented, found to be unenforceable or otherwise may not provide any competitive advantage.</w:t>
      </w:r>
    </w:p>
    <w:p>
      <w:pPr>
        <w:ind w:left="660" w:right="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may seek or may have already obtained patents that will limit, interfere with, or eliminate our ability to make, use and sell our potential product candidates.</w:t>
      </w:r>
    </w:p>
    <w:p>
      <w:pPr>
        <w:ind w:left="660" w:hanging="328"/>
        <w:spacing w:after="0" w:line="26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not be able to protect our intellectual property rights throughout the world, including the PRC, which could materially, negatively affect our business.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significant majority of our intellectual property has been developed in the PRC and is owned by ACM Shanghai. Implementation and enforcement of intellectual property-related laws in the PRC has historically been lacking due primarily to ambiguities in PRC intellectual property law. Accordingly, protection of intellectual property and proprietary rights in the PRC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the PRC’s legal system and potential difficulties enforcing a court judgment in the PRC, there is no guarantee litigation would result in an outcome favorable to us.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Any potential intellectual property claims or litigation commenced against us could:</w:t>
      </w:r>
    </w:p>
    <w:p>
      <w:pPr>
        <w:spacing w:after="0" w:line="1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time consuming and expensive to defend, whether or not meritorious;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force us to stop selling products or using technology that allegedly infringes the third party’s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shipments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pay damages or settlement fees to the party claiming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attempt to obtain a license to the relevant intellectual property, which may not be available on reasonable terms or at all;</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force us to attempt to redesign products that contain the allegedly infringing technology, which could be expensive or which we may be unable to do;</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indemnify our customers, suppliers or other third parties for any loss caused by their use of our technology that allegedly infringes the third party’s intellectual property rights; or</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divert the attention of our technical and managerial resources.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207"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color w:val="auto"/>
        </w:rPr>
        <w:t>Risks Related to the COVID</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19 Outbreak</w:t>
      </w:r>
    </w:p>
    <w:p>
      <w:pPr>
        <w:spacing w:after="0" w:line="212" w:lineRule="exact"/>
        <w:rPr>
          <w:sz w:val="20"/>
          <w:szCs w:val="20"/>
          <w:color w:val="auto"/>
        </w:rPr>
      </w:pPr>
    </w:p>
    <w:p>
      <w:pPr>
        <w:jc w:val="both"/>
        <w:spacing w:after="0" w:line="247" w:lineRule="exact"/>
        <w:rPr>
          <w:sz w:val="20"/>
          <w:szCs w:val="20"/>
          <w:color w:val="auto"/>
        </w:rPr>
      </w:pPr>
      <w:r>
        <w:rPr>
          <w:rFonts w:ascii="Arial" w:cs="Arial" w:eastAsia="Arial" w:hAnsi="Arial"/>
          <w:sz w:val="19"/>
          <w:szCs w:val="19"/>
          <w:i w:val="1"/>
          <w:iCs w:val="1"/>
          <w:color w:val="auto"/>
        </w:rPr>
        <w:t>The outbreak of COVID</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19, the coronavirus, continues to grow both in the United States and globally, and related government and private sector responsive actions are adversely affecting our business operations. COVID</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19 originated in Wuhan, China, in December 2019 and has subsequently spread rapidly across the PRC and globally. A series of emergency quarantine measures taken by the PRC government disrupted domestic business activities in the PRC during the weeks after the initial outbreak of COVID</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19. Since that time, an increasing number of countries, including the United States, have imposed restrictions on travel to and from the PRC and elsewhere, as well as general movement restrictions, business closures and other measures imposed to slow the spread of COVID</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19. Despite having largely contained COVID-19, the PRC and other Asian countries are now facing a potential second COVID-19 wave, attributable to individuals entering those countries.</w:t>
      </w:r>
    </w:p>
    <w:p>
      <w:pPr>
        <w:spacing w:after="0" w:line="186" w:lineRule="exact"/>
        <w:rPr>
          <w:sz w:val="20"/>
          <w:szCs w:val="20"/>
          <w:color w:val="auto"/>
        </w:rPr>
      </w:pPr>
    </w:p>
    <w:p>
      <w:pPr>
        <w:jc w:val="both"/>
        <w:spacing w:after="0" w:line="247" w:lineRule="exact"/>
        <w:rPr>
          <w:sz w:val="20"/>
          <w:szCs w:val="20"/>
          <w:color w:val="auto"/>
        </w:rPr>
      </w:pPr>
      <w:r>
        <w:rPr>
          <w:rFonts w:ascii="Arial" w:cs="Arial" w:eastAsia="Arial" w:hAnsi="Arial"/>
          <w:sz w:val="21"/>
          <w:szCs w:val="21"/>
          <w:i w:val="1"/>
          <w:iCs w:val="1"/>
          <w:color w:val="auto"/>
        </w:rPr>
        <w:t>We have set forth below key risks from the COVID</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19 outbreak that we have identified to date. The situation continues to develop rapidly, however, and it is impossible to predict the effect and ultimate impact of the COVID</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19 outbreak on our business operations and results. While the quarantine, social distancing and other regulatory measures instituted or recommended in response to COVID</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19 are expected to be temporary, the duration of the business disruptions, and related financial impact, cannot be estimated at this time. The COVID</w:t>
      </w:r>
      <w:r>
        <w:rPr>
          <w:rFonts w:ascii="MS PGothic" w:cs="MS PGothic" w:eastAsia="MS PGothic" w:hAnsi="MS PGothic"/>
          <w:sz w:val="21"/>
          <w:szCs w:val="21"/>
          <w:i w:val="1"/>
          <w:iCs w:val="1"/>
          <w:color w:val="auto"/>
        </w:rPr>
        <w:t>‑</w:t>
      </w:r>
      <w:r>
        <w:rPr>
          <w:rFonts w:ascii="Arial" w:cs="Arial" w:eastAsia="Arial" w:hAnsi="Arial"/>
          <w:sz w:val="21"/>
          <w:szCs w:val="21"/>
          <w:i w:val="1"/>
          <w:iCs w:val="1"/>
          <w:color w:val="auto"/>
        </w:rPr>
        <w:t>19 outbreak could evolve into a worldwide health crisis that could adversely affect the economies and financial markets of many countries, resulting in an economic downturn and changes in global economic policy that could reduce demand for our products and our customers’ chips and have a material adverse impact on our business, operating results and financial condition.</w:t>
      </w:r>
    </w:p>
    <w:p>
      <w:pPr>
        <w:sectPr>
          <w:pgSz w:w="11900" w:h="16838" w:orient="portrait"/>
          <w:cols w:equalWidth="0" w:num="1">
            <w:col w:w="11240"/>
          </w:cols>
          <w:pgMar w:left="320" w:top="121" w:right="339" w:bottom="89" w:gutter="0" w:footer="0" w:header="0"/>
        </w:sectPr>
      </w:pPr>
    </w:p>
    <w:bookmarkStart w:id="36" w:name="page37"/>
    <w:bookmarkEnd w:id="36"/>
    <w:p>
      <w:pPr>
        <w:jc w:val="both"/>
        <w:spacing w:after="0" w:line="259" w:lineRule="exact"/>
        <w:rPr>
          <w:sz w:val="20"/>
          <w:szCs w:val="20"/>
          <w:color w:val="auto"/>
        </w:rPr>
      </w:pPr>
      <w:r>
        <w:rPr>
          <w:rFonts w:ascii="Arial" w:cs="Arial" w:eastAsia="Arial" w:hAnsi="Arial"/>
          <w:sz w:val="21"/>
          <w:szCs w:val="21"/>
          <w:b w:val="1"/>
          <w:bCs w:val="1"/>
          <w:i w:val="1"/>
          <w:iCs w:val="1"/>
          <w:color w:val="auto"/>
        </w:rPr>
        <w:t>Substantially all of our operations are located in the PRC and other areas impacted by the COVID</w:t>
      </w:r>
      <w:r>
        <w:rPr>
          <w:rFonts w:ascii="MS PGothic" w:cs="MS PGothic" w:eastAsia="MS PGothic" w:hAnsi="MS PGothic"/>
          <w:sz w:val="21"/>
          <w:szCs w:val="21"/>
          <w:b w:val="1"/>
          <w:bCs w:val="1"/>
          <w:i w:val="1"/>
          <w:iCs w:val="1"/>
          <w:color w:val="auto"/>
        </w:rPr>
        <w:t>‑</w:t>
      </w:r>
      <w:r>
        <w:rPr>
          <w:rFonts w:ascii="Arial" w:cs="Arial" w:eastAsia="Arial" w:hAnsi="Arial"/>
          <w:sz w:val="21"/>
          <w:szCs w:val="21"/>
          <w:b w:val="1"/>
          <w:bCs w:val="1"/>
          <w:i w:val="1"/>
          <w:iCs w:val="1"/>
          <w:color w:val="auto"/>
        </w:rPr>
        <w:t>19 outbreak, and those operations have been, and may continue to be, adversely affected by the COVID</w:t>
      </w:r>
      <w:r>
        <w:rPr>
          <w:rFonts w:ascii="MS PGothic" w:cs="MS PGothic" w:eastAsia="MS PGothic" w:hAnsi="MS PGothic"/>
          <w:sz w:val="21"/>
          <w:szCs w:val="21"/>
          <w:b w:val="1"/>
          <w:bCs w:val="1"/>
          <w:i w:val="1"/>
          <w:iCs w:val="1"/>
          <w:color w:val="auto"/>
        </w:rPr>
        <w:t>‑</w:t>
      </w:r>
      <w:r>
        <w:rPr>
          <w:rFonts w:ascii="Arial" w:cs="Arial" w:eastAsia="Arial" w:hAnsi="Arial"/>
          <w:sz w:val="21"/>
          <w:szCs w:val="21"/>
          <w:b w:val="1"/>
          <w:bCs w:val="1"/>
          <w:i w:val="1"/>
          <w:iCs w:val="1"/>
          <w:color w:val="auto"/>
        </w:rPr>
        <w:t>19 outbreak.</w:t>
      </w:r>
    </w:p>
    <w:p>
      <w:pPr>
        <w:spacing w:after="0" w:line="185" w:lineRule="exact"/>
        <w:rPr>
          <w:sz w:val="20"/>
          <w:szCs w:val="20"/>
          <w:color w:val="auto"/>
        </w:rPr>
      </w:pPr>
    </w:p>
    <w:p>
      <w:pPr>
        <w:jc w:val="both"/>
        <w:spacing w:after="0" w:line="247" w:lineRule="exact"/>
        <w:rPr>
          <w:sz w:val="20"/>
          <w:szCs w:val="20"/>
          <w:color w:val="auto"/>
        </w:rPr>
      </w:pPr>
      <w:r>
        <w:rPr>
          <w:rFonts w:ascii="Arial" w:cs="Arial" w:eastAsia="Arial" w:hAnsi="Arial"/>
          <w:sz w:val="22"/>
          <w:szCs w:val="22"/>
          <w:color w:val="auto"/>
        </w:rPr>
        <w:t>We conduct substantially all of our product development, manufacturing, support and services in the PRC, and those activities have been directly impacted by the COVID</w:t>
      </w:r>
      <w:r>
        <w:rPr>
          <w:rFonts w:ascii="MS PGothic" w:cs="MS PGothic" w:eastAsia="MS PGothic" w:hAnsi="MS PGothic"/>
          <w:sz w:val="22"/>
          <w:szCs w:val="22"/>
          <w:color w:val="auto"/>
        </w:rPr>
        <w:t>‑</w:t>
      </w:r>
      <w:r>
        <w:rPr>
          <w:rFonts w:ascii="Arial" w:cs="Arial" w:eastAsia="Arial" w:hAnsi="Arial"/>
          <w:sz w:val="22"/>
          <w:szCs w:val="22"/>
          <w:color w:val="auto"/>
        </w:rPr>
        <w:t>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and we do not expect all of the staff at our Shanghai facility to return to work until the second quarter of 2020. We cannot assure you that further closures or reductions of our PRC operations or production may not be necessary in upcoming months as the result of business interruptions arising from protective measures being taken by the PRC and other governmental agencies or of other consequences of the COVID</w:t>
      </w:r>
      <w:r>
        <w:rPr>
          <w:rFonts w:ascii="MS PGothic" w:cs="MS PGothic" w:eastAsia="MS PGothic" w:hAnsi="MS PGothic"/>
          <w:sz w:val="22"/>
          <w:szCs w:val="22"/>
          <w:color w:val="auto"/>
        </w:rPr>
        <w:t>‑</w:t>
      </w:r>
      <w:r>
        <w:rPr>
          <w:rFonts w:ascii="Arial" w:cs="Arial" w:eastAsia="Arial" w:hAnsi="Arial"/>
          <w:sz w:val="22"/>
          <w:szCs w:val="22"/>
          <w:color w:val="auto"/>
        </w:rPr>
        <w:t>19 outbreak.</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line="64"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jc w:val="both"/>
        <w:spacing w:after="0" w:line="248" w:lineRule="exact"/>
        <w:rPr>
          <w:sz w:val="20"/>
          <w:szCs w:val="20"/>
          <w:color w:val="auto"/>
        </w:rPr>
      </w:pPr>
      <w:r>
        <w:rPr>
          <w:rFonts w:ascii="Arial" w:cs="Arial" w:eastAsia="Arial" w:hAnsi="Arial"/>
          <w:sz w:val="19"/>
          <w:szCs w:val="19"/>
          <w:color w:val="auto"/>
        </w:rPr>
        <w:t>Our corporate headquarters are located in San Mateo County in the San Francisco Bay Area. In order to attempt to mitigate the COVID-19 pandemic, in March 2020 (a) the State of California declared a state of emergency related to the spread of COVID</w:t>
      </w:r>
      <w:r>
        <w:rPr>
          <w:rFonts w:ascii="MS PGothic" w:cs="MS PGothic" w:eastAsia="MS PGothic" w:hAnsi="MS PGothic"/>
          <w:sz w:val="19"/>
          <w:szCs w:val="19"/>
          <w:color w:val="auto"/>
        </w:rPr>
        <w:t>‑</w:t>
      </w:r>
      <w:r>
        <w:rPr>
          <w:rFonts w:ascii="Arial" w:cs="Arial" w:eastAsia="Arial" w:hAnsi="Arial"/>
          <w:sz w:val="19"/>
          <w:szCs w:val="19"/>
          <w:color w:val="auto"/>
        </w:rPr>
        <w:t>19, (b) the San Francisco Department of Public Health announced aggressive recommendations to reduce the spread of the disease, (c) the health officers of six San Francisco Bay Area counties, including San Mateo County, issued shelter-in-place orders, which (i) direct all individuals living in those counties to shelter at their places of residence (subject to limited exceptions), (ii) direct all businesses and governmental agencies to cease non-essential operations at physical locations in those counties, (iii) prohibit all non-essential gatherings of any number of individuals, and (iv) order cessation of all non-essential travel, and (d) the Governor of California and the State Public Health Officer and Director of the California Department of Public Health ordered all individuals living in the State of California to stay at their place of residence for an indefinite period of time (subject to limited exceptions). The effects of these actions may negatively impact productivity, disrupt our business and delay timelines, the magnitude of which will depend, in part, on the length and severity of the restrictions and other limitations on our ability to conduct our business in the ordinary course.</w:t>
      </w:r>
    </w:p>
    <w:p>
      <w:pPr>
        <w:spacing w:after="0" w:line="200" w:lineRule="exact"/>
        <w:rPr>
          <w:sz w:val="20"/>
          <w:szCs w:val="20"/>
          <w:color w:val="auto"/>
        </w:rPr>
      </w:pPr>
    </w:p>
    <w:p>
      <w:pPr>
        <w:spacing w:after="0" w:line="235" w:lineRule="exact"/>
        <w:rPr>
          <w:sz w:val="20"/>
          <w:szCs w:val="20"/>
          <w:color w:val="auto"/>
        </w:rPr>
      </w:pPr>
    </w:p>
    <w:p>
      <w:pPr>
        <w:jc w:val="both"/>
        <w:spacing w:after="0" w:line="248" w:lineRule="exact"/>
        <w:rPr>
          <w:sz w:val="20"/>
          <w:szCs w:val="20"/>
          <w:color w:val="auto"/>
        </w:rPr>
      </w:pPr>
      <w:r>
        <w:rPr>
          <w:rFonts w:ascii="Arial" w:cs="Arial" w:eastAsia="Arial" w:hAnsi="Arial"/>
          <w:sz w:val="22"/>
          <w:szCs w:val="22"/>
          <w:color w:val="auto"/>
        </w:rPr>
        <w:t>Extended periods of interruption to our corporate, development or manufacturing facilities due to the COVID</w:t>
      </w:r>
      <w:r>
        <w:rPr>
          <w:rFonts w:ascii="MS PGothic" w:cs="MS PGothic" w:eastAsia="MS PGothic" w:hAnsi="MS PGothic"/>
          <w:sz w:val="22"/>
          <w:szCs w:val="22"/>
          <w:color w:val="auto"/>
        </w:rPr>
        <w:t>‑</w:t>
      </w:r>
      <w:r>
        <w:rPr>
          <w:rFonts w:ascii="Arial" w:cs="Arial" w:eastAsia="Arial" w:hAnsi="Arial"/>
          <w:sz w:val="22"/>
          <w:szCs w:val="22"/>
          <w:color w:val="auto"/>
        </w:rPr>
        <w:t>19 outbreak could cause us to could lose revenue and market share, which would depress our financial performance and could be difficult to recapture. Our business may also be harmed if travel to or from the PRC or the United States continues to be restricted or inadvisable or if members of management and other employees are absent because they contract the coronavirus, they elect not to come to work due to the illness affecting others in our office or laboratory facilities, or they are subject to quarantines or other governmentally imposed restrictions.</w:t>
      </w:r>
    </w:p>
    <w:p>
      <w:pPr>
        <w:spacing w:after="0" w:line="215" w:lineRule="exact"/>
        <w:rPr>
          <w:sz w:val="20"/>
          <w:szCs w:val="20"/>
          <w:color w:val="auto"/>
        </w:rPr>
      </w:pPr>
    </w:p>
    <w:p>
      <w:pPr>
        <w:jc w:val="both"/>
        <w:spacing w:after="0" w:line="253" w:lineRule="exact"/>
        <w:rPr>
          <w:sz w:val="20"/>
          <w:szCs w:val="20"/>
          <w:color w:val="auto"/>
        </w:rPr>
      </w:pPr>
      <w:r>
        <w:rPr>
          <w:rFonts w:ascii="Arial" w:cs="Arial" w:eastAsia="Arial" w:hAnsi="Arial"/>
          <w:sz w:val="22"/>
          <w:szCs w:val="22"/>
          <w:b w:val="1"/>
          <w:bCs w:val="1"/>
          <w:i w:val="1"/>
          <w:iCs w:val="1"/>
          <w:color w:val="auto"/>
        </w:rPr>
        <w:t>A portion of the expected sales of our tools in the first quarter of 2020 have been, and additional sales may be, delayed as a result of effects of the COVID</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19 outbreak on the operations of our customers, who are located principally in the PRC and surrounding areas.</w:t>
      </w:r>
    </w:p>
    <w:p>
      <w:pPr>
        <w:spacing w:after="0" w:line="186" w:lineRule="exact"/>
        <w:rPr>
          <w:sz w:val="20"/>
          <w:szCs w:val="20"/>
          <w:color w:val="auto"/>
        </w:rPr>
      </w:pPr>
    </w:p>
    <w:p>
      <w:pPr>
        <w:jc w:val="both"/>
        <w:spacing w:after="0" w:line="245" w:lineRule="exact"/>
        <w:rPr>
          <w:sz w:val="20"/>
          <w:szCs w:val="20"/>
          <w:color w:val="auto"/>
        </w:rPr>
      </w:pPr>
      <w:r>
        <w:rPr>
          <w:rFonts w:ascii="Arial" w:cs="Arial" w:eastAsia="Arial" w:hAnsi="Arial"/>
          <w:sz w:val="21"/>
          <w:szCs w:val="21"/>
          <w:color w:val="auto"/>
        </w:rPr>
        <w:t>Our customers’ business operations have been, and are continuing to be, subject to business interruptions arising from the COVID</w:t>
      </w:r>
      <w:r>
        <w:rPr>
          <w:rFonts w:ascii="MS PGothic" w:cs="MS PGothic" w:eastAsia="MS PGothic" w:hAnsi="MS PGothic"/>
          <w:sz w:val="21"/>
          <w:szCs w:val="21"/>
          <w:color w:val="auto"/>
        </w:rPr>
        <w:t>‑</w:t>
      </w:r>
      <w:r>
        <w:rPr>
          <w:rFonts w:ascii="Arial" w:cs="Arial" w:eastAsia="Arial" w:hAnsi="Arial"/>
          <w:sz w:val="21"/>
          <w:szCs w:val="21"/>
          <w:color w:val="auto"/>
        </w:rPr>
        <w:t>19 outbreak. To date a majority of our revenue from sales of single-wafer wet cleaning equipment for front-end manufacturing has been derived from customers located in the PRC and surrounding areas that have been impacted by COVID</w:t>
      </w:r>
      <w:r>
        <w:rPr>
          <w:rFonts w:ascii="MS PGothic" w:cs="MS PGothic" w:eastAsia="MS PGothic" w:hAnsi="MS PGothic"/>
          <w:sz w:val="21"/>
          <w:szCs w:val="21"/>
          <w:color w:val="auto"/>
        </w:rPr>
        <w:t>‑</w:t>
      </w:r>
      <w:r>
        <w:rPr>
          <w:rFonts w:ascii="Arial" w:cs="Arial" w:eastAsia="Arial" w:hAnsi="Arial"/>
          <w:sz w:val="21"/>
          <w:szCs w:val="21"/>
          <w:color w:val="auto"/>
        </w:rPr>
        <w:t>19. Three customers that accounted for 73.8% of our revenue in 2019 and 87.6% of our revenue in 2018 are based in the PRC and Korea. One of those customers, Yangtze Memory Technologies Co., Ltd. — which accounted for 27.5% of our 2019 revenue and 39.6% of our 2018 revenue — is based in Wuhan. While Yangtze Memory Technologies Co., Ltd. and other key customers continued to operate their fabrication facilities without interruption during and after the first quarter of 2020, some customers were forced to scale down production. A portion of the revenues we expected to recognize in the first quarter of 2020 will not be recognized until later, as we have, in accordance with orders received from customers, deferred delivery of some tools from the first quarter. We continue to actively monitor the situation, but there can be no assurance that the COVID</w:t>
      </w:r>
      <w:r>
        <w:rPr>
          <w:rFonts w:ascii="MS PGothic" w:cs="MS PGothic" w:eastAsia="MS PGothic" w:hAnsi="MS PGothic"/>
          <w:sz w:val="21"/>
          <w:szCs w:val="21"/>
          <w:color w:val="auto"/>
        </w:rPr>
        <w:t>‑</w:t>
      </w:r>
      <w:r>
        <w:rPr>
          <w:rFonts w:ascii="Arial" w:cs="Arial" w:eastAsia="Arial" w:hAnsi="Arial"/>
          <w:sz w:val="21"/>
          <w:szCs w:val="21"/>
          <w:color w:val="auto"/>
        </w:rPr>
        <w:t>19 outbreak will not result in further delays, or possibly reductions, in our recognition of revenue. Moreover, because our longer-term growth strategy is based upon the assumption that demand for devices that use semiconductors will continue to grow, any slowdown in the growth of demand for chips, particularly in the PRC, as a result of COVID-19 could have a serious adverse effect on our business.</w:t>
      </w:r>
    </w:p>
    <w:p>
      <w:pPr>
        <w:spacing w:after="0" w:line="195"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i w:val="1"/>
          <w:iCs w:val="1"/>
          <w:color w:val="auto"/>
        </w:rPr>
        <w:t>Our global supply chain may be materially adversely impacted due to the COVID</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19 outbreak.</w:t>
      </w:r>
    </w:p>
    <w:p>
      <w:pPr>
        <w:spacing w:after="0" w:line="206" w:lineRule="exact"/>
        <w:rPr>
          <w:sz w:val="20"/>
          <w:szCs w:val="20"/>
          <w:color w:val="auto"/>
        </w:rPr>
      </w:pPr>
    </w:p>
    <w:p>
      <w:pPr>
        <w:jc w:val="both"/>
        <w:spacing w:after="0" w:line="244" w:lineRule="exact"/>
        <w:rPr>
          <w:sz w:val="20"/>
          <w:szCs w:val="20"/>
          <w:color w:val="auto"/>
        </w:rPr>
      </w:pPr>
      <w:r>
        <w:rPr>
          <w:rFonts w:ascii="Arial" w:cs="Arial" w:eastAsia="Arial" w:hAnsi="Arial"/>
          <w:sz w:val="19"/>
          <w:szCs w:val="19"/>
          <w:color w:val="auto"/>
        </w:rPr>
        <w:t>We rely upon the facilities of our global suppliers with operations in the PRC, Japan, Taiwan and the United States to support our business. We source the substantial majority of our components from Asia. The outbreak has resulted in significant governmental measures in many countries being implemented to control the spread of COVID</w:t>
      </w:r>
      <w:r>
        <w:rPr>
          <w:rFonts w:ascii="MS PGothic" w:cs="MS PGothic" w:eastAsia="MS PGothic" w:hAnsi="MS PGothic"/>
          <w:sz w:val="19"/>
          <w:szCs w:val="19"/>
          <w:color w:val="auto"/>
        </w:rPr>
        <w:t>‑</w:t>
      </w:r>
      <w:r>
        <w:rPr>
          <w:rFonts w:ascii="Arial" w:cs="Arial" w:eastAsia="Arial" w:hAnsi="Arial"/>
          <w:sz w:val="19"/>
          <w:szCs w:val="19"/>
          <w:color w:val="auto"/>
        </w:rPr>
        <w:t>19, including restrictions on manufacturing and the movement of employees both in and out of China and within many regions of the PRC. As a result of COVID</w:t>
      </w:r>
      <w:r>
        <w:rPr>
          <w:rFonts w:ascii="MS PGothic" w:cs="MS PGothic" w:eastAsia="MS PGothic" w:hAnsi="MS PGothic"/>
          <w:sz w:val="19"/>
          <w:szCs w:val="19"/>
          <w:color w:val="auto"/>
        </w:rPr>
        <w:t>‑</w:t>
      </w:r>
      <w:r>
        <w:rPr>
          <w:rFonts w:ascii="Arial" w:cs="Arial" w:eastAsia="Arial" w:hAnsi="Arial"/>
          <w:sz w:val="19"/>
          <w:szCs w:val="19"/>
          <w:color w:val="auto"/>
        </w:rPr>
        <w:t>19 and the measures designed to contain its spread, our suppliers may not have the materials, capacity, or capability to supply our components according to our schedule and specifications. Further, there may be logistics issues, including our ability and our supply chain’s ability to quickly ramp up production, and transportation demands that may cause further delays. If our suppliers’ operations are curtailed, we may need to seek alternate sources of supply, which may be more expensive. Alternate sources may not be available or may result in delays in shipments to us from our supply chain and subsequently to our customers, each of which would affect our results of operations. While the disruptions and restrictions on the ability to travel, quarantines and temporary closures of the facilities of our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due to the COVID</w:t>
      </w:r>
      <w:r>
        <w:rPr>
          <w:rFonts w:ascii="MS PGothic" w:cs="MS PGothic" w:eastAsia="MS PGothic" w:hAnsi="MS PGothic"/>
          <w:sz w:val="19"/>
          <w:szCs w:val="19"/>
          <w:color w:val="auto"/>
        </w:rPr>
        <w:t>‑</w:t>
      </w:r>
      <w:r>
        <w:rPr>
          <w:rFonts w:ascii="Arial" w:cs="Arial" w:eastAsia="Arial" w:hAnsi="Arial"/>
          <w:sz w:val="19"/>
          <w:szCs w:val="19"/>
          <w:color w:val="auto"/>
        </w:rPr>
        <w:t>19 pandemic may reduce or even halt those customers’ production and result in a decrease in the demand for our products.</w:t>
      </w:r>
    </w:p>
    <w:p>
      <w:pPr>
        <w:spacing w:after="0" w:line="198" w:lineRule="exact"/>
        <w:rPr>
          <w:sz w:val="20"/>
          <w:szCs w:val="20"/>
          <w:color w:val="auto"/>
        </w:rPr>
      </w:pPr>
    </w:p>
    <w:p>
      <w:pPr>
        <w:ind w:right="20"/>
        <w:spacing w:after="0" w:line="259" w:lineRule="exact"/>
        <w:rPr>
          <w:sz w:val="20"/>
          <w:szCs w:val="20"/>
          <w:color w:val="auto"/>
        </w:rPr>
      </w:pPr>
      <w:r>
        <w:rPr>
          <w:rFonts w:ascii="Arial" w:cs="Arial" w:eastAsia="Arial" w:hAnsi="Arial"/>
          <w:sz w:val="22"/>
          <w:szCs w:val="22"/>
          <w:b w:val="1"/>
          <w:bCs w:val="1"/>
          <w:i w:val="1"/>
          <w:iCs w:val="1"/>
          <w:color w:val="auto"/>
        </w:rPr>
        <w:t>The COVID</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19 outbreak could negatively impact our currently planned projects and investments in the PRC, including the STAR IPO.</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strategy includes a number of plans to support the growth of our core business. In June 2019 we began working toward the proposed STAR Listing and STAR IPO with respect to shares of ACM Shanghai, and in November 2019 ACM Shanghai entered into an agreement initiating a process intended to lead to our acquisition of land rights in the Lingang area of Shanghai where we can construct a new research and development center and factory. The extent to which COVID-19 impacts these projects will</w:t>
      </w:r>
    </w:p>
    <w:p>
      <w:pPr>
        <w:sectPr>
          <w:pgSz w:w="11900" w:h="16902" w:orient="portrait"/>
          <w:cols w:equalWidth="0" w:num="1">
            <w:col w:w="11240"/>
          </w:cols>
          <w:pgMar w:left="320" w:top="121" w:right="339" w:bottom="0" w:gutter="0" w:footer="0" w:header="0"/>
        </w:sectPr>
      </w:pPr>
    </w:p>
    <w:bookmarkStart w:id="38" w:name="page39"/>
    <w:bookmarkEnd w:id="38"/>
    <w:p>
      <w:pPr>
        <w:jc w:val="both"/>
        <w:spacing w:after="0" w:line="253" w:lineRule="exact"/>
        <w:rPr>
          <w:sz w:val="20"/>
          <w:szCs w:val="20"/>
          <w:color w:val="auto"/>
        </w:rPr>
      </w:pPr>
      <w:r>
        <w:rPr>
          <w:rFonts w:ascii="Arial" w:cs="Arial" w:eastAsia="Arial" w:hAnsi="Arial"/>
          <w:sz w:val="22"/>
          <w:szCs w:val="22"/>
          <w:color w:val="auto"/>
        </w:rPr>
        <w:t>depend on future developments that are highly uncertain and cannot be predicted. If the disruptions posed by COVID</w:t>
      </w:r>
      <w:r>
        <w:rPr>
          <w:rFonts w:ascii="MS PGothic" w:cs="MS PGothic" w:eastAsia="MS PGothic" w:hAnsi="MS PGothic"/>
          <w:sz w:val="22"/>
          <w:szCs w:val="22"/>
          <w:color w:val="auto"/>
        </w:rPr>
        <w:t>‑</w:t>
      </w:r>
      <w:r>
        <w:rPr>
          <w:rFonts w:ascii="Arial" w:cs="Arial" w:eastAsia="Arial" w:hAnsi="Arial"/>
          <w:sz w:val="22"/>
          <w:szCs w:val="22"/>
          <w:color w:val="auto"/>
        </w:rPr>
        <w:t>19 and related government measures, or other matters of global concern, continue for an extensive period of time, our ability to consummate one or both of these planned projects could be materially adversely affected.</w:t>
      </w:r>
    </w:p>
    <w:p>
      <w:pPr>
        <w:spacing w:after="0" w:line="187" w:lineRule="exact"/>
        <w:rPr>
          <w:sz w:val="20"/>
          <w:szCs w:val="20"/>
          <w:color w:val="auto"/>
        </w:rPr>
      </w:pPr>
    </w:p>
    <w:p>
      <w:pPr>
        <w:jc w:val="both"/>
        <w:spacing w:after="0" w:line="249" w:lineRule="exact"/>
        <w:rPr>
          <w:sz w:val="20"/>
          <w:szCs w:val="20"/>
          <w:color w:val="auto"/>
        </w:rPr>
      </w:pPr>
      <w:r>
        <w:rPr>
          <w:rFonts w:ascii="Arial" w:cs="Arial" w:eastAsia="Arial" w:hAnsi="Arial"/>
          <w:sz w:val="21"/>
          <w:szCs w:val="21"/>
          <w:color w:val="auto"/>
        </w:rPr>
        <w:t>In September 2019 ACM Shanghai entered into a partnership agreement for the purposes of engaging in equity venture capital investments in strategic emerging and high-tech industries with a focus on the semiconductor industry. We cannot predict the effect that the COVID</w:t>
      </w:r>
      <w:r>
        <w:rPr>
          <w:rFonts w:ascii="MS PGothic" w:cs="MS PGothic" w:eastAsia="MS PGothic" w:hAnsi="MS PGothic"/>
          <w:sz w:val="21"/>
          <w:szCs w:val="21"/>
          <w:color w:val="auto"/>
        </w:rPr>
        <w:t>‑</w:t>
      </w:r>
      <w:r>
        <w:rPr>
          <w:rFonts w:ascii="Arial" w:cs="Arial" w:eastAsia="Arial" w:hAnsi="Arial"/>
          <w:sz w:val="21"/>
          <w:szCs w:val="21"/>
          <w:color w:val="auto"/>
        </w:rPr>
        <w:t>19 outbreak in the PRC will have on companies that would otherwise be desirable investments for the partnership, and the outbreak or related governmental actions could significantly impair the ability of the partnership to identify desirable investments or our ability to realize the anticipated benefits of the partnership.</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Ownership of Class A Common Stock</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market price of Class A common stock has been and may continue to be volatile, which could result in substantial losses for investors purchasing our shares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Class A common stock only commenced trading on the Nasdaq Global Market, or Nasdaq, on November 3, 2017, and the market price of Class A common stock has been, and could continue to be, subject to significant fluctuations. The market price of Class A common stock may fluctuate significantly in response to numerous factors, many of which are beyond our control, including:</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projections for the chips or chip equipment industries or in the operating performance or expectations and stock market valuations of chip companies, chip equipment companies or technology companies in general;</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operating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in the financial projections we may provide to the public, our failure to meet these projections, or changes in recommendations by any securities analysts that elect to follow Class A common stock;</w:t>
      </w: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additional shares of Class A common stock being sold into the market by us or our existing stockholders or the anticipation of such sales;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32"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trends, including changes in the demand for electronics or information technology or geopolitical events such as war or acts of terrorism, or any responses to such events.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No company with stock publicly traded in the United States has effected a STAR Market listing of stock of a PRC-based subsidiary, and it is therefore difficult to predict the effect of the proposed STAR Listing and STAR IPO on the Class A common stock.</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China Securities Regulatory Commission initially launched the STAR Market in June 2019 and trading on the Market began in July 2019. We believe we are the first publicly traded U.S. company to propose an initial public offering of shares of a PRC subsidiary on the STAR Market. As a result, no assurance can be given regarding the effect of the STAR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proposed STAR Listing and STAR IPO.</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ACM Research stockholders were not entitled to purchase ACM Shanghai shares in the pre-STAR Listing placement, and they may have limited opportunities to purchase ACM Shanghai shares even if the STAR Listing and the STAR IPO are completed. Investors may elect to invest in our business and operations by purchasing ACM Shanghai shares in the STAR IPO or on the STAR Market rather than purchasing ACM Research Class A common stock, and that reduction in demand could lead to a decrease in the market price for the Class A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active trading market for Class A common stock may not be sustained.</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Class A common stock has been listed on Nasdaq only since November 3, 2017, and we cannot assure you that an active trading market for Class A common stock will be sustained or maintained.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or maintain a liquid market for Class A common stock.</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Requirements associated with being a public reporting company involve significant ongoing costs and can divert significant company resources and management attention.</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are subject to the reporting requirements of the Securities Exchange Act, the Sarbanes-Oxley Act, the Dodd-Frank Wall Street Reform and Consumer Protection Act, the listing requirements of Nasdaq, and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Class B common stock has twenty votes per share and Class A common stock has one vote per share. As of March 17, 2020, stockholders who hold shares of Class B common stock, who consist principally of our executive officers, employees, directors and their respective affiliates, collectively held 69.6% of the voting power of our outstanding capital stock.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Delaware law and provisions in our charter and bylaws could make a merger, tender offer or proxy contest difficult, thereby depressing the trading price of Class A common stock.</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spacing w:after="0" w:line="5" w:lineRule="exact"/>
        <w:rPr>
          <w:sz w:val="20"/>
          <w:szCs w:val="20"/>
          <w:color w:val="auto"/>
        </w:rPr>
      </w:pPr>
    </w:p>
    <w:p>
      <w:pPr>
        <w:jc w:val="both"/>
        <w:ind w:left="660" w:hanging="328"/>
        <w:spacing w:after="0" w:line="24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combined voting power of common stock;</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amendments to our charter or bylaws will require the approval of two-thirds of the combined vote of our then-outstanding shares of Class A and Class B common stock;</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vacancies on the board of directors will be able to be filled only by the board and not by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which currently is not staggered, will be automatically separated into three classes with staggered three-year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will only be able to be removed from office for cause;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and not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only our chair, our chief executive officer or a majority of our directors is authorized to call a special meeting of stockholders;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charter authorizes undesignated preferred stock, the terms of which may be established, and shares of which may be issued, without stockholder approval;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cumulative voting in the election of directors is prohibited.</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Our charter provides that the Court of Chancery of the State of Delaware will, to the fullest extent permitted by law, be the sole and exclusive forum for:</w:t>
      </w:r>
    </w:p>
    <w:p>
      <w:pPr>
        <w:spacing w:after="0" w:line="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7"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to us, our stockholders, creditors or other constituents by any of our directors, officers, other employees, agents or stockholders;</w:t>
      </w: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arising under the Delaware General Corporation Law, our charter or bylaws, or as to which the Delaware General Corporation Law confers jurisdiction on the Court of Chancery of the State of Delaware; or</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management team has limited experience managing a public company.</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experience of the current members of our management team in managing a publicly traded company, interacting with public company investors and complying with the increasingly complex laws pertaining to public companies is limited to their experience with our company since our initial public offering in November 2017.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day-to-day management of our business, which could materially adversely affect our business, financial condition and operating results.</w:t>
      </w:r>
    </w:p>
    <w:p>
      <w:pPr>
        <w:spacing w:after="0" w:line="17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 Sarbanes-Oxley Act, or Section 404, required our management to perform system and process evaluation and testing to allow it to report on the effectiveness of our internal control over financial reporting.</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Techniques employed by manipulative short sellers in Chinese small cap stocks could be used to drive down the market price of our common stock.</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Short selling is the practice of selling securities that the seller does not own but rather has, supposedly,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referred to as “disclosed shorts,” publish, or arrange for the publication of, negative opinions regarding an issuer and its business prospects in order to create negative market momentum and generate profits for themselves after selling a stock short. While traditionally these disclosed shorts were limited in their ability to access mainstream business media or to otherwise create negative market rumors, the rise of the Internet and technological advancements regarding document creation, videotaping and publication by weblog, or “blogging,” have allowed many disclosed shorts to publicly attack an issuer’s credibility, strategy and veracity by means of so-called research reports that mimic the type of investment analysis performed by large Wall Street firm and independent research analysts. These short attacks have, in the past, led to selling of shares in the market, on occasion in large scale and broad base. Issuers with business operations based in the PRC and who have limited trading volumes and are susceptible to higher volatility levels than large-cap stocks, can be particularly vulnerable to such short attacks.</w:t>
      </w:r>
    </w:p>
    <w:p>
      <w:pPr>
        <w:spacing w:after="0" w:line="200" w:lineRule="exact"/>
        <w:rPr>
          <w:sz w:val="20"/>
          <w:szCs w:val="20"/>
          <w:color w:val="auto"/>
        </w:rPr>
      </w:pP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These short seller publications are not regulated by any governmental, self-regulatory organization or other official authority in the United States and are not subject to the certification requirements imposed by the SEC in Regulation AC (Regulation Analyst Certification); accordingly, the opinions they express may be based on factual distortions and fabrications. In light of the limited risks involved in publishing such information and the enormous profits that can be made from running successful short attacks, it is likely that disclosed shorts will continue to issue such reports.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While we intend to strongly defend our public filings against any short seller attacks, we may be constrained, either by principles of freedom of speech, applicable state laws known as Anti-SLAPP (Strategic Lawsuits Against Public Participation) statutes or issues of commercial confidentiality, in the manner in which we can proceed against the short seller. You should be aware that in light of the relative freedom to operate that such persons enjoy – oftentimes blogging from outside the United States with little or no assets or identity requirements – should we be targeted for such an attack, our stock will likely suffer from a temporary, or possibly long term, decline in market price should the rumors created not be dismissed by market participants.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have occupied our current corporate headquarters in Fremont, California, since February 2008, under a lease that, as amended in February 2019, extends through March 2021.</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conduct research and development, service support operations, and a portion of manufacturing in our ACM Shanghai headquarters. This facility consists of 60,000 square feet, of which 36,000 square feet are allocated for manufacturing, and is located in the Zhangjiang Hi Tech Park in Shanghai. We have leased this facility since 2007. The lease terms and its payment terms are subject to modification and extension with Zhangjiang Group from time to time. We extended the lease for a 60-month term from January 1, 2018 until January 1, 2022.</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January 2018, ACM Shanghai entered into an operating lease for a second manufacturing space located in Shanghai, ten miles from its headquarters. The lease covers a total of 103,318 square feet, of which 50,000 square feet are allocated for production. The lease term is five years and expires on January 15, 2022.</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we provide sales support and customer service operations from leased office space in Jiangyin and Wuxi in the PRC and Icheon in Korea.</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November 2019 ACM Shanghai entered into an agreement with Shanghai Lingang Industry Zone Economic Development Co., Ltd., or Lingang Development, and the Administrative Committee of China (Shanghai) Pilot Free Trade Zone Lingang Special Area, to initiate a bidding process with respect to a designated parcel of land, or the Target Plot, in the Lingang area of Shanghai in the People’s Republic of China. If it completes the bidding process successfully, ACM Shanghai would seek to enter into a definitive agreement under which it would acquire rights for fifty years to the Target Plot, on which ACM Shanghai would construct a new research and development center and production facility. The Target Plot is located approximately thirty miles from ACM Shanghai’s headquarters in Shanghai’s Zhangjiang Hi-Tech Park.</w:t>
      </w:r>
    </w:p>
    <w:p>
      <w:pPr>
        <w:spacing w:after="0" w:line="4" w:lineRule="exact"/>
        <w:rPr>
          <w:sz w:val="20"/>
          <w:szCs w:val="20"/>
          <w:color w:val="auto"/>
        </w:rPr>
      </w:pPr>
    </w:p>
    <w:p>
      <w:pPr>
        <w:jc w:val="both"/>
        <w:ind w:left="660" w:hanging="328"/>
        <w:spacing w:after="0" w:line="24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expect the bidding and negotiation process for the land will be completed by the first half of 2020. If the process is successfully completed on that schedule, ACM Shanghai would seek to begin construction of a new research and development center and factory on the Target Plot in the second half of 2020, with the objective of commencing production at the new facility in late 2022.</w:t>
      </w:r>
    </w:p>
    <w:p>
      <w:pPr>
        <w:spacing w:after="0" w:line="2"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Pursuant to the existing agreement, ACM Shanghai is obligated to pay a performance bond of RMB 640,000 ($90,892 as of December 2, 2019) to Lingang Development. In general, if ACM Shanghai decides not to proceed with the bidding and negotiation process for the land in accordance with the requirements of the existing agreement, Lingang Development will be entitled to keep the performance bond as liquidated damages. Otherwise, Lingang Development generally will be obligated to return the performance bond to ACM Shanghai, including if ACM Shanghai is unsuccessful in bidding for rights to the Target Plot or is successful in entering into a definitive agreement to acquire rights to the Target Plot.</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Regarding the Trading of Common Stock</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Class A common stock has traded on NASDAQ Global Market under the symbol “ACMR” since November 3, 2017. The Class B common stock is not listed or traded on any stock exchange.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Common Stock</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As of March 17, 2020, there were 16,273,528 shares of Class A common stock outstanding held of record by 68 stockholders. The actual number of holders of Class A common stock is substantially greater and includes stockholders who are beneficial owners and whose shares are held of record by banks, brokers, and other financial institutions.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As of March 17, 2020, there were 1,862,608 shares of Class B common stock held of record by 28 stockholders.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required by this item will be set forth in the definitive proxy statement we will file in connection with our 2020 Annual Meeting of Stockholders and is incorporated by reference herein.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of Unregistered Securities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2019 we issued, pursuant to the exercise of stock options at per share exercise prices ranging from $0.75 to $3.00 per share, an aggregate of 1,344,764 shares of Class A common stock that were not registered under the Securities Act of 1933. The offer and sale of those shares were exempt from registration under the Securities Act of 1933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3 of this report. Please read “Item 1A. Risk Factors” for a discussion of factors that could cause our actual results to differ materially from our expectations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205" w:lineRule="exact"/>
        <w:rPr>
          <w:sz w:val="20"/>
          <w:szCs w:val="20"/>
          <w:color w:val="auto"/>
        </w:rPr>
      </w:pPr>
    </w:p>
    <w:p>
      <w:pPr>
        <w:ind w:right="140"/>
        <w:spacing w:after="0" w:line="241" w:lineRule="auto"/>
        <w:rPr>
          <w:sz w:val="20"/>
          <w:szCs w:val="20"/>
          <w:color w:val="auto"/>
        </w:rPr>
      </w:pPr>
      <w:r>
        <w:rPr>
          <w:rFonts w:ascii="Arial" w:cs="Arial" w:eastAsia="Arial" w:hAnsi="Arial"/>
          <w:sz w:val="22"/>
          <w:szCs w:val="22"/>
          <w:color w:val="auto"/>
        </w:rPr>
        <w:t>Since our formation in 1998, we have focused on building a strategic portfolio of intellectual property to support and protect our key innovations. Our tools have been developed using our key proprietary technologies:</w:t>
      </w:r>
    </w:p>
    <w:p>
      <w:pPr>
        <w:spacing w:after="0" w:line="1" w:lineRule="exact"/>
        <w:rPr>
          <w:sz w:val="20"/>
          <w:szCs w:val="20"/>
          <w:color w:val="auto"/>
        </w:rPr>
      </w:pPr>
    </w:p>
    <w:p>
      <w:pPr>
        <w:ind w:left="660" w:hanging="328"/>
        <w:spacing w:after="0" w:line="24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Space Alternated Phase Shift, or SAPS, technology for flat and patterned wafer surfaces</w:t>
      </w:r>
      <w:r>
        <w:rPr>
          <w:rFonts w:ascii="Arial" w:cs="Arial" w:eastAsia="Arial" w:hAnsi="Arial"/>
          <w:sz w:val="18"/>
          <w:szCs w:val="18"/>
          <w:color w:val="auto"/>
        </w:rPr>
        <w:t>, which employs alternating phases of megasonic waves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megasonic energy in a highly uniform manner on a microscopic level;</w:t>
      </w: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Timely Energized Bubble Oscillation, or TEBO, technology for patterned wafer surfaces at advanced process nodes</w:t>
      </w:r>
      <w:r>
        <w:rPr>
          <w:rFonts w:ascii="Arial" w:cs="Arial" w:eastAsia="Arial" w:hAnsi="Arial"/>
          <w:sz w:val="18"/>
          <w:szCs w:val="18"/>
          <w:color w:val="auto"/>
        </w:rPr>
        <w:t>, which provides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damage-free cleaning for 2D and 3D patterned wafers with fine feature sizes;</w:t>
      </w: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Tahoe technology for cost and environmental savings</w:t>
      </w:r>
      <w:r>
        <w:rPr>
          <w:rFonts w:ascii="Arial" w:cs="Arial" w:eastAsia="Arial" w:hAnsi="Arial"/>
          <w:sz w:val="18"/>
          <w:szCs w:val="18"/>
          <w:color w:val="auto"/>
        </w:rPr>
        <w:t>, which delivers high cleaning performance using significantly less sulfuric acid and</w:t>
      </w:r>
      <w:r>
        <w:rPr>
          <w:rFonts w:ascii="Arial" w:cs="Arial" w:eastAsia="Arial" w:hAnsi="Arial"/>
          <w:sz w:val="18"/>
          <w:szCs w:val="18"/>
          <w:i w:val="1"/>
          <w:iCs w:val="1"/>
          <w:color w:val="auto"/>
        </w:rPr>
        <w:t xml:space="preserve"> </w:t>
      </w:r>
      <w:r>
        <w:rPr>
          <w:rFonts w:ascii="Arial" w:cs="Arial" w:eastAsia="Arial" w:hAnsi="Arial"/>
          <w:sz w:val="18"/>
          <w:szCs w:val="18"/>
          <w:color w:val="auto"/>
        </w:rPr>
        <w:t>hydrogen peroxide than is typically consumed by conventional high-temperature single-wafer cleaning tools; and</w:t>
      </w:r>
    </w:p>
    <w:p>
      <w:pPr>
        <w:ind w:left="660" w:hanging="328"/>
        <w:spacing w:after="0" w:line="290"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Electro-Chemical Plating, or ECP, technology for advanced metal plating</w:t>
      </w:r>
      <w:r>
        <w:rPr>
          <w:rFonts w:ascii="Arial" w:cs="Arial" w:eastAsia="Arial" w:hAnsi="Arial"/>
          <w:sz w:val="17"/>
          <w:szCs w:val="17"/>
          <w:color w:val="auto"/>
        </w:rPr>
        <w:t>, which includes Ultra ECP AP, or Advanced Packaging, technology for</w:t>
      </w:r>
      <w:r>
        <w:rPr>
          <w:rFonts w:ascii="Arial" w:cs="Arial" w:eastAsia="Arial" w:hAnsi="Arial"/>
          <w:sz w:val="17"/>
          <w:szCs w:val="17"/>
          <w:i w:val="1"/>
          <w:iCs w:val="1"/>
          <w:color w:val="auto"/>
        </w:rPr>
        <w:t xml:space="preserve"> </w:t>
      </w:r>
      <w:r>
        <w:rPr>
          <w:rFonts w:ascii="Arial" w:cs="Arial" w:eastAsia="Arial" w:hAnsi="Arial"/>
          <w:sz w:val="17"/>
          <w:szCs w:val="17"/>
          <w:color w:val="auto"/>
        </w:rPr>
        <w:t>back-end assembly processes and Ultra ECP MAP, or Multi-Anode Partial Plating, technology for front-end wafer fabrication processes.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conduct substantially all of our product development, manufacturing, support and services in the PRC. All of our tools are built to order at our manufacturing facilities in Shanghai, which encompass 86,000 square feet of floor space for production capacity.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Follow-on Public Offering</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August 2019 we received $26.4 million in net proceeds (after underwriting discounts and related expenses), from our sale, at a purchase price of $13.195 per share, of 2,053,572 shares of Class A common stock (including 267,857 shares sold pursuant to the underwriters’ exercise of an over-allotment option) to an underwriting syndicate, for which Stifel, Nicolaus &amp; Company, Incorporated, served as representative. The offering and sale of the 2,053,572 shares to the public were registered under a registration statement on Form S-3 filed with the SEC.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STAR Market Listing and IPO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June 2019, we announced our intention to complete:</w:t>
      </w:r>
    </w:p>
    <w:p>
      <w:pPr>
        <w:spacing w:after="0" w:line="13" w:lineRule="exact"/>
        <w:rPr>
          <w:sz w:val="20"/>
          <w:szCs w:val="20"/>
          <w:color w:val="auto"/>
        </w:rPr>
      </w:pPr>
    </w:p>
    <w:p>
      <w:pPr>
        <w:ind w:left="660" w:hanging="328"/>
        <w:spacing w:after="0" w:line="24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listing, which we refer to as the STAR Listing, of shares of ACM Shanghai on the Shanghai Stock Exchange’s Sci-Tech innovAtion boaRd, known as the STAR Market; and</w:t>
      </w:r>
    </w:p>
    <w:p>
      <w:pPr>
        <w:ind w:left="660" w:hanging="328"/>
        <w:spacing w:after="0" w:line="24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concurrent initial public offering, which we refer to as the STAR IPO, of ACM Shanghai shares in the People’s Republic of China, or the PRC, at a pre-offering valuation of not less than RMB 5.15 billion ($747.1 million).</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We believe the listing of ACM Shanghai shares on the STAR Market will help us scale our business in mainland PRC, as we continue to seek to broaden our markets in Europe, Japan, Korea, Taiwan and the United States. Our global headquarters will continue to be located in Fremont, California, and we are committed to maintaining the listing of ACM Research Class A common stock on the Nasdaq Global Market.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To qualify for the Listing, ACM Shanghai must have multiple independent shareholders in the PRC.</w:t>
      </w:r>
    </w:p>
    <w:p>
      <w:pPr>
        <w:spacing w:after="0" w:line="13" w:lineRule="exact"/>
        <w:rPr>
          <w:sz w:val="20"/>
          <w:szCs w:val="20"/>
          <w:color w:val="auto"/>
        </w:rPr>
      </w:pPr>
    </w:p>
    <w:p>
      <w:pPr>
        <w:ind w:left="660" w:right="20" w:hanging="328"/>
        <w:spacing w:after="0" w:line="24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June 2019 ACM Shanghai entered into agreements with seven investors, or the First Tranche Investors, pursuant to which the First Tranche Investors purchased ACM Shanghai shares for a total of RMB 187.9 million ($27.3 million as of June 12, 2019).</w:t>
      </w:r>
    </w:p>
    <w:p>
      <w:pPr>
        <w:jc w:val="both"/>
        <w:ind w:left="660" w:hanging="328"/>
        <w:spacing w:after="0" w:line="24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November 2019 ACM Shanghai entered into agreements with each of the First Tranche Investors and eight PRC-based investment firms, or the Second Tranche Investors, pursuant to which the Second Tranche Investors subsequently purchased ACM Shanghai shares, or the Second Tranche Shares, for a total of RMB 228.2 million ($32.4 million as of November 29, 2019). The purchase price per Second Tranche Share was equal to the purchase price per share paid by the First Tranche Investors and was based on a pre-investment enterprise valuation of ACM Shanghai of RMB 4.84 billion ($688.9 million as of November 29, 2019).</w:t>
      </w:r>
    </w:p>
    <w:p>
      <w:pPr>
        <w:spacing w:after="0" w:line="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 of March 20, 2020, 91.7% of the outstanding shares of ACM Shanghai are owned by ACM Research, 3.8% are owned by the First Tranche Investors and 4.5% are owned by the Second Tranche Investors. The board of directors of ACM Shanghai will consist of nine members, seven of whom will be nominated by ACM Research and two of whom will be nominated by two of the Second Tranche Investors.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within three years from the date on which ACM Shanghai shares were issued to the First Tranche Investors, the Listing and the STAR IPO have not been completed and the China Securities Regulatory Commission has not otherwise approved the registration of ACM Shanghai’s Listing application, each First Tranche Investor will have the right to require that ACM Shanghai repurchase, and ACM Shanghai will have the right to purchase, the First Tranche Investor’s ACM Shanghai shares for a price equal to the initial purchase price paid by the First Tranche Investor, without interest.</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ACM Shanghai does not officially submit application documents for the Listing to the Shanghai Stock Exchange by December 31, 2022, each Second Tranche Investor will have the right to require that ACM Shanghai repurchase, and ACM Shanghai will have the right to require that each Second Tranche Investor sell to ACM Shanghai, such Second Tranche Investor’s Second Tranche Shares for a price equal to the initial purchase price paid by the Second Tranche Investor, without interest.</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determined, voluntarily and not pursuant to any contractual or legal obligation, that pending either (a) ACM Shanghai’s submission of the application documents for the Listing to the Shanghai Stock Exchange or (b) application to repurchase the Second Tranche Shares, ACM Shanghai will deposit, and hold in reserve, all of the proceeds received from the sale of Additional Placement Shares in segregated cash and cash-equivalent accounts.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Transactions Relating to SMC Investment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December 2016 Shengxin (Shanghai) Management Consulting Limited Partnership, or SMC, paid 20,123,500 RMB ($3.0 million as of the date of funding), or the SMC Investment, to ACM Shanghai for investment pursuant to terms to be subsequently negotiated. SMC is a PRC limited partnership owned by employees of ACM Shanghai, including Jian Wang, the general partner of SMC. Jian Wang is the Chief Executive Officer and President of ACM Shanghai and the brother of David H. Wang, our Chief Executive Officer, President and Chair of the Board.</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March 2017, (a) ACM Research issued to SMC a warrant, or the Warrant, exercisable to purchase 397,502 shares of Class A common stock at a price of $7.50 per share, for a total exercise price of $3.0 million and (b) ACM Shanghai agreed to repay the SMC Investment within 60 days after the exercise of the Warrant.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March 2018 SMC exercised the Warrant in full, as a result of which (1) ACM Research issued 397,502 Shares to SMC, (2) SMC borrowed the funds to pay the Warrant exercise price pursuant to a senior secured promissory note, or the SMC Note, in the principal amount of $3.0 million issued to ACM Shanghai, which in turn issued to ACM Research a promissory note, or the Intercompany Note, in the principal amount of $3.0 million in payment of the Warrant exercise price. Each of the two notes bears interest at a rate of 3.01% per annum and matures on August 17, 2023. The SMC Note was secured by a pledge of the shares issued upon exercise of the Warrant.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connection with its follow-on public offering of Class A common stock in August 2019, ACM Research agreed to purchase a total of 154,821 of the Warrant shares from SMC at a per share price of $13.195, of which (a) $1.2 million was applied to reduce SMC’s obligations to ACM Shanghai under the SMC Note, and which ACM Research then withheld for its own account and applied to reduce ACM Shanghai’s obligations to ACM Research under the Intercompany Note and (b) the remaining $0.9 million was paid to SMC. In a separate transaction, ACM Shanghai repaid $1.2 million of the SMC Investment in cash, which reduced the amount of the SMC Investment due to SMC to $1.8 million.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COVID–19 Outbreak</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COVID–19, or the coronavirus, originated in Wuhan, China, in December 2019 and has subsequently spread rapidly across the PRC and globally. The COVID–19 outbreak did not affect our business or operating results in 2019. As of the date of filing of this report with the SEC, the outbreak has had an impact on our business and operating results in the first quarter of 2020. Given the scope of the outbreak and based on our assumption that the situation will continue to improve steadily in the PRC and will begin to stabilize in the rest of the world, we believe our business will begin to return to previously anticipated levels in the second quarter of 2020. The following summary reflects our expectations and estimates based on information known to us as of the date of this filing:</w:t>
      </w:r>
    </w:p>
    <w:p>
      <w:pPr>
        <w:spacing w:after="0" w:line="5" w:lineRule="exact"/>
        <w:rPr>
          <w:sz w:val="20"/>
          <w:szCs w:val="20"/>
          <w:color w:val="auto"/>
        </w:rPr>
      </w:pPr>
    </w:p>
    <w:p>
      <w:pPr>
        <w:jc w:val="both"/>
        <w:ind w:left="660" w:hanging="328"/>
        <w:spacing w:after="0" w:line="28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Operations: </w:t>
      </w:r>
      <w:r>
        <w:rPr>
          <w:rFonts w:ascii="Arial" w:cs="Arial" w:eastAsia="Arial" w:hAnsi="Arial"/>
          <w:sz w:val="16"/>
          <w:szCs w:val="16"/>
          <w:color w:val="auto"/>
        </w:rPr>
        <w:t>We conduct substantially all of our product development, manufacturing, support and services in the PRC, and those activities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directly impacted 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more than 90%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Our corporate headquarters are located in San Mateo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pacing w:after="0" w:line="3"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Operating Results; Customers</w:t>
      </w:r>
      <w:r>
        <w:rPr>
          <w:rFonts w:ascii="Arial" w:cs="Arial" w:eastAsia="Arial" w:hAnsi="Arial"/>
          <w:sz w:val="16"/>
          <w:szCs w:val="16"/>
          <w:color w:val="auto"/>
        </w:rPr>
        <w:t>: Our customers’ business operations have been, and are continuing to be, subject to business interruptions arising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COVID–19 outbreak. Historically a majority of our revenue from sales of single-wafer wet cleaning equipment for front-end manufacturing has been derived from customers located in the PRC and surrounding areas that have been impacted by COVID–19. Three customers that accounted for 73.8% of our revenue in 2019 and 87.6% of our revenue in 2018 are based in the PRC and Korea. One of those customers, Yangtze Memory Technologies Co., Ltd. — which accounted for 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revenues we previously expected to recognize in the first quarter of 2020 will not be recognized, as we have, in accordance with orders received from customers, deferred delivery of some tools from the first quarter. We believe these deliveries represent deferred, not lost, revenues, which we are working to recover by increasing our manufacturing output in the second and third quarters of 2020.</w:t>
      </w:r>
    </w:p>
    <w:p>
      <w:pPr>
        <w:spacing w:after="0" w:line="5"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Suppliers</w:t>
      </w:r>
      <w:r>
        <w:rPr>
          <w:rFonts w:ascii="Arial" w:cs="Arial" w:eastAsia="Arial" w:hAnsi="Arial"/>
          <w:sz w:val="18"/>
          <w:szCs w:val="18"/>
          <w:color w:val="auto"/>
        </w:rPr>
        <w:t>: Our global supply chain includes components sourced from the PRC, Japan, Taiwan, the United States and Europe. While the COVID–</w:t>
      </w:r>
      <w:r>
        <w:rPr>
          <w:rFonts w:ascii="Arial" w:cs="Arial" w:eastAsia="Arial" w:hAnsi="Arial"/>
          <w:sz w:val="18"/>
          <w:szCs w:val="18"/>
          <w:i w:val="1"/>
          <w:iCs w:val="1"/>
          <w:color w:val="auto"/>
        </w:rPr>
        <w:t xml:space="preserve"> </w:t>
      </w:r>
      <w:r>
        <w:rPr>
          <w:rFonts w:ascii="Arial" w:cs="Arial" w:eastAsia="Arial" w:hAnsi="Arial"/>
          <w:sz w:val="18"/>
          <w:szCs w:val="18"/>
          <w:color w:val="auto"/>
        </w:rPr>
        <w:t>19 outbreak has resulted in significant governmental measures being implemented to control the spread of COVID–19 around the world, to date we have not experienced issues with our supply chain. As with our customers, we continue to be in close contact with our key suppliers to help ensure we are able to identify any potential supply issues that may arise.</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Projects</w:t>
      </w:r>
      <w:r>
        <w:rPr>
          <w:rFonts w:ascii="Arial" w:cs="Arial" w:eastAsia="Arial" w:hAnsi="Arial"/>
          <w:sz w:val="18"/>
          <w:szCs w:val="18"/>
          <w:color w:val="auto"/>
        </w:rPr>
        <w:t>: Our strategy includes a number of plans to support the growth of our core business, including the proposed STAR Listing and STAR IPO</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shares of ACM Shanghai described above as well as ACM Shanghai’s proposed acquisition of land rights in the Lingang area of Shanghai where we intend to construct a new research and development center and factory. The extent to which COVID–19 impacts these projects will depend on future developments that are highly uncertain, but to date the timing of these potential project has not been delayed or disrupted by COVID–19 or related government measures.</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COVID–19 situation continues to develop rapidly, and it is impossible for us to predict the effect and ultimate impact of the COVID–19 outbreak on our business operations and results.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 19 Outbreak.”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Results of Operations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Revenue</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develop, manufacture and sell single-wafer wet cleaning equipment and custom-made wafer assembly and packaging equipment. Because we sell tools to a small number of customers and we customize those tools to fulfill the customers’ specific requirements, our revenue generation fluctuates, depending on the length of the sales, development and evaluation phases:</w:t>
      </w:r>
    </w:p>
    <w:p>
      <w:pPr>
        <w:spacing w:after="0" w:line="1" w:lineRule="exact"/>
        <w:rPr>
          <w:sz w:val="20"/>
          <w:szCs w:val="20"/>
          <w:color w:val="auto"/>
        </w:rPr>
      </w:pPr>
    </w:p>
    <w:p>
      <w:pPr>
        <w:jc w:val="both"/>
        <w:ind w:left="660" w:hanging="328"/>
        <w:spacing w:after="0" w:line="264"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Sales and Development. </w:t>
      </w:r>
      <w:r>
        <w:rPr>
          <w:rFonts w:ascii="Arial" w:cs="Arial" w:eastAsia="Arial" w:hAnsi="Arial"/>
          <w:sz w:val="17"/>
          <w:szCs w:val="17"/>
          <w:color w:val="auto"/>
        </w:rPr>
        <w:t>During the sale process we may, depending on a prospective customer’s specifications and requirements, need to perform</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5"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Evaluation Periods. </w:t>
      </w:r>
      <w:r>
        <w:rPr>
          <w:rFonts w:ascii="Arial" w:cs="Arial" w:eastAsia="Arial" w:hAnsi="Arial"/>
          <w:sz w:val="17"/>
          <w:szCs w:val="17"/>
          <w:color w:val="auto"/>
        </w:rPr>
        <w:t>When a chip manufacturer proposes to purchase a particular type of tool from us for the first time, we offer the manufacturer</w:t>
      </w:r>
      <w:r>
        <w:rPr>
          <w:rFonts w:ascii="Arial" w:cs="Arial" w:eastAsia="Arial" w:hAnsi="Arial"/>
          <w:sz w:val="17"/>
          <w:szCs w:val="17"/>
          <w:i w:val="1"/>
          <w:iCs w:val="1"/>
          <w:color w:val="auto"/>
        </w:rPr>
        <w:t xml:space="preserve"> </w:t>
      </w:r>
      <w:r>
        <w:rPr>
          <w:rFonts w:ascii="Arial" w:cs="Arial" w:eastAsia="Arial" w:hAnsi="Arial"/>
          <w:sz w:val="17"/>
          <w:szCs w:val="17"/>
          <w:color w:val="auto"/>
        </w:rPr>
        <w:t>an opportunity to evaluate the tool for a period that can extend for 24 months or longer. In some cases, we do not receive any payment on first-time purchases until the tool is accepted. As a result, we may spend between $1.0 and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jc w:val="both"/>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Purchase Orders. </w:t>
      </w:r>
      <w:r>
        <w:rPr>
          <w:rFonts w:ascii="Arial" w:cs="Arial" w:eastAsia="Arial" w:hAnsi="Arial"/>
          <w:sz w:val="18"/>
          <w:szCs w:val="18"/>
          <w:color w:val="auto"/>
        </w:rPr>
        <w:t>In accordance with industry practice, sales of our tools are made pursuant to purchase orders. Each purchase order from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for 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Fulfillment. </w:t>
      </w:r>
      <w:r>
        <w:rPr>
          <w:rFonts w:ascii="Arial" w:cs="Arial" w:eastAsia="Arial" w:hAnsi="Arial"/>
          <w:sz w:val="18"/>
          <w:szCs w:val="18"/>
          <w:color w:val="auto"/>
        </w:rPr>
        <w:t>We seek to obtain a purchase order for a tool from three to four months in advance of the expected delivery date. Depending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expect our sales prices generally to range from $2 million to more than $5 million for our single-wafer wet cleaning tools. The sales price of a particular tool will vary depending upon the required specifications. We have designed equipment models using a modular configuration that we customize to meet customers’ technical specifications. For example, our Ultra C models for SAPS, TEBO and Tahoe solutions use common modular configurations that enable us to create a wet-cleaning tool meeting a customer’s specific requirements, while using pre-existing designs for chamber, electrical, chemical delivery and other modules.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Because of the relatively large purchase prices of our tools, customers generally pay in installments. For a customer’s repeat purchase of a particular type of tool, the specific payment terms are negotiated in connection with acceptance milestones of a purchase order. Based on our limited experience with repeat sales of our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We expect that the period from new product introduction to high volume manufacturing will be three years or less in the future.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20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All of our sales in 2019 and 2018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We utilize the guidance set forth in Accounting Standards Update, or ASU, No. 2014-09, </w:t>
      </w:r>
      <w:r>
        <w:rPr>
          <w:rFonts w:ascii="Arial" w:cs="Arial" w:eastAsia="Arial" w:hAnsi="Arial"/>
          <w:sz w:val="22"/>
          <w:szCs w:val="22"/>
          <w:i w:val="1"/>
          <w:iCs w:val="1"/>
          <w:color w:val="auto"/>
        </w:rPr>
        <w:t>Revenue from Contracts with</w:t>
      </w:r>
      <w:r>
        <w:rPr>
          <w:rFonts w:ascii="Arial" w:cs="Arial" w:eastAsia="Arial" w:hAnsi="Arial"/>
          <w:sz w:val="22"/>
          <w:szCs w:val="22"/>
          <w:color w:val="auto"/>
        </w:rPr>
        <w:t xml:space="preserve"> </w:t>
      </w:r>
      <w:r>
        <w:rPr>
          <w:rFonts w:ascii="Arial" w:cs="Arial" w:eastAsia="Arial" w:hAnsi="Arial"/>
          <w:sz w:val="22"/>
          <w:szCs w:val="22"/>
          <w:i w:val="1"/>
          <w:iCs w:val="1"/>
          <w:color w:val="auto"/>
        </w:rPr>
        <w:t>Customers (Topic 606)</w:t>
      </w:r>
      <w:r>
        <w:rPr>
          <w:rFonts w:ascii="Arial" w:cs="Arial" w:eastAsia="Arial" w:hAnsi="Arial"/>
          <w:sz w:val="22"/>
          <w:szCs w:val="22"/>
          <w:color w:val="auto"/>
        </w:rPr>
        <w:t>, of the Financial Accounting Standards Board, or FASB, regarding the recognition, presentation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disclosure of revenue in our financial statements as described below under “—Critical Accounting Policies and Significant Judgments and Estimates—Revenue Recognition.”</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offer extended maintenance service contracts to provide services such as trouble-shooting or fine-tuning tools, and installing spare parts, following expiration of applicable initial standard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2019 and 2018, we received payments for parts and labor for service activities provided from time to time, but as of December 31, 2019 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loss or delay of one or more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“Item 1A. Risk Factors—Risks Related to Our Business and Our Industry—Difficulties in forecasting demand for our tools may lead to periodic inventory shortages or excess spending on inventory items that may not be used.”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Cost of Revenue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Cost of revenue for capital equipment consists primarily of:</w:t>
      </w:r>
    </w:p>
    <w:p>
      <w:pPr>
        <w:spacing w:after="0" w:line="1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costs, which consist principally of costs of tool components and subassemblies purchased from third-party vendors;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compensation of personnel associated with our manufacturing operations, including 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depreciation of manufacturing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amortization of costs of software used for manufacturing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expenses attributable to our manufacturing department;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not party to any long-term purchasing agreements with suppliers. Please see “Item 1A. Risk Factors—Risks Related to Our Business and Our Industry—Our customers do not enter into long-term purchase commitments, and they may decrease, cancel or delay their projected purchases at any time.”</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Gross Margin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gross margin was 47.1% in 2019 and 46.2% in 2018. Gross margin may vary from period to period, primarily related to the level of utilization and the timing and mix of purchase orders. We expect gross margin to range between 40% and 45% for the foreseeable future, with direct manufacturing costs approximating 50% to 55% of revenue and overhead costs totaling approximately 5% of revenue.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74"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A significant portion of our raw materials are denominated in the Chinese Renminbi, while the majority of our purchase orders are denominated in U.S. dollars. As a result, currency exchange rates may have a significant effect on our gross margin.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have experienced, and expect to continue to experience, growth in the absolute dollar amount of our operating expenses, as we invest to support the anticipated growth of our customer base and the continued development of proprietary technologies.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Sales and Marketing</w:t>
      </w:r>
    </w:p>
    <w:p>
      <w:pPr>
        <w:spacing w:after="0" w:line="239"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Sales and marketing expense accounted for 11.1% of our revenue in 2019 and 12.9% of our revenue in 2018. Sales and marketing expense consists primarily of:</w:t>
      </w:r>
    </w:p>
    <w:p>
      <w:pPr>
        <w:spacing w:after="0" w:line="1" w:lineRule="exact"/>
        <w:rPr>
          <w:sz w:val="20"/>
          <w:szCs w:val="20"/>
          <w:color w:val="auto"/>
        </w:rPr>
      </w:pPr>
    </w:p>
    <w:p>
      <w:pPr>
        <w:ind w:left="660" w:hanging="328"/>
        <w:spacing w:after="0" w:line="24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of personnel associated with pre- and after-sales support and other sales and marketing activities, including stock-based compensation;</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Research and Development</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Research and development expense accounted for 12.0% of our revenue in 2019 and 13.9% of our revenue in 2018. Research and development expense relates to the development of new products and processes and encompasses our research, development and customer support activities. Research and development expense consists primarily of:</w:t>
      </w:r>
    </w:p>
    <w:p>
      <w:pPr>
        <w:spacing w:after="0" w:line="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stock-based compensation;</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Some of our research and development has been funded by grants from the PRC government, as described in “—PRC Government Research and Development Funding” below.</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expect that, for the foreseeable future, research and development expense will increase in absolute dollars and will range between 12% and 15%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 and Administrative</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General and administrative expense accounted for 7.5% of our revenue in 2019 and 10.7% of our revenue in 2018. General and administrative expense consists primarily of:</w:t>
      </w:r>
    </w:p>
    <w:p>
      <w:pPr>
        <w:spacing w:after="0" w:line="1" w:lineRule="exact"/>
        <w:rPr>
          <w:sz w:val="20"/>
          <w:szCs w:val="20"/>
          <w:color w:val="auto"/>
        </w:rPr>
      </w:pPr>
    </w:p>
    <w:p>
      <w:pPr>
        <w:ind w:left="660" w:right="460" w:hanging="328"/>
        <w:spacing w:after="0" w:line="24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expect that, for the foreseeable future, general and administrative expense will increase in absolute dollars, as we incur additional costs associated with growing our business and operating as a public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Stock-Based Compensation Expense</w:t>
      </w:r>
    </w:p>
    <w:p>
      <w:pPr>
        <w:spacing w:after="0" w:line="239"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 xml:space="preserve">We grant stock options to employees and non-employee consultants and directors, and we account for those stock-based awards in accordance with Accounting Standards Codification, or ASC, Topic 718, </w:t>
      </w:r>
      <w:r>
        <w:rPr>
          <w:rFonts w:ascii="Arial" w:cs="Arial" w:eastAsia="Arial" w:hAnsi="Arial"/>
          <w:sz w:val="19"/>
          <w:szCs w:val="19"/>
          <w:i w:val="1"/>
          <w:iCs w:val="1"/>
          <w:color w:val="auto"/>
        </w:rPr>
        <w:t>Compensation—Stock Compensation</w:t>
      </w:r>
      <w:r>
        <w:rPr>
          <w:rFonts w:ascii="Arial" w:cs="Arial" w:eastAsia="Arial" w:hAnsi="Arial"/>
          <w:sz w:val="19"/>
          <w:szCs w:val="19"/>
          <w:color w:val="auto"/>
        </w:rPr>
        <w:t>.</w:t>
      </w:r>
    </w:p>
    <w:p>
      <w:pPr>
        <w:spacing w:after="0" w:line="139" w:lineRule="exact"/>
        <w:rPr>
          <w:sz w:val="20"/>
          <w:szCs w:val="20"/>
          <w:color w:val="auto"/>
        </w:rPr>
      </w:pPr>
    </w:p>
    <w:p>
      <w:pPr>
        <w:jc w:val="both"/>
        <w:ind w:left="980" w:hanging="324"/>
        <w:spacing w:after="0" w:line="25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Stock-based awards granted to employees and non-employees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service function of the employee or non-employee.</w:t>
      </w:r>
    </w:p>
    <w:p>
      <w:pPr>
        <w:spacing w:after="0" w:line="3" w:lineRule="exact"/>
        <w:rPr>
          <w:rFonts w:ascii="Arial" w:cs="Arial" w:eastAsia="Arial" w:hAnsi="Arial"/>
          <w:sz w:val="18"/>
          <w:szCs w:val="18"/>
          <w:color w:val="auto"/>
        </w:rPr>
      </w:pPr>
    </w:p>
    <w:p>
      <w:pPr>
        <w:ind w:left="980" w:hanging="324"/>
        <w:spacing w:after="0" w:line="290"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We also grant discounts to employees when they subscribe for the new shares of ACM Shanghai, and we account for those stock-based awards in accordance with Accounting Standards Codification, or ASC, Topic 718, </w:t>
      </w:r>
      <w:r>
        <w:rPr>
          <w:rFonts w:ascii="Arial" w:cs="Arial" w:eastAsia="Arial" w:hAnsi="Arial"/>
          <w:sz w:val="17"/>
          <w:szCs w:val="17"/>
          <w:i w:val="1"/>
          <w:iCs w:val="1"/>
          <w:color w:val="auto"/>
        </w:rPr>
        <w:t>Compensation—Stock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Cost of revenue and operating expenses during the periods presented below have included stock-based compensation as follows: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76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i w:val="1"/>
                <w:iCs w:val="1"/>
                <w:color w:val="auto"/>
                <w:w w:val="99"/>
              </w:rPr>
              <w:t>(in</w:t>
            </w:r>
          </w:p>
        </w:tc>
        <w:tc>
          <w:tcPr>
            <w:tcW w:w="640" w:type="dxa"/>
            <w:vAlign w:val="bottom"/>
            <w:gridSpan w:val="2"/>
          </w:tcPr>
          <w:p>
            <w:pPr>
              <w:jc w:val="right"/>
              <w:spacing w:after="0"/>
              <w:rPr>
                <w:sz w:val="20"/>
                <w:szCs w:val="20"/>
                <w:color w:val="auto"/>
              </w:rPr>
            </w:pPr>
            <w:r>
              <w:rPr>
                <w:rFonts w:ascii="Arial" w:cs="Arial" w:eastAsia="Arial" w:hAnsi="Arial"/>
                <w:sz w:val="17"/>
                <w:szCs w:val="17"/>
                <w:i w:val="1"/>
                <w:iCs w:val="1"/>
                <w:color w:val="auto"/>
                <w:w w:val="73"/>
              </w:rPr>
              <w:t>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900" w:type="dxa"/>
            <w:vAlign w:val="bottom"/>
            <w:gridSpan w:val="2"/>
            <w:shd w:val="clear" w:color="auto" w:fill="CCEEFF"/>
          </w:tcPr>
          <w:p>
            <w:pPr>
              <w:jc w:val="right"/>
              <w:ind w:right="61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136"/>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3,572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recognized stock-based compensation expense to employees of $2.3 million in 2019 and $0.7 million in 2018. As of December 31, 2019 and 2018, we had $4.7 million and $2.4 million, respectively, of total unrecognized employee stock-based compensation expense, net of estimated forfeitures, related to unvested stock-based awards. These are expected to be recognized over a weighted-average period of 1.47 years and 1.62 years,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We recognized stock-based compensation expense to non-employees of $1.3 million in 2019 and $2.7 million in 2018.</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PRC Government Research and Development Funding</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PRC governmental authorities provide the majority of the funding, although ACM Shanghai is also required to invest certain amounts in the projects.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$3.2 million in 2019 and $1.5 million in 2018.</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$0.1 million in 2019 and in 2018.</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Net Income Attributable to Redeemable Non-Controlling Interests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From January 1, 2015 to August 31, 2017, ACM Research owned 62.87% of the equity interests of ACM Shanghai, with three non-controlling, unrelated investors holding the remainder. ACM Research acquired all of the non-controlling interests from minority investors in several transactions during 2017. Following these transactions, ACM Research owned 100% of the ACM Shanghai subsidiary.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the result of placements effected in connection with the proposed STAR Listing and STAR IPO, as of March 20, 2020 91.7% of the outstanding shares of ACM Shanghai are owned by ACM Research, 3.8% are owned by the First Tranche Investors and 4.5% are owned by the Second Tranche Investors. For more information, please see “—Recent Developments—STAR Market Listing and IPO” above.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Evaluate Our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present information below with respect to four measures of financial performance:</w:t>
      </w:r>
    </w:p>
    <w:p>
      <w:pPr>
        <w:spacing w:after="0" w:line="240" w:lineRule="exact"/>
        <w:rPr>
          <w:sz w:val="20"/>
          <w:szCs w:val="20"/>
          <w:color w:val="auto"/>
        </w:rPr>
      </w:pPr>
    </w:p>
    <w:p>
      <w:pPr>
        <w:jc w:val="both"/>
        <w:ind w:left="660" w:hanging="328"/>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and customer acceptance is received.</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231" w:lineRule="exact"/>
        <w:rPr>
          <w:sz w:val="20"/>
          <w:szCs w:val="20"/>
          <w:color w:val="auto"/>
        </w:rPr>
      </w:pPr>
    </w:p>
    <w:p>
      <w:pPr>
        <w:ind w:right="620"/>
        <w:spacing w:after="0"/>
        <w:rPr>
          <w:sz w:val="20"/>
          <w:szCs w:val="20"/>
          <w:color w:val="auto"/>
        </w:rPr>
      </w:pPr>
      <w:r>
        <w:rPr>
          <w:rFonts w:ascii="Arial" w:cs="Arial" w:eastAsia="Arial" w:hAnsi="Arial"/>
          <w:sz w:val="22"/>
          <w:szCs w:val="22"/>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21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Shipments, adjusted EBITDA, free cash flow and adjusted operating income (loss) are not prepared in accordance with GAAP, and should not be considered in isolation of, or as an alternative to, measures prepared in accordance with GAAP.</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Shipments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Shipments consist of two components:</w:t>
      </w:r>
    </w:p>
    <w:p>
      <w:pPr>
        <w:spacing w:after="0" w:line="240" w:lineRule="exact"/>
        <w:rPr>
          <w:sz w:val="20"/>
          <w:szCs w:val="20"/>
          <w:color w:val="auto"/>
        </w:rPr>
      </w:pPr>
    </w:p>
    <w:p>
      <w:pPr>
        <w:ind w:left="660" w:hanging="328"/>
        <w:spacing w:after="0" w:line="25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has previously accepted, for which we recognize revenue when the tool is delivered;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“First tool” shipments can be made to either an existing customer that not previously accepted that specific type of tool in the past</w:t>
      </w:r>
    </w:p>
    <w:p>
      <w:pPr>
        <w:spacing w:after="0" w:line="43" w:lineRule="exact"/>
        <w:rPr>
          <w:sz w:val="20"/>
          <w:szCs w:val="20"/>
          <w:color w:val="auto"/>
        </w:rPr>
      </w:pPr>
    </w:p>
    <w:p>
      <w:pPr>
        <w:ind w:firstLine="8"/>
        <w:spacing w:after="0" w:line="236" w:lineRule="auto"/>
        <w:tabs>
          <w:tab w:leader="none" w:pos="207"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example, a delivery of a SAPS V tool to a customer that previously had received only SAPS II tools ─ or to a new customer that has never purchased any tool from us.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Shipments for 2019 totaled $115 million, as compared to $95 million for 2018.</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Adjusted EBITDA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There are a number of limitations related to the use of adjusted EBITDA rather than net income (loss), which is the nearest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GAAP equivalent. Some of these limitations are:</w:t>
      </w:r>
    </w:p>
    <w:p>
      <w:pPr>
        <w:spacing w:after="0" w:line="222" w:lineRule="exact"/>
        <w:rPr>
          <w:sz w:val="20"/>
          <w:szCs w:val="20"/>
          <w:color w:val="auto"/>
        </w:rPr>
      </w:pPr>
    </w:p>
    <w:p>
      <w:pPr>
        <w:ind w:left="660" w:right="20" w:hanging="328"/>
        <w:spacing w:after="0" w:line="25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w:t>
      </w:r>
    </w:p>
    <w:p>
      <w:pPr>
        <w:spacing w:after="0" w:line="1" w:lineRule="exact"/>
        <w:rPr>
          <w:rFonts w:ascii="Arial" w:cs="Arial" w:eastAsia="Arial" w:hAnsi="Arial"/>
          <w:sz w:val="16"/>
          <w:szCs w:val="16"/>
          <w:color w:val="auto"/>
        </w:rPr>
      </w:pPr>
    </w:p>
    <w:p>
      <w:pPr>
        <w:ind w:left="660" w:right="20" w:hanging="4"/>
        <w:spacing w:after="0" w:line="250" w:lineRule="auto"/>
        <w:tabs>
          <w:tab w:leader="none" w:pos="9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we did not pay out a portion of our compensation in the form of stock-based compensation, the cash salary expense included in operating expenses would be higher, which would affect our cash position;</w:t>
      </w:r>
    </w:p>
    <w:p>
      <w:pPr>
        <w:ind w:left="660" w:right="2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660" w:hanging="328"/>
        <w:spacing w:after="0" w:line="277"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reconciles net income (loss), the most directly comparable GAAP financial measure, to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Data:</w:t>
            </w:r>
          </w:p>
        </w:tc>
        <w:tc>
          <w:tcPr>
            <w:tcW w:w="1120" w:type="dxa"/>
            <w:vAlign w:val="bottom"/>
            <w:gridSpan w:val="2"/>
          </w:tcPr>
          <w:p>
            <w:pPr>
              <w:jc w:val="right"/>
              <w:spacing w:after="0"/>
              <w:rPr>
                <w:sz w:val="20"/>
                <w:szCs w:val="20"/>
                <w:color w:val="auto"/>
              </w:rPr>
            </w:pPr>
            <w:r>
              <w:rPr>
                <w:rFonts w:ascii="Arial" w:cs="Arial" w:eastAsia="Arial" w:hAnsi="Arial"/>
                <w:sz w:val="18"/>
                <w:szCs w:val="18"/>
                <w:i w:val="1"/>
                <w:iCs w:val="1"/>
                <w:color w:val="auto"/>
                <w:w w:val="92"/>
              </w:rPr>
              <w:t>(in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23,712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Adjusted EBITDA was $23.7 million in 2019, as compared to $11.6 million in 2018. The increase of $12.1 million reflected principally an increase of $12.9 million in net income and was offset by a $0.4 million increase in depreciation and amortization, a $1.3 million decrease in income tax expense (benefit), and a $0.2 million increase in stock-based compensation.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Free Cash Flow</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reconciles net cash provided by operating activities, the most directly comparable GAAP financial measure, to free cash flow: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 Data:</w:t>
            </w:r>
          </w:p>
        </w:tc>
        <w:tc>
          <w:tcPr>
            <w:tcW w:w="160" w:type="dxa"/>
            <w:vAlign w:val="bottom"/>
          </w:tcPr>
          <w:p>
            <w:pPr>
              <w:spacing w:after="0"/>
              <w:rPr>
                <w:sz w:val="20"/>
                <w:szCs w:val="20"/>
                <w:color w:val="auto"/>
              </w:rPr>
            </w:pPr>
          </w:p>
        </w:tc>
        <w:tc>
          <w:tcPr>
            <w:tcW w:w="960" w:type="dxa"/>
            <w:vAlign w:val="bottom"/>
          </w:tcPr>
          <w:p>
            <w:pPr>
              <w:ind w:left="540"/>
              <w:spacing w:after="0"/>
              <w:rPr>
                <w:sz w:val="20"/>
                <w:szCs w:val="20"/>
                <w:color w:val="auto"/>
              </w:rPr>
            </w:pPr>
            <w:r>
              <w:rPr>
                <w:rFonts w:ascii="Arial" w:cs="Arial" w:eastAsia="Arial" w:hAnsi="Arial"/>
                <w:sz w:val="18"/>
                <w:szCs w:val="18"/>
                <w:i w:val="1"/>
                <w:iCs w:val="1"/>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9,403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76"/>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4"/>
              </w:rPr>
              <w:t>8,278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Free cash flow in 2019, as compared to 2018, reflected the factors driving net cash provided by operating activities, principally increase in net income, offset by an increase in accounts receivable, inventory and deferred taxes, and a decrease in accounts payable. Consistent with our methodology for calculating adjusted EBITDA, we do not adjust free cash flow for the effects of PRC government subsidies, because we take those subsidies into account in incurring expenses and capital expenditures.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Adjusted Operating Income</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Adjusted operating income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1"/>
              </w:rPr>
              <w:t>Year Ended 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Actual</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3"/>
              </w:rPr>
              <w:t>Adjusted</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SBC</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(Non-GAAP)</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(GAAP)</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SBC</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(Non-GAAP)</w:t>
            </w:r>
          </w:p>
        </w:tc>
        <w:tc>
          <w:tcPr>
            <w:tcW w:w="10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tcPr>
          <w:p>
            <w:pPr>
              <w:jc w:val="right"/>
              <w:ind w:right="9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107,524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74,643</w:t>
            </w: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(56,870)</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(56,620)</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(40,194)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(40,123)</w:t>
            </w: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50,654</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(9,491)</w:t>
            </w: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(12,900)</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(11,807)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(10,380)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(10,125)</w:t>
            </w: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(5,070)</w:t>
            </w: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17,791</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(3,572)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21,363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9,834</w:t>
            </w: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Adjusted operating income in 2019, as compared to 2018 reflected increases in operating income of $11.5 million and stock-based compensation of $0.2 million.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Judgments and Estimates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We derive revenue principally from the sale of single-wafer wet cleaning equipment. Revenue from contracts with customers is recognized using the following five steps pursuant to the </w:t>
      </w:r>
      <w:r>
        <w:rPr>
          <w:rFonts w:ascii="Arial" w:cs="Arial" w:eastAsia="Arial" w:hAnsi="Arial"/>
          <w:sz w:val="19"/>
          <w:szCs w:val="19"/>
          <w:i w:val="1"/>
          <w:iCs w:val="1"/>
          <w:color w:val="auto"/>
        </w:rPr>
        <w:t>ASC Topic 606, Revenue from Contracts with Customers:</w:t>
      </w:r>
    </w:p>
    <w:p>
      <w:pPr>
        <w:spacing w:after="0" w:line="139"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we identify a bundle of goods or services that is distinct. Promises in contracts which do not result in the transfer of a good or service are not performance obligations, as well as those promises that are administrative in nature, or are immaterial in the context of the contract. We have addressed whether various goods and services promised to the customer represent distinct performance obligations. We applied the guidance of ASC Topic 606-10-25-16 through 18 in order to verify which promises should be assessed for classification as distinct performance obligations. Our contracts with customers include more than one performance obligation. For example, the delivery of a piece of equipment generally includes the promise to install the equipment in the customer’s facility. Our performance obligations in connection with a sale of equipment generally include production, delivery and installation, together with the provision of a warranty.</w:t>
      </w:r>
    </w:p>
    <w:p>
      <w:pPr>
        <w:sectPr>
          <w:pgSz w:w="11900" w:h="16838" w:orient="portrait"/>
          <w:cols w:equalWidth="0" w:num="1">
            <w:col w:w="11240"/>
          </w:cols>
          <w:pgMar w:left="320" w:top="114"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transaction price is allocated to all the separate performance obligations in an arrangement. It reflects the amount of consideration to which we expect to be entitled in exchange for transferring goods or services, which may include an estimate of variable consideration to the extent that it is probable of not being subject to significant reversals in the future based on our experience with similar arrangements. The transaction price excludes amounts collected on behalf of third parties, such as sales taxes. This is done on a relative selling price basis using standalone selling prices, or SSP. The SSP represents the price at which we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our products were sold in stand-alone arrangements, we do not have observable SSPs for most performance obligations as they are not regularly sold on a standalone basis. Production, delivery and installation of a product, together with provision of a warranty, are a single unit of accounting.</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recognize revenue when we satisfy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6" w:lineRule="exact"/>
        <w:rPr>
          <w:sz w:val="20"/>
          <w:szCs w:val="20"/>
          <w:color w:val="auto"/>
        </w:rPr>
      </w:pPr>
    </w:p>
    <w:p>
      <w:pPr>
        <w:ind w:left="660" w:right="20" w:hanging="328"/>
        <w:spacing w:after="0" w:line="24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we can objectively demonstrate that the tool meets all of the required acceptance criteria;</w:t>
      </w:r>
    </w:p>
    <w:p>
      <w:pPr>
        <w:ind w:left="6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we can objectively demonstrate that the tool meets all of the required acceptance criteria;</w:t>
      </w:r>
    </w:p>
    <w:p>
      <w:pPr>
        <w:ind w:left="660" w:right="2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our sales arrangements do not include a general right of return.</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its revenue in the future.</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incur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we expense sales commissions when incurred. These costs are recorded within sales and marketing expenses.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do not incur any costs to fulfill the contracts with customers that are not already reported in compliance with another applicable standard (for example, inventory or plant, property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23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We determine at inception whether an arrangement constitutes an operating lease. Operating leases are included in operating lease right-of-use, or ROU, assets, other current liabilities and operating lease liabilities in our consolidated balance sheets</w:t>
      </w:r>
    </w:p>
    <w:p>
      <w:pPr>
        <w:spacing w:after="0" w:line="10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Stock-Based Compensation</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account for grants of stock options based on their grant date fair value and recognize compensation expense over the vesting periods. We estimate the fair value of stock options as of the date of grant using the Black-Scholes option pricing model.</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subjective assumptions, including (a) the risk-free interest rate, (b) the expected volatility of our stock, (c) the expected term of the award and (d) the expected dividend yield.</w:t>
      </w:r>
    </w:p>
    <w:p>
      <w:pPr>
        <w:spacing w:after="0" w:line="5" w:lineRule="exact"/>
        <w:rPr>
          <w:sz w:val="20"/>
          <w:szCs w:val="20"/>
          <w:color w:val="auto"/>
        </w:rPr>
      </w:pPr>
    </w:p>
    <w:p>
      <w:pPr>
        <w:ind w:left="660" w:hanging="328"/>
        <w:spacing w:after="0" w:line="24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use the market closing price for the Class A common stock as reported on the Nasdaq Global Market to determine the fair value of the Class A common stock.</w:t>
      </w: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risk-free interest rates for periods within the expected life of the option are based on the yields of zero-coupon U.S. Treasury securities.</w:t>
      </w:r>
    </w:p>
    <w:p>
      <w:pPr>
        <w:spacing w:after="0" w:line="20" w:lineRule="exact"/>
        <w:rPr>
          <w:rFonts w:ascii="Arial" w:cs="Arial" w:eastAsia="Arial" w:hAnsi="Arial"/>
          <w:sz w:val="17"/>
          <w:szCs w:val="17"/>
          <w:color w:val="auto"/>
        </w:rPr>
      </w:pPr>
    </w:p>
    <w:p>
      <w:pPr>
        <w:jc w:val="both"/>
        <w:ind w:left="660" w:hanging="328"/>
        <w:spacing w:after="0" w:line="265"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Due to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ind w:left="660" w:right="280" w:hanging="328"/>
        <w:spacing w:after="0" w:line="265"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ind w:left="66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expected dividend yield is assumed to be 0%, based on the fact that we have never paid cash dividends and have no present intention to pay cash dividends.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80"/>
        <w:spacing w:after="0"/>
        <w:rPr>
          <w:sz w:val="20"/>
          <w:szCs w:val="20"/>
          <w:color w:val="auto"/>
        </w:rPr>
      </w:pPr>
      <w:r>
        <w:rPr>
          <w:rFonts w:ascii="Arial" w:cs="Arial" w:eastAsia="Arial" w:hAnsi="Arial"/>
          <w:sz w:val="22"/>
          <w:szCs w:val="22"/>
          <w:b w:val="1"/>
          <w:bCs w:val="1"/>
          <w:i w:val="1"/>
          <w:iCs w:val="1"/>
          <w:color w:val="auto"/>
        </w:rPr>
        <w:t>Inventory</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December 31, 2019 and 2018.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Allowance for Doubtful Accounts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 on a quarterly basis to assess the adequacy of the allowance. We take into consideration</w:t>
      </w:r>
    </w:p>
    <w:p>
      <w:pPr>
        <w:spacing w:after="0" w:line="1" w:lineRule="exact"/>
        <w:rPr>
          <w:sz w:val="20"/>
          <w:szCs w:val="20"/>
          <w:color w:val="auto"/>
        </w:rPr>
      </w:pPr>
    </w:p>
    <w:p>
      <w:pPr>
        <w:jc w:val="both"/>
        <w:ind w:firstLine="8"/>
        <w:spacing w:after="0" w:line="277" w:lineRule="auto"/>
        <w:tabs>
          <w:tab w:leader="none" w:pos="336" w:val="left"/>
        </w:tabs>
        <w:numPr>
          <w:ilvl w:val="0"/>
          <w:numId w:val="57"/>
        </w:numPr>
        <w:rPr>
          <w:rFonts w:ascii="Arial" w:cs="Arial" w:eastAsia="Arial" w:hAnsi="Arial"/>
          <w:sz w:val="19"/>
          <w:szCs w:val="19"/>
          <w:color w:val="auto"/>
        </w:rPr>
      </w:pPr>
      <w:r>
        <w:rPr>
          <w:rFonts w:ascii="Arial" w:cs="Arial" w:eastAsia="Arial" w:hAnsi="Arial"/>
          <w:sz w:val="19"/>
          <w:szCs w:val="19"/>
          <w:color w:val="auto"/>
        </w:rPr>
        <w:t>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Valuation of Long-Lived Assets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2019 and 2018.</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Income Taxes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maintained a partial valuation allowance as of December 31, 2019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Interest and penalties related to uncertain tax positions are recorded in the provision for income tax expense on the consolidated statements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Foreign Currency Translation</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Our consolidated financial statements are presented in U.S. dollars, which is our reporting currency, while the functional currency of our subsidiaries in the PRC is RMB, and the functional currency of our subsidiary in Korea is the Korean Won.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9"/>
          <w:szCs w:val="19"/>
          <w:i w:val="1"/>
          <w:iCs w:val="1"/>
          <w:color w:val="auto"/>
        </w:rPr>
        <w:t>Foreign Currency Matters</w:t>
      </w:r>
      <w:r>
        <w:rPr>
          <w:rFonts w:ascii="Arial" w:cs="Arial" w:eastAsia="Arial" w:hAnsi="Arial"/>
          <w:sz w:val="19"/>
          <w:szCs w:val="19"/>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Warranty</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have provided standard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 discussion of recent accounting pronouncements impacting our company, see note 2 in the Notes to Consolidated Financial Statements include herein under “Item 8. Financial Statements and Supplementary Data.”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results of operations for the periods presented, as percentages of revenue.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420" w:type="dxa"/>
            <w:vAlign w:val="bottom"/>
          </w:tcPr>
          <w:p>
            <w:pPr>
              <w:spacing w:after="0"/>
              <w:rPr>
                <w:sz w:val="20"/>
                <w:szCs w:val="20"/>
                <w:color w:val="auto"/>
              </w:rPr>
            </w:pPr>
          </w:p>
        </w:tc>
        <w:tc>
          <w:tcPr>
            <w:tcW w:w="26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4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Cost of revenue</w:t>
            </w:r>
          </w:p>
        </w:tc>
        <w:tc>
          <w:tcPr>
            <w:tcW w:w="1100" w:type="dxa"/>
            <w:vAlign w:val="bottom"/>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r>
      <w:tr>
        <w:trPr>
          <w:trHeight w:val="223"/>
        </w:trPr>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r>
      <w:tr>
        <w:trPr>
          <w:trHeight w:val="216"/>
        </w:trPr>
        <w:tc>
          <w:tcPr>
            <w:tcW w:w="74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r>
      <w:tr>
        <w:trPr>
          <w:trHeight w:val="223"/>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7420" w:type="dxa"/>
            <w:vAlign w:val="bottom"/>
          </w:tcPr>
          <w:p>
            <w:pPr>
              <w:ind w:left="320"/>
              <w:spacing w:after="0"/>
              <w:rPr>
                <w:sz w:val="20"/>
                <w:szCs w:val="20"/>
                <w:color w:val="auto"/>
              </w:rPr>
            </w:pPr>
            <w:r>
              <w:rPr>
                <w:rFonts w:ascii="Arial" w:cs="Arial" w:eastAsia="Arial" w:hAnsi="Arial"/>
                <w:sz w:val="18"/>
                <w:szCs w:val="18"/>
                <w:color w:val="auto"/>
              </w:rPr>
              <w:t>Total operating expenses, net</w:t>
            </w:r>
          </w:p>
        </w:tc>
        <w:tc>
          <w:tcPr>
            <w:tcW w:w="110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r>
      <w:tr>
        <w:trPr>
          <w:trHeight w:val="216"/>
        </w:trPr>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from operations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Equity income in net income of affiliates</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r>
      <w:tr>
        <w:trPr>
          <w:trHeight w:val="216"/>
        </w:trPr>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7"/>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ACM Research, Inc.</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r>
        <w:trPr>
          <w:trHeight w:val="20"/>
        </w:trPr>
        <w:tc>
          <w:tcPr>
            <w:tcW w:w="74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Comparison of Year Ended December 31, 2019 and 2018</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Revenue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Year Ended December 31,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Y/Y %Change</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i w:val="1"/>
                <w:iCs w:val="1"/>
                <w:color w:val="auto"/>
                <w:w w:val="99"/>
              </w:rPr>
              <w:t>(in</w:t>
            </w:r>
          </w:p>
        </w:tc>
        <w:tc>
          <w:tcPr>
            <w:tcW w:w="1320" w:type="dxa"/>
            <w:vAlign w:val="bottom"/>
            <w:gridSpan w:val="4"/>
          </w:tcPr>
          <w:p>
            <w:pPr>
              <w:jc w:val="right"/>
              <w:ind w:right="61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107,524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74,643</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Revenue for 2019 compared to 2018 increased by $32.9 million. The increase was due to a $22.4 million increase in revenue from single-wafer wet cleaning tools to our front-end customers, and an $10.5 million increase in revenue of tools to our back-end customers.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Cost of Revenue and Gross Margin</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Y/Y %Change</w:t>
            </w:r>
          </w:p>
        </w:tc>
        <w:tc>
          <w:tcPr>
            <w:tcW w:w="16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i w:val="1"/>
                <w:iCs w:val="1"/>
                <w:color w:val="auto"/>
              </w:rPr>
              <w:t>(in</w:t>
            </w:r>
          </w:p>
        </w:tc>
        <w:tc>
          <w:tcPr>
            <w:tcW w:w="1260" w:type="dxa"/>
            <w:vAlign w:val="bottom"/>
            <w:gridSpan w:val="4"/>
          </w:tcPr>
          <w:p>
            <w:pPr>
              <w:jc w:val="center"/>
              <w:ind w:right="510"/>
              <w:spacing w:after="0"/>
              <w:rPr>
                <w:sz w:val="20"/>
                <w:szCs w:val="20"/>
                <w:color w:val="auto"/>
              </w:rPr>
            </w:pPr>
            <w:r>
              <w:rPr>
                <w:rFonts w:ascii="Arial" w:cs="Arial" w:eastAsia="Arial" w:hAnsi="Arial"/>
                <w:sz w:val="18"/>
                <w:szCs w:val="18"/>
                <w:i w:val="1"/>
                <w:iCs w:val="1"/>
                <w:color w:val="auto"/>
                <w:w w:val="74"/>
              </w:rPr>
              <w:t>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56,870</w:t>
            </w: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40,194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50,654</w:t>
            </w:r>
          </w:p>
        </w:tc>
        <w:tc>
          <w:tcPr>
            <w:tcW w:w="2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34,449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 bps</w:t>
            </w:r>
          </w:p>
        </w:tc>
      </w:tr>
    </w:tbl>
    <w:p>
      <w:pPr>
        <w:spacing w:after="0" w:line="222"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Cost of revenue increased $16.7 million, and gross profit increased $16.2 million, for 2019 compared to 2018, reflecting the growth in sales. Gross margin increased by 96 basis points, primarily due to differences in product mix in 2019 versus 2018.</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Operating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2"/>
              </w:rPr>
              <w:t>Year Ended December 31,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Y/Y %Change</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i w:val="1"/>
                <w:iCs w:val="1"/>
                <w:color w:val="auto"/>
              </w:rPr>
              <w:t>(in</w:t>
            </w:r>
          </w:p>
        </w:tc>
        <w:tc>
          <w:tcPr>
            <w:tcW w:w="1320" w:type="dxa"/>
            <w:vAlign w:val="bottom"/>
            <w:gridSpan w:val="3"/>
          </w:tcPr>
          <w:p>
            <w:pPr>
              <w:jc w:val="right"/>
              <w:ind w:right="61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44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9,611</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10,380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32,863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27,978</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Sales and marketing expense </w:t>
      </w:r>
      <w:r>
        <w:rPr>
          <w:rFonts w:ascii="Arial" w:cs="Arial" w:eastAsia="Arial" w:hAnsi="Arial"/>
          <w:sz w:val="22"/>
          <w:szCs w:val="22"/>
          <w:color w:val="auto"/>
        </w:rPr>
        <w:t>increased by $2.3 million for 2019 as compared to 2018, primarily due to an increase in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count, salaries and sales commissions.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Research and development expense </w:t>
      </w:r>
      <w:r>
        <w:rPr>
          <w:rFonts w:ascii="Arial" w:cs="Arial" w:eastAsia="Arial" w:hAnsi="Arial"/>
          <w:sz w:val="19"/>
          <w:szCs w:val="19"/>
          <w:color w:val="auto"/>
        </w:rPr>
        <w:t>increased $2.5 million for 2019 as compared to 2018, primarily due to an increase in</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count, salaries and research and development parts. Research and development expense represented 12.0% and 13.9% of our revenue in 2019 and 2018, respectively. Without reduction by grant amounts received from PRC governmental authorities (see “—Key Components of Results of Operations—PRC Government Research and Development Funding”), gross research and development expense totaled $16.1 million, or 14.9% of revenue, in 2019 and $11.9 million, or 15.9% of revenue, in 2018.</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General and administrative expense </w:t>
      </w:r>
      <w:r>
        <w:rPr>
          <w:rFonts w:ascii="Arial" w:cs="Arial" w:eastAsia="Arial" w:hAnsi="Arial"/>
          <w:sz w:val="22"/>
          <w:szCs w:val="22"/>
          <w:color w:val="auto"/>
        </w:rPr>
        <w:t>increased $0.1 million for 2019 as compared to 2018.</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Other Income and Expenses</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 Ended December 31,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Y/Y % Change</w:t>
            </w:r>
          </w:p>
        </w:tc>
      </w:tr>
      <w:tr>
        <w:trPr>
          <w:trHeight w:val="223"/>
        </w:trPr>
        <w:tc>
          <w:tcPr>
            <w:tcW w:w="3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 v 2018</w:t>
            </w:r>
          </w:p>
        </w:tc>
        <w:tc>
          <w:tcPr>
            <w:tcW w:w="240" w:type="dxa"/>
            <w:vAlign w:val="bottom"/>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i w:val="1"/>
                <w:iCs w:val="1"/>
                <w:color w:val="auto"/>
              </w:rPr>
              <w:t>(in</w:t>
            </w:r>
          </w:p>
        </w:tc>
        <w:tc>
          <w:tcPr>
            <w:tcW w:w="1200" w:type="dxa"/>
            <w:vAlign w:val="bottom"/>
            <w:gridSpan w:val="3"/>
          </w:tcPr>
          <w:p>
            <w:pPr>
              <w:jc w:val="right"/>
              <w:ind w:right="510"/>
              <w:spacing w:after="0"/>
              <w:rPr>
                <w:sz w:val="20"/>
                <w:szCs w:val="20"/>
                <w:color w:val="auto"/>
              </w:rPr>
            </w:pPr>
            <w:r>
              <w:rPr>
                <w:rFonts w:ascii="Arial" w:cs="Arial" w:eastAsia="Arial" w:hAnsi="Arial"/>
                <w:sz w:val="16"/>
                <w:szCs w:val="16"/>
                <w:i w:val="1"/>
                <w:iCs w:val="1"/>
                <w:color w:val="auto"/>
                <w:w w:val="73"/>
              </w:rPr>
              <w:t>thousands)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1048.3%</w:t>
            </w: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r>
      <w:tr>
        <w:trPr>
          <w:trHeight w:val="25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210"/>
        </w:trPr>
        <w:tc>
          <w:tcPr>
            <w:tcW w:w="354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Interest expense, net, consists of interest incurred from outstanding short-term borrowings, offset by interest earned on net cash balances. Interest expense, net, decreased to $412,000 in 2019 from $469,000 in 2018, principally as a result of increased interest income earned from higher cash balances, partly offset by increased interest expenses incurred from higher short term bank loans.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Other income, net primarily reflects (a) gains or losses recognized from the effect of exchange rates on our foreign currency-denominated asset and liability balances and (b) depreciation of assets acquired with government subsidies, as described under “—Key Components of Results of Operations—PRC Government Research and Development Funding” above. Our other income was $1.4 million in 2019 due primarily to a weaker RMB to U.S. dollar exchange rate, compared to other income of $1.3 million in 2018 due to a weaker RMB to U.S. dollar exchange rate.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Income Tax Benefit (Expense)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presents components of income tax benefit (expense) for the indicated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Total current tax expense</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(3,176)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state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benefit (expense)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income tax benefit (expense)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2019.</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effective tax rate differs from statutory rates of 21% for U.S. federal income tax purposes and 15% to 25% for PRC income tax purposes due to the effects of the valuation allowance and certain permanent differences as it pertains to book-tax differences in the value of client equity securities received for services. Our three PRC subsidiaries, ACM Shanghai, ACM Wuxi, and ACM Shengwei, are liable for PRC corporate income taxes at the rates of 15%, 25%,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in 2016, and again in 2018, with an effective period of three years.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2019, we funded our technology development and operations principally through our beginning cash balance, application of net proceeds from a follow-on public offering of Class A common stock (see “—Recent Developments—Follow-on Public Offering” above), short-term borrowings by ACM Shanghai from local financial institutions, and cash flow from operating activities.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Sources of Funds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Cash Flow from Operating Activities. </w:t>
      </w:r>
      <w:r>
        <w:rPr>
          <w:rFonts w:ascii="Arial" w:cs="Arial" w:eastAsia="Arial" w:hAnsi="Arial"/>
          <w:sz w:val="22"/>
          <w:szCs w:val="22"/>
          <w:color w:val="auto"/>
        </w:rPr>
        <w:t>Our operations provided cash flow of $9.4 million in 2019. Our cash flow from operating</w:t>
      </w:r>
      <w:r>
        <w:rPr>
          <w:rFonts w:ascii="Arial" w:cs="Arial" w:eastAsia="Arial" w:hAnsi="Arial"/>
          <w:sz w:val="22"/>
          <w:szCs w:val="22"/>
          <w:i w:val="1"/>
          <w:iCs w:val="1"/>
          <w:color w:val="auto"/>
        </w:rPr>
        <w:t xml:space="preserve"> </w:t>
      </w:r>
      <w:r>
        <w:rPr>
          <w:rFonts w:ascii="Arial" w:cs="Arial" w:eastAsia="Arial" w:hAnsi="Arial"/>
          <w:sz w:val="22"/>
          <w:szCs w:val="22"/>
          <w:color w:val="auto"/>
        </w:rPr>
        <w:t>activities is 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Class A Common Stock. </w:t>
      </w:r>
      <w:r>
        <w:rPr>
          <w:rFonts w:ascii="Arial" w:cs="Arial" w:eastAsia="Arial" w:hAnsi="Arial"/>
          <w:sz w:val="22"/>
          <w:szCs w:val="22"/>
          <w:color w:val="auto"/>
        </w:rPr>
        <w:t>In August 2019 we received $26.4 million in net proceeds (after underwriting discounts and related</w:t>
      </w:r>
      <w:r>
        <w:rPr>
          <w:rFonts w:ascii="Arial" w:cs="Arial" w:eastAsia="Arial" w:hAnsi="Arial"/>
          <w:sz w:val="22"/>
          <w:szCs w:val="22"/>
          <w:i w:val="1"/>
          <w:iCs w:val="1"/>
          <w:color w:val="auto"/>
        </w:rPr>
        <w:t xml:space="preserve"> </w:t>
      </w:r>
      <w:r>
        <w:rPr>
          <w:rFonts w:ascii="Arial" w:cs="Arial" w:eastAsia="Arial" w:hAnsi="Arial"/>
          <w:sz w:val="22"/>
          <w:szCs w:val="22"/>
          <w:color w:val="auto"/>
        </w:rPr>
        <w:t>expenses), from our sale, at a purchase price of $13.195 per share, of 2,053,572 shares of Class A common stock (including 267,857 shares sold pursuant to the underwriters’ exercise of an over-allotment option). During 2019, we received proceeds of $317,000 from sales of Class A common stock pursuant to option exercises.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ACM Shanghai Short-Term Loan Facilities. </w:t>
      </w:r>
      <w:r>
        <w:rPr>
          <w:rFonts w:ascii="Arial" w:cs="Arial" w:eastAsia="Arial" w:hAnsi="Arial"/>
          <w:sz w:val="21"/>
          <w:szCs w:val="21"/>
          <w:color w:val="auto"/>
        </w:rPr>
        <w:t>ACM Shanghai is a party to short-term borrowing with four banks,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Maximum</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Annual</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Borrowing</w:t>
            </w:r>
          </w:p>
        </w:tc>
        <w:tc>
          <w:tcPr>
            <w:tcW w:w="18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6"/>
              </w:rPr>
              <w:t>Amount Outstanding</w:t>
            </w:r>
          </w:p>
        </w:tc>
      </w:tr>
      <w:tr>
        <w:trPr>
          <w:trHeight w:val="234"/>
        </w:trPr>
        <w:tc>
          <w:tcPr>
            <w:tcW w:w="3160" w:type="dxa"/>
            <w:vAlign w:val="bottom"/>
          </w:tcPr>
          <w:p>
            <w:pPr>
              <w:ind w:left="1300"/>
              <w:spacing w:after="0"/>
              <w:rPr>
                <w:sz w:val="20"/>
                <w:szCs w:val="20"/>
                <w:color w:val="auto"/>
              </w:rPr>
            </w:pPr>
            <w:r>
              <w:rPr>
                <w:rFonts w:ascii="Arial" w:cs="Arial" w:eastAsia="Arial" w:hAnsi="Arial"/>
                <w:sz w:val="18"/>
                <w:szCs w:val="18"/>
                <w:b w:val="1"/>
                <w:bCs w:val="1"/>
                <w:color w:val="auto"/>
              </w:rPr>
              <w:t>Lender</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8"/>
                <w:szCs w:val="18"/>
                <w:b w:val="1"/>
                <w:bCs w:val="1"/>
                <w:color w:val="auto"/>
                <w:w w:val="89"/>
              </w:rPr>
              <w:t>Agreement Date</w:t>
            </w:r>
          </w:p>
        </w:tc>
        <w:tc>
          <w:tcPr>
            <w:tcW w:w="80" w:type="dxa"/>
            <w:vAlign w:val="bottom"/>
          </w:tcPr>
          <w:p>
            <w:pPr>
              <w:spacing w:after="0"/>
              <w:rPr>
                <w:sz w:val="20"/>
                <w:szCs w:val="20"/>
                <w:color w:val="auto"/>
              </w:rPr>
            </w:pPr>
          </w:p>
        </w:tc>
        <w:tc>
          <w:tcPr>
            <w:tcW w:w="2180" w:type="dxa"/>
            <w:vAlign w:val="bottom"/>
          </w:tcPr>
          <w:p>
            <w:pPr>
              <w:ind w:left="54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Amount(1)</w:t>
            </w:r>
          </w:p>
        </w:tc>
        <w:tc>
          <w:tcPr>
            <w:tcW w:w="20" w:type="dxa"/>
            <w:vAlign w:val="bottom"/>
          </w:tcPr>
          <w:p>
            <w:pPr>
              <w:spacing w:after="0"/>
              <w:rPr>
                <w:sz w:val="20"/>
                <w:szCs w:val="20"/>
                <w:color w:val="auto"/>
              </w:rPr>
            </w:pPr>
          </w:p>
        </w:tc>
        <w:tc>
          <w:tcPr>
            <w:tcW w:w="1920" w:type="dxa"/>
            <w:vAlign w:val="bottom"/>
            <w:gridSpan w:val="4"/>
          </w:tcPr>
          <w:p>
            <w:pPr>
              <w:ind w:left="180"/>
              <w:spacing w:after="0"/>
              <w:rPr>
                <w:sz w:val="20"/>
                <w:szCs w:val="20"/>
                <w:color w:val="auto"/>
              </w:rPr>
            </w:pPr>
            <w:r>
              <w:rPr>
                <w:rFonts w:ascii="Arial" w:cs="Arial" w:eastAsia="Arial" w:hAnsi="Arial"/>
                <w:sz w:val="18"/>
                <w:szCs w:val="18"/>
                <w:b w:val="1"/>
                <w:bCs w:val="1"/>
                <w:color w:val="auto"/>
                <w:w w:val="93"/>
              </w:rPr>
              <w:t>at December 31, 2019</w:t>
            </w:r>
          </w:p>
        </w:tc>
      </w:tr>
      <w:tr>
        <w:trPr>
          <w:trHeight w:val="27"/>
        </w:trPr>
        <w:tc>
          <w:tcPr>
            <w:tcW w:w="3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ind w:left="860"/>
              <w:spacing w:after="0"/>
              <w:rPr>
                <w:sz w:val="20"/>
                <w:szCs w:val="20"/>
                <w:color w:val="auto"/>
              </w:rPr>
            </w:pPr>
            <w:r>
              <w:rPr>
                <w:rFonts w:ascii="Arial" w:cs="Arial" w:eastAsia="Arial" w:hAnsi="Arial"/>
                <w:sz w:val="18"/>
                <w:szCs w:val="18"/>
                <w:i w:val="1"/>
                <w:iCs w:val="1"/>
                <w:color w:val="auto"/>
                <w:w w:val="89"/>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Bank of Shanghai Pudong Branch</w:t>
            </w: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February 2019</w:t>
            </w: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January 2020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RMB50,000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RMB35,292</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7,165</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5,057</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Shanghai Rural Commercial Bank</w:t>
            </w: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February 2019</w:t>
            </w: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January 2020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RMB20,000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RMB10,000</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2,866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Bank of Communications</w:t>
            </w: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January 2019</w:t>
            </w: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89"/>
              </w:rPr>
              <w:t>January 2020 - February 2020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RMB20,000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RMB20,000</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2,866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2,866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China Everbright Bank</w:t>
            </w: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February 2019</w:t>
            </w: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March 2020 - April 2020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4.94%-5.66%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RMB50,000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RMB30,682</w:t>
            </w:r>
          </w:p>
        </w:tc>
      </w:tr>
      <w:tr>
        <w:trPr>
          <w:trHeight w:val="223"/>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7,165</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4,397</w:t>
            </w:r>
          </w:p>
        </w:tc>
      </w:tr>
      <w:tr>
        <w:trPr>
          <w:trHeight w:val="216"/>
        </w:trPr>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RMB140,000</w:t>
            </w: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RMB95,974</w:t>
            </w:r>
          </w:p>
        </w:tc>
        <w:tc>
          <w:tcPr>
            <w:tcW w:w="100" w:type="dxa"/>
            <w:vAlign w:val="bottom"/>
            <w:shd w:val="clear" w:color="auto" w:fill="CCEEFF"/>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20,062</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13,753</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Converted from RMB to dollars as of December 31, 2019</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All of the amounts owing under the line of credit with Bank of Shanghai Pudong Branch are guaranteed by David Wang, our Chief Executive Officer, President and Chair of the Board, and CleanChip Technologies Limited, a wholly owned subsidiary of ACM Shanghai. All of the amounts owing under the line of credit with Shanghai Rural Commercial Bank are secured by accounts receivable and guaranteed by Dr. Wang. All of the amounts owing under the line of credit with China Everbright Bank are guaranteed by Dr. Wang.</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color w:val="auto"/>
        </w:rPr>
        <w:t xml:space="preserve">Government Research and Development Grants. </w:t>
      </w:r>
      <w:r>
        <w:rPr>
          <w:rFonts w:ascii="Arial" w:cs="Arial" w:eastAsia="Arial" w:hAnsi="Arial"/>
          <w:sz w:val="21"/>
          <w:szCs w:val="21"/>
          <w:color w:val="auto"/>
        </w:rPr>
        <w:t>As described under “—Key Components of Results of Operations—PRC</w:t>
      </w:r>
      <w:r>
        <w:rPr>
          <w:rFonts w:ascii="Arial" w:cs="Arial" w:eastAsia="Arial" w:hAnsi="Arial"/>
          <w:sz w:val="21"/>
          <w:szCs w:val="21"/>
          <w:i w:val="1"/>
          <w:iCs w:val="1"/>
          <w:color w:val="auto"/>
        </w:rPr>
        <w:t xml:space="preserve"> </w:t>
      </w:r>
      <w:r>
        <w:rPr>
          <w:rFonts w:ascii="Arial" w:cs="Arial" w:eastAsia="Arial" w:hAnsi="Arial"/>
          <w:sz w:val="21"/>
          <w:szCs w:val="21"/>
          <w:color w:val="auto"/>
        </w:rPr>
        <w:t>Government Research and Development Funding,” ACM Shanghai has received research and development grants from local and central PRC governmental authorities. ACM Shanghai received cash payments of $3.4 million related to such grants in 2019, as compared to received cash payments of $200,000 related to such grants in 2018.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Working Capital. </w:t>
      </w:r>
      <w:r>
        <w:rPr>
          <w:rFonts w:ascii="Arial" w:cs="Arial" w:eastAsia="Arial" w:hAnsi="Arial"/>
          <w:sz w:val="22"/>
          <w:szCs w:val="22"/>
          <w:color w:val="auto"/>
        </w:rPr>
        <w:t>The following table sets forth selected working capital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8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2019</w:t>
            </w:r>
          </w:p>
        </w:tc>
      </w:tr>
      <w:tr>
        <w:trPr>
          <w:trHeight w:val="216"/>
        </w:trPr>
        <w:tc>
          <w:tcPr>
            <w:tcW w:w="9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i w:val="1"/>
                <w:iCs w:val="1"/>
                <w:color w:val="auto"/>
                <w:w w:val="92"/>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58,261</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31,091</w:t>
            </w:r>
          </w:p>
        </w:tc>
      </w:tr>
      <w:tr>
        <w:trPr>
          <w:trHeight w:val="223"/>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44,796</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134,148</w:t>
            </w:r>
          </w:p>
        </w:tc>
        <w:tc>
          <w:tcPr>
            <w:tcW w:w="80" w:type="dxa"/>
            <w:vAlign w:val="bottom"/>
          </w:tcPr>
          <w:p>
            <w:pPr>
              <w:spacing w:after="0"/>
              <w:rPr>
                <w:sz w:val="18"/>
                <w:szCs w:val="18"/>
                <w:color w:val="auto"/>
              </w:rPr>
            </w:pPr>
          </w:p>
        </w:tc>
      </w:tr>
      <w:tr>
        <w:trPr>
          <w:trHeight w:val="21"/>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cash and cash equivalents at December 31, 2019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Uses of Funds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Capital Expenditures. </w:t>
      </w:r>
      <w:r>
        <w:rPr>
          <w:rFonts w:ascii="Arial" w:cs="Arial" w:eastAsia="Arial" w:hAnsi="Arial"/>
          <w:sz w:val="22"/>
          <w:szCs w:val="22"/>
          <w:color w:val="auto"/>
        </w:rPr>
        <w:t>We incurred $1.1 million in capital expenditures in 2019, versus $2.1 in million capital expenditures in</w:t>
      </w:r>
      <w:r>
        <w:rPr>
          <w:rFonts w:ascii="Arial" w:cs="Arial" w:eastAsia="Arial" w:hAnsi="Arial"/>
          <w:sz w:val="22"/>
          <w:szCs w:val="22"/>
          <w:i w:val="1"/>
          <w:iCs w:val="1"/>
          <w:color w:val="auto"/>
        </w:rPr>
        <w:t xml:space="preserve"> </w:t>
      </w:r>
      <w:r>
        <w:rPr>
          <w:rFonts w:ascii="Arial" w:cs="Arial" w:eastAsia="Arial" w:hAnsi="Arial"/>
          <w:sz w:val="22"/>
          <w:szCs w:val="22"/>
          <w:color w:val="auto"/>
        </w:rPr>
        <w:t>2018.</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 xml:space="preserve">Partnership Agreement. </w:t>
      </w:r>
      <w:r>
        <w:rPr>
          <w:rFonts w:ascii="Arial" w:cs="Arial" w:eastAsia="Arial" w:hAnsi="Arial"/>
          <w:sz w:val="21"/>
          <w:szCs w:val="21"/>
          <w:color w:val="auto"/>
        </w:rPr>
        <w:t>On September 5, 2019, ACM Shanghai entered into a Partnership Agreement, or the Partnership</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with five other limited partners and Beijing Shixi Qingliu Investment Co., Ltd., as general partner and manager, with respect to the formation of Hefei Shixi Chanheng Integrated Circuit Industry Venture Capital Fund Partnership (LP), a Chinese limited partnership based in Hefei, China, which we refer to as the Partnership. The Partnership was formed for the purposes of engaging in equity venture capital investments in strategic emerging and high-tech industries with a focus on the semiconductor industry, including integrated circuit companies engaged in design, materials, equipment, components, maintenance, packaging and testing, technical services, and technologies. Pursuant to the Partnership Agreement, on September 30, 2019 ACM Shanghai invested RMB 30,000,000 ($4.2 million as of September 30, 2019), which represented ten percent of the Partnership’s total subscribed capital.</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 xml:space="preserve">Stock Repurchases. </w:t>
      </w:r>
      <w:r>
        <w:rPr>
          <w:rFonts w:ascii="Arial" w:cs="Arial" w:eastAsia="Arial" w:hAnsi="Arial"/>
          <w:sz w:val="21"/>
          <w:szCs w:val="21"/>
          <w:color w:val="auto"/>
        </w:rPr>
        <w:t>In August 2019, ACM Research entered into an equity purchase agreement under which it paid to certain</w:t>
      </w:r>
      <w:r>
        <w:rPr>
          <w:rFonts w:ascii="Arial" w:cs="Arial" w:eastAsia="Arial" w:hAnsi="Arial"/>
          <w:sz w:val="21"/>
          <w:szCs w:val="21"/>
          <w:i w:val="1"/>
          <w:iCs w:val="1"/>
          <w:color w:val="auto"/>
        </w:rPr>
        <w:t xml:space="preserve"> </w:t>
      </w:r>
      <w:r>
        <w:rPr>
          <w:rFonts w:ascii="Arial" w:cs="Arial" w:eastAsia="Arial" w:hAnsi="Arial"/>
          <w:sz w:val="21"/>
          <w:szCs w:val="21"/>
          <w:color w:val="auto"/>
        </w:rPr>
        <w:t>directors, employees and SMC, in exchange for their surrender of an aggregate of 214,286 shares of Class A common stock and cancellation of options to acquire an aggregate of 53,571 shares of Class A common stock, a total of $3.5 million, which was based on a price of $13.195 per share. The repurchases were funded with proceeds ACM Research received from the exercise of the over-allotment option in connection with the follow-on public offering.</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Effects of Inflation</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2019 and 2018, we did not have any significant off-balance sheet arrangements, as defined in Item 303(a)(4) (ii) of Regulation S-K of the Securities and Exchange Commission.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3"/>
          </w:tcPr>
          <w:p>
            <w:pPr>
              <w:jc w:val="center"/>
              <w:ind w:left="830"/>
              <w:spacing w:after="0" w:line="182" w:lineRule="exact"/>
              <w:rPr>
                <w:sz w:val="20"/>
                <w:szCs w:val="20"/>
                <w:color w:val="auto"/>
              </w:rPr>
            </w:pPr>
            <w:r>
              <w:rPr>
                <w:rFonts w:ascii="Arial" w:cs="Arial" w:eastAsia="Arial" w:hAnsi="Arial"/>
                <w:sz w:val="18"/>
                <w:szCs w:val="18"/>
                <w:b w:val="1"/>
                <w:bCs w:val="1"/>
                <w:color w:val="auto"/>
                <w:w w:val="83"/>
              </w:rPr>
              <w:t>Page</w:t>
            </w:r>
          </w:p>
        </w:tc>
      </w:tr>
      <w:tr>
        <w:trPr>
          <w:trHeight w:val="21"/>
        </w:trPr>
        <w:tc>
          <w:tcPr>
            <w:tcW w:w="9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4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89"/>
              </w:rPr>
              <w:t>67</w:t>
            </w:r>
          </w:p>
        </w:tc>
        <w:tc>
          <w:tcPr>
            <w:tcW w:w="18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89"/>
              </w:rPr>
              <w:t>68</w:t>
            </w:r>
          </w:p>
        </w:tc>
        <w:tc>
          <w:tcPr>
            <w:tcW w:w="18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2019 and 2018</w:t>
            </w:r>
          </w:p>
        </w:tc>
        <w:tc>
          <w:tcPr>
            <w:tcW w:w="14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89"/>
              </w:rPr>
              <w:t>69</w:t>
            </w:r>
          </w:p>
        </w:tc>
        <w:tc>
          <w:tcPr>
            <w:tcW w:w="18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2019 and 2018</w:t>
            </w:r>
          </w:p>
        </w:tc>
        <w:tc>
          <w:tcPr>
            <w:tcW w:w="14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89"/>
              </w:rPr>
              <w:t>70</w:t>
            </w:r>
          </w:p>
        </w:tc>
        <w:tc>
          <w:tcPr>
            <w:tcW w:w="18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2019 and 2018</w:t>
            </w:r>
          </w:p>
        </w:tc>
        <w:tc>
          <w:tcPr>
            <w:tcW w:w="14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89"/>
              </w:rPr>
              <w:t>71</w:t>
            </w:r>
          </w:p>
        </w:tc>
        <w:tc>
          <w:tcPr>
            <w:tcW w:w="18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2019 and 2018</w:t>
            </w:r>
          </w:p>
        </w:tc>
        <w:tc>
          <w:tcPr>
            <w:tcW w:w="14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89"/>
              </w:rPr>
              <w:t>72</w:t>
            </w:r>
          </w:p>
        </w:tc>
        <w:tc>
          <w:tcPr>
            <w:tcW w:w="18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46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color w:val="auto"/>
                <w:w w:val="89"/>
              </w:rPr>
              <w:t>73</w:t>
            </w:r>
          </w:p>
        </w:tc>
        <w:tc>
          <w:tcPr>
            <w:tcW w:w="180" w:type="dxa"/>
            <w:vAlign w:val="bottom"/>
            <w:shd w:val="clear" w:color="auto" w:fill="CCEEFF"/>
          </w:tcPr>
          <w:p>
            <w:pPr>
              <w:spacing w:after="0"/>
              <w:rPr>
                <w:sz w:val="18"/>
                <w:szCs w:val="18"/>
                <w:color w:val="auto"/>
              </w:rPr>
            </w:pPr>
          </w:p>
        </w:tc>
      </w:tr>
      <w:tr>
        <w:trPr>
          <w:trHeight w:val="595"/>
        </w:trPr>
        <w:tc>
          <w:tcPr>
            <w:tcW w:w="9600" w:type="dxa"/>
            <w:vAlign w:val="bottom"/>
          </w:tcPr>
          <w:p>
            <w:pPr>
              <w:ind w:left="5560"/>
              <w:spacing w:after="0"/>
              <w:rPr>
                <w:sz w:val="20"/>
                <w:szCs w:val="20"/>
                <w:color w:val="auto"/>
              </w:rPr>
            </w:pPr>
            <w:r>
              <w:rPr>
                <w:rFonts w:ascii="Arial" w:cs="Arial" w:eastAsia="Arial" w:hAnsi="Arial"/>
                <w:sz w:val="14"/>
                <w:szCs w:val="14"/>
                <w:color w:val="auto"/>
              </w:rPr>
              <w:t>67</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
        </w:trPr>
        <w:tc>
          <w:tcPr>
            <w:tcW w:w="96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160645" cy="548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606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Shareholders and Board of Directors</w:t>
      </w:r>
    </w:p>
    <w:p>
      <w:pPr>
        <w:spacing w:after="0" w:line="238" w:lineRule="auto"/>
        <w:rPr>
          <w:sz w:val="20"/>
          <w:szCs w:val="20"/>
          <w:color w:val="auto"/>
        </w:rPr>
      </w:pPr>
      <w:r>
        <w:rPr>
          <w:rFonts w:ascii="Arial" w:cs="Arial" w:eastAsia="Arial" w:hAnsi="Arial"/>
          <w:sz w:val="22"/>
          <w:szCs w:val="22"/>
          <w:color w:val="auto"/>
        </w:rPr>
        <w:t>ACM Research, Inc.</w:t>
      </w:r>
    </w:p>
    <w:p>
      <w:pPr>
        <w:spacing w:after="0"/>
        <w:rPr>
          <w:sz w:val="20"/>
          <w:szCs w:val="20"/>
          <w:color w:val="auto"/>
        </w:rPr>
      </w:pPr>
      <w:r>
        <w:rPr>
          <w:rFonts w:ascii="Arial" w:cs="Arial" w:eastAsia="Arial" w:hAnsi="Arial"/>
          <w:sz w:val="22"/>
          <w:szCs w:val="22"/>
          <w:color w:val="auto"/>
        </w:rPr>
        <w:t>Fremont, California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Consolidated Financial Statements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have audited the accompanying consolidated balance sheets of ACM Research, Inc. and subsidiaries (the “Company”) as of December 31, 2019 and 2018, the related consolidated statements of operations and comprehensive income, changes in stockholders’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w:t>
      </w:r>
      <w:r>
        <w:rPr>
          <w:rFonts w:ascii="Arial" w:cs="Arial" w:eastAsia="Arial" w:hAnsi="Arial"/>
          <w:sz w:val="21"/>
          <w:szCs w:val="21"/>
          <w:b w:val="1"/>
          <w:bCs w:val="1"/>
          <w:color w:val="auto"/>
        </w:rPr>
        <w:t>,</w:t>
      </w:r>
      <w:r>
        <w:rPr>
          <w:rFonts w:ascii="Arial" w:cs="Arial" w:eastAsia="Arial" w:hAnsi="Arial"/>
          <w:sz w:val="21"/>
          <w:szCs w:val="21"/>
          <w:color w:val="auto"/>
        </w:rPr>
        <w:t xml:space="preserve"> in conformity with accounting principles generally accepted in the United States of America.</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BDO China Shu Lun Pan Certified Public Accountants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Shenzhen, The People’s Republic of China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March 24, 2020</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i w:val="1"/>
          <w:iCs w:val="1"/>
          <w:color w:val="auto"/>
        </w:rPr>
        <w:t>(In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02"/>
        </w:trPr>
        <w:tc>
          <w:tcPr>
            <w:tcW w:w="8680" w:type="dxa"/>
            <w:vAlign w:val="bottom"/>
          </w:tcPr>
          <w:p>
            <w:pPr>
              <w:ind w:left="4040"/>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Accounts receivable, less allowance for doubtful accounts of $0 as of December 31, 2019 and $0 as of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 (note 3)</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Inventories (note 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 (note 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(note 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investments (note 10)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103,047</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rPr>
              <w:t>Liabilities, Redeemable Non-controlling Interests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(note 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16,673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 (note 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 (note 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operating lease liability (note 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(note 9)</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50,723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Redeemable non-controlling interests (note 13)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Common stock – Class A, par value $0.0001: 50,000,000 shares authorized as of December 31, 2019 and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w w:val="93"/>
              </w:rPr>
              <w:t>31, 2018; 16,182,151 shares issued and outstanding as of December 31, 2019 and 14,110,315 shares issued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outstanding as of December 31, 2018 (note 12)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stock–Class B, par value $0.0001: 2,409,738 shares authorized as of December 31, 2019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2018; 1,862,608 shares issued and outstanding as of December 31, 2019 and 1,898,423 shares issued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as of December 31, 2018 (note 12)</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83,487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surplus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redeemable non-controlling interests, and stockholders’ equity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217,703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103,047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 and Comprehensive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40,194</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10,380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27,978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7,380</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(note 15)</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18,894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 (note 2)</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18,076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5,595</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 (note 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 (note 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16,800,623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15,788,460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19,135,497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17,912,105</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Changes in Stockholders’ Equity</w:t>
      </w:r>
    </w:p>
    <w:p>
      <w:pPr>
        <w:jc w:val="center"/>
        <w:spacing w:after="0"/>
        <w:rPr>
          <w:sz w:val="20"/>
          <w:szCs w:val="20"/>
          <w:color w:val="auto"/>
        </w:rPr>
      </w:pPr>
      <w:r>
        <w:rPr>
          <w:rFonts w:ascii="Arial" w:cs="Arial" w:eastAsia="Arial" w:hAnsi="Arial"/>
          <w:sz w:val="22"/>
          <w:szCs w:val="22"/>
          <w:i w:val="1"/>
          <w:iCs w:val="1"/>
          <w:color w:val="auto"/>
        </w:rPr>
        <w:t>(In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20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Common</w:t>
            </w:r>
          </w:p>
        </w:tc>
        <w:tc>
          <w:tcPr>
            <w:tcW w:w="20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Common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900" w:type="dxa"/>
            <w:vAlign w:val="bottom"/>
          </w:tcPr>
          <w:p>
            <w:pPr>
              <w:spacing w:after="0"/>
              <w:rPr>
                <w:sz w:val="20"/>
                <w:szCs w:val="20"/>
                <w:color w:val="auto"/>
              </w:rPr>
            </w:pPr>
          </w:p>
        </w:tc>
        <w:tc>
          <w:tcPr>
            <w:tcW w:w="20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Stock Class A</w:t>
            </w:r>
          </w:p>
        </w:tc>
        <w:tc>
          <w:tcPr>
            <w:tcW w:w="20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Stock Class B</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28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Additional Paid-</w:t>
            </w:r>
          </w:p>
        </w:tc>
        <w:tc>
          <w:tcPr>
            <w:tcW w:w="2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Surplus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19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in Capital</w:t>
            </w:r>
          </w:p>
        </w:tc>
        <w:tc>
          <w:tcPr>
            <w:tcW w:w="2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(Deficit)</w:t>
            </w:r>
          </w:p>
        </w:tc>
        <w:tc>
          <w:tcPr>
            <w:tcW w:w="28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1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31, 2017</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12,935,546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2,409,738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49,695</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(9,961)</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39,857</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Net income attributable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00" w:type="dxa"/>
            <w:vAlign w:val="bottom"/>
          </w:tcPr>
          <w:p>
            <w:pPr>
              <w:ind w:left="140"/>
              <w:spacing w:after="0"/>
              <w:rPr>
                <w:sz w:val="20"/>
                <w:szCs w:val="20"/>
                <w:color w:val="auto"/>
              </w:rPr>
            </w:pPr>
            <w:r>
              <w:rPr>
                <w:rFonts w:ascii="Arial" w:cs="Arial" w:eastAsia="Arial" w:hAnsi="Arial"/>
                <w:sz w:val="18"/>
                <w:szCs w:val="18"/>
                <w:color w:val="auto"/>
                <w:w w:val="96"/>
              </w:rPr>
              <w:t>to ACM Research, Inc.</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6,574</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translation adjustment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00" w:type="dxa"/>
            <w:vAlign w:val="bottom"/>
          </w:tcPr>
          <w:p>
            <w:pPr>
              <w:ind w:left="140"/>
              <w:spacing w:after="0"/>
              <w:rPr>
                <w:sz w:val="20"/>
                <w:szCs w:val="20"/>
                <w:color w:val="auto"/>
              </w:rPr>
            </w:pPr>
            <w:r>
              <w:rPr>
                <w:rFonts w:ascii="Arial" w:cs="Arial" w:eastAsia="Arial" w:hAnsi="Arial"/>
                <w:sz w:val="18"/>
                <w:szCs w:val="18"/>
                <w:color w:val="auto"/>
              </w:rPr>
              <w:t>options</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265,952</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3,363</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Conversion of Class B</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ind w:left="140"/>
              <w:spacing w:after="0"/>
              <w:rPr>
                <w:sz w:val="20"/>
                <w:szCs w:val="20"/>
                <w:color w:val="auto"/>
              </w:rPr>
            </w:pPr>
            <w:r>
              <w:rPr>
                <w:rFonts w:ascii="Arial" w:cs="Arial" w:eastAsia="Arial" w:hAnsi="Arial"/>
                <w:sz w:val="18"/>
                <w:szCs w:val="18"/>
                <w:color w:val="auto"/>
              </w:rPr>
              <w:t>common stock to</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Pr>
          <w:p>
            <w:pPr>
              <w:ind w:left="140"/>
              <w:spacing w:after="0"/>
              <w:rPr>
                <w:sz w:val="20"/>
                <w:szCs w:val="20"/>
                <w:color w:val="auto"/>
              </w:rPr>
            </w:pPr>
            <w:r>
              <w:rPr>
                <w:rFonts w:ascii="Arial" w:cs="Arial" w:eastAsia="Arial" w:hAnsi="Arial"/>
                <w:sz w:val="18"/>
                <w:szCs w:val="18"/>
                <w:color w:val="auto"/>
                <w:w w:val="95"/>
              </w:rPr>
              <w:t>Class A common stock</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511,315</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(511,315)</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 issued to</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SMC</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397,502</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2,981</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8"/>
        </w:trPr>
        <w:tc>
          <w:tcPr>
            <w:tcW w:w="190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31, 2018</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14,110,315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1,898,423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56,567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(3,387)</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52,324</w:t>
            </w:r>
          </w:p>
        </w:tc>
        <w:tc>
          <w:tcPr>
            <w:tcW w:w="100" w:type="dxa"/>
            <w:vAlign w:val="bottom"/>
          </w:tcPr>
          <w:p>
            <w:pPr>
              <w:spacing w:after="0"/>
              <w:rPr>
                <w:sz w:val="20"/>
                <w:szCs w:val="20"/>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to ACM Research, Inc.</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18,894</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00" w:type="dxa"/>
            <w:vAlign w:val="bottom"/>
          </w:tcPr>
          <w:p>
            <w:pPr>
              <w:ind w:left="140"/>
              <w:spacing w:after="0"/>
              <w:rPr>
                <w:sz w:val="20"/>
                <w:szCs w:val="20"/>
                <w:color w:val="auto"/>
              </w:rPr>
            </w:pPr>
            <w:r>
              <w:rPr>
                <w:rFonts w:ascii="Arial" w:cs="Arial" w:eastAsia="Arial" w:hAnsi="Arial"/>
                <w:sz w:val="18"/>
                <w:szCs w:val="18"/>
                <w:color w:val="auto"/>
                <w:w w:val="98"/>
              </w:rPr>
              <w:t>translation adjustment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195,297</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Cancellation of stock</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00" w:type="dxa"/>
            <w:vAlign w:val="bottom"/>
          </w:tcPr>
          <w:p>
            <w:pPr>
              <w:ind w:left="140"/>
              <w:spacing w:after="0"/>
              <w:rPr>
                <w:sz w:val="20"/>
                <w:szCs w:val="20"/>
                <w:color w:val="auto"/>
              </w:rPr>
            </w:pPr>
            <w:r>
              <w:rPr>
                <w:rFonts w:ascii="Arial" w:cs="Arial" w:eastAsia="Arial" w:hAnsi="Arial"/>
                <w:sz w:val="18"/>
                <w:szCs w:val="18"/>
                <w:color w:val="auto"/>
              </w:rPr>
              <w:t>options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3,572</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Issuance of Class A</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ind w:left="140"/>
              <w:spacing w:after="0"/>
              <w:rPr>
                <w:sz w:val="20"/>
                <w:szCs w:val="20"/>
                <w:color w:val="auto"/>
              </w:rPr>
            </w:pPr>
            <w:r>
              <w:rPr>
                <w:rFonts w:ascii="Arial" w:cs="Arial" w:eastAsia="Arial" w:hAnsi="Arial"/>
                <w:sz w:val="18"/>
                <w:szCs w:val="18"/>
                <w:color w:val="auto"/>
              </w:rPr>
              <w:t>common stock in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00" w:type="dxa"/>
            <w:vAlign w:val="bottom"/>
          </w:tcPr>
          <w:p>
            <w:pPr>
              <w:ind w:left="140"/>
              <w:spacing w:after="0"/>
              <w:rPr>
                <w:sz w:val="20"/>
                <w:szCs w:val="20"/>
                <w:color w:val="auto"/>
              </w:rPr>
            </w:pPr>
            <w:r>
              <w:rPr>
                <w:rFonts w:ascii="Arial" w:cs="Arial" w:eastAsia="Arial" w:hAnsi="Arial"/>
                <w:sz w:val="18"/>
                <w:szCs w:val="18"/>
                <w:color w:val="auto"/>
                <w:w w:val="98"/>
              </w:rPr>
              <w:t>connection with public</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Pr>
          <w:p>
            <w:pPr>
              <w:ind w:left="140"/>
              <w:spacing w:after="0"/>
              <w:rPr>
                <w:sz w:val="20"/>
                <w:szCs w:val="20"/>
                <w:color w:val="auto"/>
              </w:rPr>
            </w:pPr>
            <w:r>
              <w:rPr>
                <w:rFonts w:ascii="Arial" w:cs="Arial" w:eastAsia="Arial" w:hAnsi="Arial"/>
                <w:sz w:val="18"/>
                <w:szCs w:val="18"/>
                <w:color w:val="auto"/>
              </w:rPr>
              <w:t>offering</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2,053,572</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26,434</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26,435</w:t>
            </w:r>
          </w:p>
        </w:tc>
        <w:tc>
          <w:tcPr>
            <w:tcW w:w="100" w:type="dxa"/>
            <w:vAlign w:val="bottom"/>
          </w:tcPr>
          <w:p>
            <w:pPr>
              <w:spacing w:after="0"/>
              <w:rPr>
                <w:sz w:val="20"/>
                <w:szCs w:val="20"/>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w:t>
            </w: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Conversion of Class B</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ind w:left="140"/>
              <w:spacing w:after="0"/>
              <w:rPr>
                <w:sz w:val="20"/>
                <w:szCs w:val="20"/>
                <w:color w:val="auto"/>
              </w:rPr>
            </w:pPr>
            <w:r>
              <w:rPr>
                <w:rFonts w:ascii="Arial" w:cs="Arial" w:eastAsia="Arial" w:hAnsi="Arial"/>
                <w:sz w:val="18"/>
                <w:szCs w:val="18"/>
                <w:color w:val="auto"/>
              </w:rPr>
              <w:t>common stock to</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Pr>
          <w:p>
            <w:pPr>
              <w:ind w:left="140"/>
              <w:spacing w:after="0"/>
              <w:rPr>
                <w:sz w:val="20"/>
                <w:szCs w:val="20"/>
                <w:color w:val="auto"/>
              </w:rPr>
            </w:pPr>
            <w:r>
              <w:rPr>
                <w:rFonts w:ascii="Arial" w:cs="Arial" w:eastAsia="Arial" w:hAnsi="Arial"/>
                <w:sz w:val="18"/>
                <w:szCs w:val="18"/>
                <w:color w:val="auto"/>
                <w:w w:val="95"/>
              </w:rPr>
              <w:t>Class A common stock</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35,815</w:t>
            </w:r>
          </w:p>
        </w:tc>
        <w:tc>
          <w:tcPr>
            <w:tcW w:w="1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(35,815)</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stock</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 issued to</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HFG</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1,438</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8"/>
        </w:trPr>
        <w:tc>
          <w:tcPr>
            <w:tcW w:w="190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31, 2019</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16,182,151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1,862,608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83,487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15,507</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97,321</w:t>
            </w:r>
          </w:p>
        </w:tc>
        <w:tc>
          <w:tcPr>
            <w:tcW w:w="100" w:type="dxa"/>
            <w:vAlign w:val="bottom"/>
          </w:tcPr>
          <w:p>
            <w:pPr>
              <w:spacing w:after="0"/>
              <w:rPr>
                <w:sz w:val="20"/>
                <w:szCs w:val="20"/>
                <w:color w:val="auto"/>
              </w:rPr>
            </w:pP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100"/>
        <w:spacing w:after="0"/>
        <w:rPr>
          <w:sz w:val="20"/>
          <w:szCs w:val="20"/>
          <w:color w:val="auto"/>
        </w:rPr>
      </w:pPr>
      <w:r>
        <w:rPr>
          <w:rFonts w:ascii="Arial" w:cs="Arial" w:eastAsia="Arial" w:hAnsi="Arial"/>
          <w:sz w:val="22"/>
          <w:szCs w:val="22"/>
          <w:i w:val="1"/>
          <w:i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6"/>
              </w:rPr>
              <w:t>Adjustments to reconcile net income from operations to net cash used in operating</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Loss on disposals of property, plant and equipment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income in net income of affiliates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Net changes in operating assets and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Advances from customers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payables and accrued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Investments in unconsolidated affiliates</w:t>
            </w: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stock option exercise to common stock</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Proceeds from issuance of Class A common stock in connection with public offering,</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of direct issuance expenses of $2,287</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Payment for repurchase of Class A common stock</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for cancellation of stock option</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8"/>
              </w:rPr>
              <w:t>Proceeds from issuance of common stock to redeemable Non-controlling interest</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tcBorders>
              <w:bottom w:val="single" w:sz="8" w:color="CCEEFF"/>
              <w:right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Effect of exchange rate changes on cash,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90,735</w:t>
            </w:r>
          </w:p>
        </w:tc>
        <w:tc>
          <w:tcPr>
            <w:tcW w:w="120" w:type="dxa"/>
            <w:vAlign w:val="bottom"/>
          </w:tcPr>
          <w:p>
            <w:pPr>
              <w:spacing w:after="0"/>
              <w:rPr>
                <w:sz w:val="18"/>
                <w:szCs w:val="18"/>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117,859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paid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Reconciliation of cash, cash equivalents and restricted cash in condensed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consolidated statements of cash flows: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117,859</w:t>
            </w:r>
          </w:p>
        </w:tc>
        <w:tc>
          <w:tcPr>
            <w:tcW w:w="120" w:type="dxa"/>
            <w:vAlign w:val="bottom"/>
          </w:tcPr>
          <w:p>
            <w:pPr>
              <w:spacing w:after="0"/>
              <w:rPr>
                <w:sz w:val="18"/>
                <w:szCs w:val="18"/>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Warrant conversion to 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820"/>
        <w:spacing w:after="0"/>
        <w:rPr>
          <w:sz w:val="20"/>
          <w:szCs w:val="20"/>
          <w:color w:val="auto"/>
        </w:rPr>
      </w:pPr>
      <w:r>
        <w:rPr>
          <w:rFonts w:ascii="Arial" w:cs="Arial" w:eastAsia="Arial" w:hAnsi="Arial"/>
          <w:sz w:val="21"/>
          <w:szCs w:val="21"/>
          <w:i w:val="1"/>
          <w:iCs w:val="1"/>
          <w:color w:val="auto"/>
        </w:rPr>
        <w:t>The accompanying notes are an integral part of these consolidated financial statements.</w:t>
      </w:r>
    </w:p>
    <w:p>
      <w:pPr>
        <w:sectPr>
          <w:pgSz w:w="11900" w:h="16838" w:orient="portrait"/>
          <w:cols w:equalWidth="0" w:num="1">
            <w:col w:w="10139"/>
          </w:cols>
          <w:pgMar w:left="320" w:top="122" w:right="1440" w:bottom="652" w:gutter="0" w:footer="0" w:header="0"/>
        </w:sectPr>
      </w:pP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652"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BUSINESS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Based on its electro-chemical plating (“ECP”) technology, the Company introduced in March 2019 its Ultra ECP AP, or “Advanced Packaging,” tool for bumping, or applying copper, tin and nickel to semiconductor wafers at the die-level, and its Ultra ECP MAP, or “Multi-Anode Partial Plating,” tool to deliver advanced electrochemical copper plating for copper interconnect applications in front-end wafer fabrication processes. The Company also offers a range of custom-made equipment, including cleaners, coaters and developers, to back-end wafer assembly and packaging factories, principally in the PRC.</w:t>
      </w: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2011 ACM Shanghai formed a wholly owned subsidiary in the PRC, ACM Research (Wuxi), Inc. (“ACM Wuxi”), to manage sales and service operations.</w:t>
      </w:r>
    </w:p>
    <w:p>
      <w:pPr>
        <w:spacing w:after="0" w:line="20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ectPr>
          <w:pgSz w:w="11900" w:h="16838" w:orient="portrait"/>
          <w:cols w:equalWidth="0" w:num="1">
            <w:col w:w="11240"/>
          </w:cols>
          <w:pgMar w:left="320" w:top="121"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In March 2019 ACM Shanghai formed a wholly owned subsidiary in the PRC, Shengwei Research (Shanghai), Inc., to manage activities related to addition of future long-term production capacity. The subsidiary was formed with registered capital of RMB 5,000 ($727). As of December 31, 2019, $142 had been injected into this subsidiary.</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June 2019 Cleanchip formed a wholly owned subsidiary in California, ACM Research (CA), Inc. (“ACM California”), to provide procurement services on behalf of ACM Shanghai.</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 June 17, 2019 ACM announced plans to complete over the next three years a listing (the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As an initial step in qualifying for the Listing and STAR IPO, on June 12, 2019 ACM Shanghai entered into agreements with seven investors (the “First Tranche Investors”), pursuant to which the First Tranche Investors agreed to pay a purchase price totaling RMB 187,900 (equivalent to $27,300) to ACM Shanghai for shares representing 4.2% of the then-outstanding ACM Shanghai shares. On November 29, 2019 ACM Shanghai entered into agreements with eight PRC-based investment firms (the “Second Tranche Investors”), pursuant to which the Second Tranche Investors agreed to acquire shares of ACM Shanghai for an aggregate of RMB 228,200 (equivalent to $32,400) at a purchase price of RMB 13 for each share, which is the same purchase price per share paid by the First Tranche Investors. Following the issuance of shares to the Second Tranche Investors, 91.7% of the outstanding shares of ACM Shanghai were owned by ACM, 3.8% were owned by the First Tranche Investors, and 4.5% were owned by the Second Tranche Investors. (See note 13).</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direct or indirect interests in the following subsidiaries: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86"/>
              </w:rPr>
              <w:t>Place and date</w:t>
            </w: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00" w:type="dxa"/>
            <w:vAlign w:val="bottom"/>
          </w:tcPr>
          <w:p>
            <w:pPr>
              <w:jc w:val="center"/>
              <w:ind w:left="310"/>
              <w:spacing w:after="0"/>
              <w:rPr>
                <w:sz w:val="20"/>
                <w:szCs w:val="20"/>
                <w:color w:val="auto"/>
              </w:rPr>
            </w:pPr>
            <w:r>
              <w:rPr>
                <w:rFonts w:ascii="Arial" w:cs="Arial" w:eastAsia="Arial" w:hAnsi="Arial"/>
                <w:sz w:val="18"/>
                <w:szCs w:val="18"/>
                <w:color w:val="auto"/>
                <w:w w:val="92"/>
              </w:rPr>
              <w:t>of</w:t>
            </w:r>
          </w:p>
        </w:tc>
        <w:tc>
          <w:tcPr>
            <w:tcW w:w="3100" w:type="dxa"/>
            <w:vAlign w:val="bottom"/>
            <w:gridSpan w:val="2"/>
          </w:tcPr>
          <w:p>
            <w:pPr>
              <w:ind w:left="660"/>
              <w:spacing w:after="0"/>
              <w:rPr>
                <w:sz w:val="20"/>
                <w:szCs w:val="20"/>
                <w:color w:val="auto"/>
              </w:rPr>
            </w:pPr>
            <w:r>
              <w:rPr>
                <w:rFonts w:ascii="Arial" w:cs="Arial" w:eastAsia="Arial" w:hAnsi="Arial"/>
                <w:sz w:val="18"/>
                <w:szCs w:val="18"/>
                <w:color w:val="auto"/>
              </w:rPr>
              <w:t>Effective interest held as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500"/>
              <w:spacing w:after="0"/>
              <w:rPr>
                <w:sz w:val="20"/>
                <w:szCs w:val="20"/>
                <w:color w:val="auto"/>
              </w:rPr>
            </w:pPr>
            <w:r>
              <w:rPr>
                <w:rFonts w:ascii="Arial" w:cs="Arial" w:eastAsia="Arial" w:hAnsi="Arial"/>
                <w:sz w:val="18"/>
                <w:szCs w:val="18"/>
                <w:color w:val="auto"/>
              </w:rPr>
              <w:t>Name of subsidiaries</w:t>
            </w:r>
          </w:p>
        </w:tc>
        <w:tc>
          <w:tcPr>
            <w:tcW w:w="2100" w:type="dxa"/>
            <w:vAlign w:val="bottom"/>
          </w:tcPr>
          <w:p>
            <w:pPr>
              <w:jc w:val="center"/>
              <w:ind w:left="310"/>
              <w:spacing w:after="0"/>
              <w:rPr>
                <w:sz w:val="20"/>
                <w:szCs w:val="20"/>
                <w:color w:val="auto"/>
              </w:rPr>
            </w:pPr>
            <w:r>
              <w:rPr>
                <w:rFonts w:ascii="Arial" w:cs="Arial" w:eastAsia="Arial" w:hAnsi="Arial"/>
                <w:sz w:val="18"/>
                <w:szCs w:val="18"/>
                <w:color w:val="auto"/>
                <w:w w:val="94"/>
              </w:rPr>
              <w:t>incorporation</w:t>
            </w: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w w:val="90"/>
              </w:rPr>
              <w:t>December 31, 2019 December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ACM Research (Shanghai), Inc.</w:t>
            </w:r>
          </w:p>
        </w:tc>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 May 2006</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91.7%</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ACM Research (Wuxi), Inc.</w:t>
            </w:r>
          </w:p>
        </w:tc>
        <w:tc>
          <w:tcPr>
            <w:tcW w:w="2100" w:type="dxa"/>
            <w:vAlign w:val="bottom"/>
          </w:tcPr>
          <w:p>
            <w:pPr>
              <w:ind w:left="240"/>
              <w:spacing w:after="0"/>
              <w:rPr>
                <w:sz w:val="20"/>
                <w:szCs w:val="20"/>
                <w:color w:val="auto"/>
              </w:rPr>
            </w:pPr>
            <w:r>
              <w:rPr>
                <w:rFonts w:ascii="Arial" w:cs="Arial" w:eastAsia="Arial" w:hAnsi="Arial"/>
                <w:sz w:val="18"/>
                <w:szCs w:val="18"/>
                <w:color w:val="auto"/>
              </w:rPr>
              <w:t>China, July 2011</w:t>
            </w:r>
          </w:p>
        </w:tc>
        <w:tc>
          <w:tcPr>
            <w:tcW w:w="1600" w:type="dxa"/>
            <w:vAlign w:val="bottom"/>
          </w:tcPr>
          <w:p>
            <w:pPr>
              <w:ind w:left="660"/>
              <w:spacing w:after="0"/>
              <w:rPr>
                <w:sz w:val="20"/>
                <w:szCs w:val="20"/>
                <w:color w:val="auto"/>
              </w:rPr>
            </w:pPr>
            <w:r>
              <w:rPr>
                <w:rFonts w:ascii="Arial" w:cs="Arial" w:eastAsia="Arial" w:hAnsi="Arial"/>
                <w:sz w:val="18"/>
                <w:szCs w:val="18"/>
                <w:color w:val="auto"/>
              </w:rPr>
              <w:t>91.7%</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CleanChip Technologies Limited</w:t>
            </w:r>
          </w:p>
        </w:tc>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Hong Kong, June 2017</w:t>
            </w: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91.7%</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ACM Research Korea CO., LTD.</w:t>
            </w:r>
          </w:p>
        </w:tc>
        <w:tc>
          <w:tcPr>
            <w:tcW w:w="2100" w:type="dxa"/>
            <w:vAlign w:val="bottom"/>
          </w:tcPr>
          <w:p>
            <w:pPr>
              <w:ind w:left="240"/>
              <w:spacing w:after="0"/>
              <w:rPr>
                <w:sz w:val="20"/>
                <w:szCs w:val="20"/>
                <w:color w:val="auto"/>
              </w:rPr>
            </w:pPr>
            <w:r>
              <w:rPr>
                <w:rFonts w:ascii="Arial" w:cs="Arial" w:eastAsia="Arial" w:hAnsi="Arial"/>
                <w:sz w:val="18"/>
                <w:szCs w:val="18"/>
                <w:color w:val="auto"/>
                <w:w w:val="98"/>
              </w:rPr>
              <w:t>Korea, December 2017</w:t>
            </w:r>
          </w:p>
        </w:tc>
        <w:tc>
          <w:tcPr>
            <w:tcW w:w="1600" w:type="dxa"/>
            <w:vAlign w:val="bottom"/>
          </w:tcPr>
          <w:p>
            <w:pPr>
              <w:ind w:left="660"/>
              <w:spacing w:after="0"/>
              <w:rPr>
                <w:sz w:val="20"/>
                <w:szCs w:val="20"/>
                <w:color w:val="auto"/>
              </w:rPr>
            </w:pPr>
            <w:r>
              <w:rPr>
                <w:rFonts w:ascii="Arial" w:cs="Arial" w:eastAsia="Arial" w:hAnsi="Arial"/>
                <w:sz w:val="18"/>
                <w:szCs w:val="18"/>
                <w:color w:val="auto"/>
              </w:rPr>
              <w:t>91.7%</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Shengwei Research (Shanghai),</w:t>
            </w:r>
          </w:p>
        </w:tc>
        <w:tc>
          <w:tcPr>
            <w:tcW w:w="210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China, March 2019</w:t>
            </w:r>
          </w:p>
        </w:tc>
        <w:tc>
          <w:tcPr>
            <w:tcW w:w="160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91.7%</w:t>
            </w:r>
          </w:p>
        </w:tc>
        <w:tc>
          <w:tcPr>
            <w:tcW w:w="15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w:t>
            </w:r>
          </w:p>
        </w:tc>
        <w:tc>
          <w:tcPr>
            <w:tcW w:w="2100" w:type="dxa"/>
            <w:vAlign w:val="bottom"/>
            <w:vMerge w:val="continue"/>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15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vMerge w:val="continue"/>
            <w:shd w:val="clear" w:color="auto" w:fill="CCEEFF"/>
          </w:tcPr>
          <w:p>
            <w:pPr>
              <w:spacing w:after="0"/>
              <w:rPr>
                <w:sz w:val="9"/>
                <w:szCs w:val="9"/>
                <w:color w:val="auto"/>
              </w:rPr>
            </w:pPr>
          </w:p>
        </w:tc>
        <w:tc>
          <w:tcPr>
            <w:tcW w:w="21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ACM Research (CA), Inc.</w:t>
            </w:r>
          </w:p>
        </w:tc>
        <w:tc>
          <w:tcPr>
            <w:tcW w:w="2100" w:type="dxa"/>
            <w:vAlign w:val="bottom"/>
          </w:tcPr>
          <w:p>
            <w:pPr>
              <w:ind w:left="240"/>
              <w:spacing w:after="0"/>
              <w:rPr>
                <w:sz w:val="20"/>
                <w:szCs w:val="20"/>
                <w:color w:val="auto"/>
              </w:rPr>
            </w:pPr>
            <w:r>
              <w:rPr>
                <w:rFonts w:ascii="Arial" w:cs="Arial" w:eastAsia="Arial" w:hAnsi="Arial"/>
                <w:sz w:val="18"/>
                <w:szCs w:val="18"/>
                <w:color w:val="auto"/>
              </w:rPr>
              <w:t>USA, June 2019</w:t>
            </w:r>
          </w:p>
        </w:tc>
        <w:tc>
          <w:tcPr>
            <w:tcW w:w="1600" w:type="dxa"/>
            <w:vAlign w:val="bottom"/>
          </w:tcPr>
          <w:p>
            <w:pPr>
              <w:ind w:left="660"/>
              <w:spacing w:after="0"/>
              <w:rPr>
                <w:sz w:val="20"/>
                <w:szCs w:val="20"/>
                <w:color w:val="auto"/>
              </w:rPr>
            </w:pPr>
            <w:r>
              <w:rPr>
                <w:rFonts w:ascii="Arial" w:cs="Arial" w:eastAsia="Arial" w:hAnsi="Arial"/>
                <w:sz w:val="18"/>
                <w:szCs w:val="18"/>
                <w:color w:val="auto"/>
              </w:rPr>
              <w:t>91.7%</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Basis of Presentation and Principles of Consolidation</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accompanying consolidated financial statements of the Company have been prepared in accordance with accounting principles generally accepted in the United States of America (“GAAP”). The Company’s consolidated financial statements include the accounts of the Company and its subsidiaries including ACM and its subsidiary, ACM Shanghai, which includes ACM Wuxi, ACM Shengwei, and CleanChip (ACM California and ACM Korea). Subsidiaries are those entities in which ACM, directly and indirectly, controls more than one half of the voting power. All significant intercompany transactions and balances have been eliminated upon consolidation.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Use of Estimates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preparation of the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accrued warranty, and useful life of intangible assets.</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evaluates these estimates and assumptions on a regular basis. Actual results could differ from those estimates and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and Cash Equivalents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Restricted cash</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Restricted cash represents deposits not readily available to ACM. Restricted cash as of December 31, 2019 represented cash hold in reserve, all of the proceeds received from issuance of common stock to redeemable Non-controlling interest in segregated cash and cash-equivalent accounts.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Accounts Receivable</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December 31, 2019 and 2018, the Company, based on a review of its outstanding balances and its customers, determined the allowance for doubtful accounts in the amount of $0 and $0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Inventory</w:t>
      </w:r>
    </w:p>
    <w:p>
      <w:pPr>
        <w:spacing w:after="0" w:line="23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Inventory was recorded at the lower of cost or net realizable value at December 31, 2019 and 2018.</w:t>
      </w:r>
    </w:p>
    <w:p>
      <w:pPr>
        <w:spacing w:after="0" w:line="13" w:lineRule="exact"/>
        <w:rPr>
          <w:sz w:val="20"/>
          <w:szCs w:val="20"/>
          <w:color w:val="auto"/>
        </w:rPr>
      </w:pPr>
    </w:p>
    <w:p>
      <w:pPr>
        <w:jc w:val="both"/>
        <w:ind w:left="66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realizable value is the estimated selling price, in the ordinary course of business, less estimated costs to complete or dispose.</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Property, Plant and Equipment, Net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Estimated useful lives of assets in the United States are as follows:</w:t>
      </w:r>
    </w:p>
    <w:p>
      <w:pPr>
        <w:spacing w:after="0" w:line="25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 to 5 years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800" w:type="dxa"/>
            <w:vAlign w:val="bottom"/>
          </w:tcPr>
          <w:p>
            <w:pPr>
              <w:ind w:left="440"/>
              <w:spacing w:after="0"/>
              <w:rPr>
                <w:sz w:val="20"/>
                <w:szCs w:val="20"/>
                <w:color w:val="auto"/>
              </w:rPr>
            </w:pPr>
            <w:r>
              <w:rPr>
                <w:rFonts w:ascii="Arial" w:cs="Arial" w:eastAsia="Arial" w:hAnsi="Arial"/>
                <w:sz w:val="18"/>
                <w:szCs w:val="18"/>
                <w:color w:val="auto"/>
              </w:rPr>
              <w:t>5 years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shorter of lease term or estimated useful life</w:t>
            </w:r>
          </w:p>
        </w:tc>
      </w:tr>
    </w:tbl>
    <w:p>
      <w:pPr>
        <w:spacing w:after="0" w:line="22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ACM’s subsidiaries follow regulations for depreciation of fixed assets implemented under the PRC’s Enterprise Income Tax Law, which state that the minimum useful lives used for calculating depreciation for fixed assets are as follows: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 small to medium-sized equipment, 5 years; for large equipment,</w:t>
            </w:r>
          </w:p>
        </w:tc>
      </w:tr>
      <w:tr>
        <w:trPr>
          <w:trHeight w:val="230"/>
        </w:trPr>
        <w:tc>
          <w:tcPr>
            <w:tcW w:w="2520" w:type="dxa"/>
            <w:vAlign w:val="bottom"/>
            <w:shd w:val="clear" w:color="auto" w:fill="CCEEFF"/>
          </w:tcPr>
          <w:p>
            <w:pPr>
              <w:spacing w:after="0"/>
              <w:rPr>
                <w:sz w:val="20"/>
                <w:szCs w:val="20"/>
                <w:color w:val="auto"/>
              </w:rPr>
            </w:pP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estimated by purchasing department at time of acceptance</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00" w:type="dxa"/>
            <w:vAlign w:val="bottom"/>
          </w:tcPr>
          <w:p>
            <w:pPr>
              <w:ind w:left="640"/>
              <w:spacing w:after="0"/>
              <w:rPr>
                <w:sz w:val="20"/>
                <w:szCs w:val="20"/>
                <w:color w:val="auto"/>
              </w:rPr>
            </w:pPr>
            <w:r>
              <w:rPr>
                <w:rFonts w:ascii="Arial" w:cs="Arial" w:eastAsia="Arial" w:hAnsi="Arial"/>
                <w:sz w:val="18"/>
                <w:szCs w:val="18"/>
                <w:color w:val="auto"/>
              </w:rPr>
              <w:t>5 years</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 to 5 years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Electronic equipment</w:t>
            </w:r>
          </w:p>
        </w:tc>
        <w:tc>
          <w:tcPr>
            <w:tcW w:w="7000" w:type="dxa"/>
            <w:vAlign w:val="bottom"/>
          </w:tcPr>
          <w:p>
            <w:pPr>
              <w:ind w:left="640"/>
              <w:spacing w:after="0"/>
              <w:rPr>
                <w:sz w:val="20"/>
                <w:szCs w:val="20"/>
                <w:color w:val="auto"/>
              </w:rPr>
            </w:pPr>
            <w:r>
              <w:rPr>
                <w:rFonts w:ascii="Arial" w:cs="Arial" w:eastAsia="Arial" w:hAnsi="Arial"/>
                <w:sz w:val="18"/>
                <w:szCs w:val="18"/>
                <w:color w:val="auto"/>
              </w:rPr>
              <w:t>3 to 5 years</w:t>
            </w: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70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remaining lease term for improvements on leased fixed assets or,</w:t>
            </w:r>
          </w:p>
        </w:tc>
      </w:tr>
      <w:tr>
        <w:trPr>
          <w:trHeight w:val="216"/>
        </w:trPr>
        <w:tc>
          <w:tcPr>
            <w:tcW w:w="2520" w:type="dxa"/>
            <w:vAlign w:val="bottom"/>
            <w:shd w:val="clear" w:color="auto" w:fill="CCEEFF"/>
          </w:tcPr>
          <w:p>
            <w:pPr>
              <w:spacing w:after="0"/>
              <w:rPr>
                <w:sz w:val="18"/>
                <w:szCs w:val="18"/>
                <w:color w:val="auto"/>
              </w:rPr>
            </w:pP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 large improvements, estimated useful life;</w:t>
            </w:r>
          </w:p>
        </w:tc>
      </w:tr>
      <w:tr>
        <w:trPr>
          <w:trHeight w:val="230"/>
        </w:trPr>
        <w:tc>
          <w:tcPr>
            <w:tcW w:w="2520" w:type="dxa"/>
            <w:vAlign w:val="bottom"/>
            <w:shd w:val="clear" w:color="auto" w:fill="CCEEFF"/>
          </w:tcPr>
          <w:p>
            <w:pPr>
              <w:spacing w:after="0"/>
              <w:rPr>
                <w:sz w:val="20"/>
                <w:szCs w:val="20"/>
                <w:color w:val="auto"/>
              </w:rPr>
            </w:pP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 less than 3 years for non-fixed asset repairs</w:t>
            </w:r>
          </w:p>
        </w:tc>
      </w:tr>
    </w:tbl>
    <w:p>
      <w:pPr>
        <w:spacing w:after="0" w:line="22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Intangible Assets, Net</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Investments</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Company uses the equity method of accounting for its investment in, and earning or loss of, companies that it does not control but over which it does exert significant influence. The Company considers whether the fair value of its equity method investment has declined below its carrying value whenever adverse events or changes in circumstances indicate that recorded value may not be recoverable. The Company reviews its investments for other-than-temporary impairment whenever events or changes in business circumstances indicate that the carrying value of the investment may not be fully recoverable. Investments identified as having an indication of impairment are subject to further analysis to determine if the impairment is other-than-temporary and this analysis requires estimating the fair value of the investment. The determination of fair value of the investment involves considering factors such as current economic and market conditions, the operating performance of the entities including current earnings trends and forecasted cash flows, and other company and industry specific information. If the Company considers any decline to be other than temporary (based on various factors, including historical financial results and the overall health of the investee), then a write-down would be recorded to estimated fair value. See note 10 for discussion of equity method investment.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Valuation of Long-Lived Assets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Leases</w:t>
      </w:r>
    </w:p>
    <w:p>
      <w:pPr>
        <w:spacing w:after="0" w:line="233"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The Company determines if an arrangement is a lease at inception. Operating leases are included in operating lease right-of-use (“ROU”) assets, other current liabilities and operating lease liabilities in the consolidated balance sheets.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It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Redeemable Convertible Preferred Stock</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Redeemable Non-controlling Interests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recorded initial carrying amount of redeemable non-controlling interests at fair value on the date of issuance, and presented in temporary equity on the consolidated balance sheets.</w:t>
      </w:r>
    </w:p>
    <w:p>
      <w:pPr>
        <w:spacing w:after="0" w:line="202" w:lineRule="exact"/>
        <w:rPr>
          <w:sz w:val="20"/>
          <w:szCs w:val="20"/>
          <w:color w:val="auto"/>
        </w:rPr>
      </w:pPr>
    </w:p>
    <w:p>
      <w:pPr>
        <w:jc w:val="both"/>
        <w:spacing w:after="0" w:line="253" w:lineRule="exact"/>
        <w:rPr>
          <w:sz w:val="20"/>
          <w:szCs w:val="20"/>
          <w:color w:val="auto"/>
        </w:rPr>
      </w:pPr>
      <w:r>
        <w:rPr>
          <w:rFonts w:ascii="Arial" w:cs="Arial" w:eastAsia="Arial" w:hAnsi="Arial"/>
          <w:sz w:val="22"/>
          <w:szCs w:val="22"/>
          <w:color w:val="auto"/>
        </w:rPr>
        <w:t>As the non-controlling interests would be redeemable at a fixed purchase price, it is classified as common-share non-controlling interests redeemable at other than fair value. The Company applied the entire adjustment method (income classification) for subsequent measurement in accordance with ASC 480</w:t>
      </w:r>
      <w:r>
        <w:rPr>
          <w:rFonts w:ascii="MS PGothic" w:cs="MS PGothic" w:eastAsia="MS PGothic" w:hAnsi="MS PGothic"/>
          <w:sz w:val="22"/>
          <w:szCs w:val="22"/>
          <w:color w:val="auto"/>
        </w:rPr>
        <w:t>‑</w:t>
      </w:r>
      <w:r>
        <w:rPr>
          <w:rFonts w:ascii="Arial" w:cs="Arial" w:eastAsia="Arial" w:hAnsi="Arial"/>
          <w:sz w:val="22"/>
          <w:szCs w:val="22"/>
          <w:color w:val="auto"/>
        </w:rPr>
        <w:t>10-S99.</w:t>
      </w:r>
    </w:p>
    <w:p>
      <w:pPr>
        <w:sectPr>
          <w:pgSz w:w="11900" w:h="16838" w:orient="portrait"/>
          <w:cols w:equalWidth="0" w:num="1">
            <w:col w:w="11240"/>
          </w:cols>
          <w:pgMar w:left="320" w:top="121" w:right="339" w:bottom="247"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47" w:gutter="0" w:footer="0" w:header="0"/>
          <w:type w:val="continuous"/>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 Recognition</w:t>
      </w:r>
    </w:p>
    <w:p>
      <w:pPr>
        <w:spacing w:after="0" w:line="233"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 xml:space="preserve">The Company derives revenue principally from the sale of single-wafer wet cleaning equipment. Revenue from contracts with customers is recognized using the following five steps pursuant ASC Topic 606,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w:t>
      </w:r>
    </w:p>
    <w:p>
      <w:pPr>
        <w:spacing w:after="0" w:line="1" w:lineRule="exact"/>
        <w:rPr>
          <w:sz w:val="20"/>
          <w:szCs w:val="20"/>
          <w:color w:val="auto"/>
        </w:rPr>
      </w:pPr>
    </w:p>
    <w:p>
      <w:pPr>
        <w:ind w:left="640" w:hanging="200"/>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7" w:lineRule="exact"/>
        <w:rPr>
          <w:rFonts w:ascii="Arial" w:cs="Arial" w:eastAsia="Arial" w:hAnsi="Arial"/>
          <w:sz w:val="18"/>
          <w:szCs w:val="18"/>
          <w:color w:val="auto"/>
        </w:rPr>
      </w:pPr>
    </w:p>
    <w:p>
      <w:pPr>
        <w:ind w:left="640" w:hanging="200"/>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40" w:hanging="200"/>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40" w:hanging="200"/>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640" w:hanging="200"/>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example, the delivery of a piece of equipment generally includes the promise to install the equipment in the customer’s facility. The Company’s performance obligations in connection with a sale of equipment generally include production, delivery and installation, together with the provision of a warranty.</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The Company does not have observable SSPs for most performance obligations as the obligations are not regularly sold on a standalone basis. Production, delivery and installation of a product, together with provision of a warranty, are a single unit of accounting.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4" w:lineRule="exact"/>
        <w:rPr>
          <w:sz w:val="20"/>
          <w:szCs w:val="20"/>
          <w:color w:val="auto"/>
        </w:rPr>
      </w:pPr>
    </w:p>
    <w:p>
      <w:pPr>
        <w:ind w:left="980" w:hanging="324"/>
        <w:spacing w:after="0" w:line="249"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the Company can objectively demonstrate that the tool meets all of the required acceptance criteria;</w:t>
      </w:r>
    </w:p>
    <w:p>
      <w:pPr>
        <w:ind w:left="980" w:hanging="324"/>
        <w:spacing w:after="0" w:line="260"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the Company can objectively demonstrate that the tool meets all of the required acceptance criteria;</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22" w:lineRule="exact"/>
        <w:rPr>
          <w:sz w:val="20"/>
          <w:szCs w:val="20"/>
          <w:color w:val="auto"/>
        </w:rPr>
      </w:pPr>
    </w:p>
    <w:p>
      <w:pPr>
        <w:ind w:left="980" w:hanging="324"/>
        <w:spacing w:after="0" w:line="258"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When the Company’s sales arrangements do not include a general right of return.</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The Company does not expect revenue from extended maintenance service contracts to represent a material portion of its revenue in the future.</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These costs are recorded within sales and marketing expenses.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does not incur any costs to fulfill the contracts with customers that are not already reported in compliance with another applicable standard (for example, inventory or plant, property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Cost of Revenue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Research and Development Costs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Shipping and Handling Costs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Shipping and handling costs, which relate to transportation of products to customer locations, are charged to selling and marketing expense. For the year ended December 31, 2019 and 2018, shipping and handling costs included in sales and marketing expenses were $172 and $146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Borrowing Costs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year ended December 31, 2019 or 2018.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Warranty</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each of its products, the Company generally provides a standard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Warranty obligations are included in other payables and accrued expenses in the consolidated balance sheets. The following table shows changes in the Company’s warranty obligations for the year ended December 31, 2019 and 2018, respectively.</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Utilized</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2,811</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Government Subsidies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ACM Shanghai has been awarded four subsidies from local and central governmental authorities in the PRC. The first subsidy, which was awarded in October 2008, relates to the development and commercialization of 65 to 45nm Stress Free Polishing technology. The second subsidy was awarded in April 2009 to fund interest expenses for short-term borrowings. The third subsidy was awarded in January 2014 and relates to the development of Electro Copper Plating technology. The fourth subsidy was awarded in June of 2018, and related to development of Polytetrafluoroethylene. The PRC governmental authorities will provide the majority of the funding, although ACM Shanghai is also required to invest certain amounts in the projects.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The government subsidies contain certain operating conditions and therefore are recorded as long-term liabilities upon receipt.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grant amounts are recognized in the statements of operations and comprehensive income:</w:t>
      </w:r>
    </w:p>
    <w:p>
      <w:pPr>
        <w:jc w:val="both"/>
        <w:ind w:left="660" w:hanging="328"/>
        <w:spacing w:after="0" w:line="24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recorded as reductions of those expenses in the periods in which the current expenses are recorded. For the years ended December 31, 2019 and 2018, related government subsidies recognized as reductions of relevant expenses in the consolidated statements of operations and comprehensive income were $3,195 and $1,486, respectively.</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Government subsidies related to depreciable assets are credited to income over the useful lives of the related assets for which the grant was received. For the years ended December 31, 2019 and 2018, related government subsidies recognized as other income in the consolidated statements of operations and comprehensive income were $147 and $144, respectively.</w:t>
      </w: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Unearned government subsidies received are deferred for recognition and recorded as other long-term liabilities (note 9) in the balance sheet until the criteria for such recognition are satisfied.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Stock-based Compensation</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ACM grants stock options to employees and non-employee consultants and directors and accounts for those stock-based awards in accordance with FASB ASC Topic 718, Compensation – Stock Compensation.</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Stock-based awards granted to employees and non-employee consultants and directors are measured at the fair value of the awards on the grant date and are recognized as expenses either (a) immediately on grant, if no vesting conditions are required or</w:t>
      </w:r>
    </w:p>
    <w:p>
      <w:pPr>
        <w:spacing w:after="0" w:line="1" w:lineRule="exact"/>
        <w:rPr>
          <w:sz w:val="20"/>
          <w:szCs w:val="20"/>
          <w:color w:val="auto"/>
        </w:rPr>
      </w:pPr>
    </w:p>
    <w:p>
      <w:pPr>
        <w:jc w:val="both"/>
        <w:ind w:firstLine="8"/>
        <w:spacing w:after="0" w:line="233" w:lineRule="auto"/>
        <w:tabs>
          <w:tab w:leader="none" w:pos="308" w:val="left"/>
        </w:tabs>
        <w:numPr>
          <w:ilvl w:val="0"/>
          <w:numId w:val="63"/>
        </w:numPr>
        <w:rPr>
          <w:rFonts w:ascii="Arial" w:cs="Arial" w:eastAsia="Arial" w:hAnsi="Arial"/>
          <w:sz w:val="22"/>
          <w:szCs w:val="22"/>
          <w:color w:val="auto"/>
        </w:rPr>
      </w:pPr>
      <w:r>
        <w:rPr>
          <w:rFonts w:ascii="Arial" w:cs="Arial" w:eastAsia="Arial" w:hAnsi="Arial"/>
          <w:sz w:val="22"/>
          <w:szCs w:val="22"/>
          <w:color w:val="auto"/>
        </w:rPr>
        <w:t>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service function of the employees and non-employee consultants and directors.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77"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Basic and Diluted Net Income per Common Share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Basic and diluted net income per common share are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4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6,574</w:t>
            </w:r>
          </w:p>
        </w:tc>
      </w:tr>
      <w:tr>
        <w:trPr>
          <w:trHeight w:val="202"/>
        </w:trPr>
        <w:tc>
          <w:tcPr>
            <w:tcW w:w="4260" w:type="dxa"/>
            <w:vAlign w:val="bottom"/>
          </w:tcPr>
          <w:p>
            <w:pPr>
              <w:ind w:left="180"/>
              <w:spacing w:after="0" w:line="201" w:lineRule="exact"/>
              <w:rPr>
                <w:sz w:val="20"/>
                <w:szCs w:val="20"/>
                <w:color w:val="auto"/>
              </w:rPr>
            </w:pPr>
            <w:r>
              <w:rPr>
                <w:rFonts w:ascii="Arial" w:cs="Arial" w:eastAsia="Arial" w:hAnsi="Arial"/>
                <w:sz w:val="18"/>
                <w:szCs w:val="18"/>
                <w:color w:val="auto"/>
                <w:w w:val="94"/>
              </w:rPr>
              <w:t>Net income attributable to redeemable non-controlling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260" w:type="dxa"/>
            <w:vAlign w:val="bottom"/>
          </w:tcPr>
          <w:p>
            <w:pPr>
              <w:ind w:left="30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42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Net income available to common stockholders, basic and</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1"/>
        </w:trPr>
        <w:tc>
          <w:tcPr>
            <w:tcW w:w="4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6,574</w:t>
            </w:r>
          </w:p>
        </w:tc>
      </w:tr>
      <w:tr>
        <w:trPr>
          <w:trHeight w:val="20"/>
        </w:trPr>
        <w:tc>
          <w:tcPr>
            <w:tcW w:w="4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16,800,623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15,788,460</w:t>
            </w:r>
          </w:p>
        </w:tc>
      </w:tr>
      <w:tr>
        <w:trPr>
          <w:trHeight w:val="216"/>
        </w:trPr>
        <w:tc>
          <w:tcPr>
            <w:tcW w:w="4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2,334,874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2,123,645</w:t>
            </w:r>
          </w:p>
        </w:tc>
      </w:tr>
      <w:tr>
        <w:trPr>
          <w:trHeight w:val="27"/>
        </w:trPr>
        <w:tc>
          <w:tcPr>
            <w:tcW w:w="4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19,135,497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17,912,105</w:t>
            </w:r>
          </w:p>
        </w:tc>
      </w:tr>
      <w:tr>
        <w:trPr>
          <w:trHeight w:val="21"/>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Basic and diluted net income per common share are presented using the two-class method, which allocates undistributed earnings to common stock and any participating securities according to dividend rights and participation rights on a proportionate basis. Under the two-class method, basic net income (per common share is computed by dividing the sum of distributed and undistributed earnings attributable to common stockholders by the weighted average number of shares of common stock outstanding during the period. Shares of ACM’s Series A, B, C, D, E and F convertible preferred stock are participating securities, as the holders are entitled to participate in and receive the same dividends as may be declared for common stockholders on a pro-rata, if-converted basis.</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years ended December 31, 2019 and 2018, the net income (loss) per common share attributable to each class is the same under the “two-class” method. As such, the two classes of common stock have been presented on a combined basis in the consolidated statements of operations and comprehensive income and in the above computation of net income per common share.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Diluted net income per common share reflects the potential dilution from securities that could share in ACM’s earnings. Certain potential dilutive securities were excluded from the net income per share calculation because the impact would be anti-dilutive. The potentially dilutive securities that were not included in the calculation of diluted net income per share in the periods presented where their inclusion would be anti-dilutive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740" w:type="dxa"/>
            <w:vAlign w:val="bottom"/>
            <w:gridSpan w:val="4"/>
          </w:tcPr>
          <w:p>
            <w:pPr>
              <w:ind w:left="3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4,095,676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3,715,779</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Warrant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77,810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56"/>
        </w:trPr>
        <w:tc>
          <w:tcPr>
            <w:tcW w:w="5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4,173,486</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3,795,779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Comprehensive Income Attributable to the Company</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applies FASB ASC Topic 220, Comprehensive Income, which establishes standards for the reporting and display of comprehensive income or loss, requiring its components to be reported in a financial statement with the same prominence as other financial statements. The comprehensive income attributable to the Company was $18,559 and $5,595 for the years ended December 31, 2019 and 2018,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Statutory reserves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ectPr>
          <w:pgSz w:w="11900" w:h="16838" w:orient="portrait"/>
          <w:cols w:equalWidth="0" w:num="1">
            <w:col w:w="11240"/>
          </w:cols>
          <w:pgMar w:left="320" w:top="121" w:right="339" w:bottom="26" w:gutter="0" w:footer="0" w:header="0"/>
        </w:sectPr>
      </w:pPr>
    </w:p>
    <w:bookmarkStart w:id="86" w:name="page87"/>
    <w:bookmarkEnd w:id="86"/>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ACM Shanghai estimated a statutory surplus reserve of $1,427 based on an accumulated profit as of December 31, 2019 which is included in the accumulated surplus in the consolidated balance sheets, versus no statutory surplus reserved due to accumulated losses as of 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Fair Value of Financial Instruments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88" w:lineRule="exact"/>
        <w:rPr>
          <w:sz w:val="20"/>
          <w:szCs w:val="20"/>
          <w:color w:val="auto"/>
        </w:rPr>
      </w:pPr>
    </w:p>
    <w:p>
      <w:pPr>
        <w:jc w:val="both"/>
        <w:ind w:left="340" w:right="20"/>
        <w:spacing w:after="0" w:line="250" w:lineRule="auto"/>
        <w:rPr>
          <w:sz w:val="20"/>
          <w:szCs w:val="20"/>
          <w:color w:val="auto"/>
        </w:rPr>
      </w:pPr>
      <w:r>
        <w:rPr>
          <w:rFonts w:ascii="Arial" w:cs="Arial" w:eastAsia="Arial" w:hAnsi="Arial"/>
          <w:sz w:val="22"/>
          <w:szCs w:val="22"/>
          <w:color w:val="auto"/>
        </w:rPr>
        <w:t>Level 1: Valuations for assets and liabilities traded in active exchange markets. Valuations are obtained from readily available pricing sources for market transactions involving identical assets or liabilities.</w:t>
      </w:r>
    </w:p>
    <w:p>
      <w:pPr>
        <w:spacing w:after="0" w:line="202" w:lineRule="exact"/>
        <w:rPr>
          <w:sz w:val="20"/>
          <w:szCs w:val="20"/>
          <w:color w:val="auto"/>
        </w:rPr>
      </w:pPr>
    </w:p>
    <w:p>
      <w:pPr>
        <w:jc w:val="both"/>
        <w:ind w:left="340"/>
        <w:spacing w:after="0" w:line="250" w:lineRule="auto"/>
        <w:rPr>
          <w:sz w:val="20"/>
          <w:szCs w:val="20"/>
          <w:color w:val="auto"/>
        </w:rPr>
      </w:pPr>
      <w:r>
        <w:rPr>
          <w:rFonts w:ascii="Arial" w:cs="Arial" w:eastAsia="Arial" w:hAnsi="Arial"/>
          <w:sz w:val="22"/>
          <w:szCs w:val="22"/>
          <w:color w:val="auto"/>
        </w:rPr>
        <w:t>Level 2: Valuations for assets and liabilities traded in less active dealer or broker markets. Valuations are obtained from third party pricing services for identical or similar assets or liabilities.</w:t>
      </w:r>
    </w:p>
    <w:p>
      <w:pPr>
        <w:spacing w:after="0" w:line="202" w:lineRule="exact"/>
        <w:rPr>
          <w:sz w:val="20"/>
          <w:szCs w:val="20"/>
          <w:color w:val="auto"/>
        </w:rPr>
      </w:pPr>
    </w:p>
    <w:p>
      <w:pPr>
        <w:jc w:val="both"/>
        <w:ind w:left="340"/>
        <w:spacing w:after="0" w:line="238" w:lineRule="auto"/>
        <w:rPr>
          <w:sz w:val="20"/>
          <w:szCs w:val="20"/>
          <w:color w:val="auto"/>
        </w:rPr>
      </w:pPr>
      <w:r>
        <w:rPr>
          <w:rFonts w:ascii="Arial" w:cs="Arial" w:eastAsia="Arial" w:hAnsi="Arial"/>
          <w:sz w:val="22"/>
          <w:szCs w:val="22"/>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Measured or Disclosed on a Recurring Basis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Warrant liability</w:t>
      </w:r>
      <w:r>
        <w:rPr>
          <w:rFonts w:ascii="Arial" w:cs="Arial" w:eastAsia="Arial" w:hAnsi="Arial"/>
          <w:sz w:val="22"/>
          <w:szCs w:val="22"/>
          <w:color w:val="auto"/>
        </w:rPr>
        <w:t>—The fair value of the warrant liability derives from the Black-Scholes valuation model which incorporates</w:t>
      </w:r>
      <w:r>
        <w:rPr>
          <w:rFonts w:ascii="Arial" w:cs="Arial" w:eastAsia="Arial" w:hAnsi="Arial"/>
          <w:sz w:val="22"/>
          <w:szCs w:val="22"/>
          <w:i w:val="1"/>
          <w:iCs w:val="1"/>
          <w:color w:val="auto"/>
        </w:rPr>
        <w:t xml:space="preserve"> </w:t>
      </w:r>
      <w:r>
        <w:rPr>
          <w:rFonts w:ascii="Arial" w:cs="Arial" w:eastAsia="Arial" w:hAnsi="Arial"/>
          <w:sz w:val="22"/>
          <w:szCs w:val="22"/>
          <w:color w:val="auto"/>
        </w:rPr>
        <w:t>certain unobservable assumptions (note 8). The Company classifies the valuation techniques that use these inputs as Level 3 fair value measurement.</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Other financial items for disclosure purpose</w:t>
      </w:r>
      <w:r>
        <w:rPr>
          <w:rFonts w:ascii="Arial" w:cs="Arial" w:eastAsia="Arial" w:hAnsi="Arial"/>
          <w:sz w:val="19"/>
          <w:szCs w:val="19"/>
          <w:color w:val="auto"/>
        </w:rPr>
        <w:t>—The fair value of other financial items of the Company for disclosure purpose,</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cash and cash equivalents, accounts receivable, other receivables, short-term borrowings, accounts payable, advances from customers, and other payables and accrued expenses, approximate their carrying value due to their short-term nature.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line="45"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and Financial Risks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Concentration of Credit Risk</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Financial instruments that potentially subject the Company to credit risk consist principally of cash and cash equivalents, restricted cash and accounts receivable. The Company deposits and invests its cash with financial institutions that management believes are creditworthy.</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Company is potentially subject to concentrations of credit risks in its accounts receivable. Three customers individually accounted for greater than ten percent of the Company’s revenue for the year ended 2019 and the year ended 2018:</w:t>
      </w:r>
    </w:p>
    <w:p>
      <w:pPr>
        <w:spacing w:after="0" w:line="135"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26.46%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w:t>
            </w: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19.84%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23.83%</w:t>
            </w: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27.50%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Rate Risk</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December 31, 2019 and 2018, the balance of bank borrowings (note 6) was short-term in nature, matured at various dates within the following year and did not expose the Company to 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Liquidity Risk</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Company’s working capital at December 31, 2019 and 2018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Country Risk</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Currency Risk and Translation</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Company’s consolidated financial statements are presented in U.S. dollars, which is the Company’s reporting currency, while the functional currency of ACM’s subsidiaries is the Chinese Renminbi (“RMB”), and the Korean Won.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fluctuations as marked to market at year-end are included in the consolidated statements of operations and comprehensive income. Total foreign currency translation adjustment was ($899) and ($979) for the years ended December 31, 2019 and 2018.</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In accordance with FASB ASC Topic 830, </w:t>
      </w:r>
      <w:r>
        <w:rPr>
          <w:rFonts w:ascii="Arial" w:cs="Arial" w:eastAsia="Arial" w:hAnsi="Arial"/>
          <w:sz w:val="22"/>
          <w:szCs w:val="22"/>
          <w:i w:val="1"/>
          <w:iCs w:val="1"/>
          <w:color w:val="auto"/>
        </w:rPr>
        <w:t>Foreign Currency Matters</w:t>
      </w:r>
      <w:r>
        <w:rPr>
          <w:rFonts w:ascii="Arial" w:cs="Arial" w:eastAsia="Arial" w:hAnsi="Arial"/>
          <w:sz w:val="22"/>
          <w:szCs w:val="22"/>
          <w:color w:val="auto"/>
        </w:rPr>
        <w:t>, the Company translates assets and liabilities into U.S. dollars from RMB or Korean Won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Translations of amounts from RMB and Korean Won into U.S. dollars were made at the following exchange rates for the respective dates and periods:</w:t>
      </w:r>
    </w:p>
    <w:p>
      <w:pPr>
        <w:sectPr>
          <w:pgSz w:w="11900" w:h="16884" w:orient="portrait"/>
          <w:cols w:equalWidth="0" w:num="1">
            <w:col w:w="11240"/>
          </w:cols>
          <w:pgMar w:left="320" w:top="121" w:right="339" w:bottom="0" w:gutter="0" w:footer="0" w:header="0"/>
        </w:sectPr>
      </w:pPr>
    </w:p>
    <w:bookmarkStart w:id="89" w:name="page90"/>
    <w:bookmarkEnd w:id="89"/>
    <w:tbl>
      <w:tblPr>
        <w:tblLayout w:type="fixed"/>
        <w:tblInd w:w="17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80" w:type="dxa"/>
            <w:vAlign w:val="bottom"/>
            <w:gridSpan w:val="4"/>
          </w:tcPr>
          <w:p>
            <w:pPr>
              <w:spacing w:after="0" w:line="176" w:lineRule="exact"/>
              <w:rPr>
                <w:sz w:val="20"/>
                <w:szCs w:val="20"/>
                <w:color w:val="auto"/>
              </w:rPr>
            </w:pPr>
            <w:r>
              <w:rPr>
                <w:rFonts w:ascii="Arial" w:cs="Arial" w:eastAsia="Arial" w:hAnsi="Arial"/>
                <w:sz w:val="18"/>
                <w:szCs w:val="18"/>
                <w:color w:val="auto"/>
              </w:rPr>
              <w:t>Consolidated balance sheets: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RMB to $1.00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6.9784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KRW to $1.00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1,156.07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1,114.83</w:t>
            </w:r>
          </w:p>
        </w:tc>
        <w:tc>
          <w:tcPr>
            <w:tcW w:w="0" w:type="dxa"/>
            <w:vAlign w:val="bottom"/>
          </w:tcPr>
          <w:p>
            <w:pPr>
              <w:spacing w:after="0"/>
              <w:rPr>
                <w:sz w:val="1"/>
                <w:szCs w:val="1"/>
                <w:color w:val="auto"/>
              </w:rPr>
            </w:pPr>
          </w:p>
        </w:tc>
      </w:tr>
      <w:tr>
        <w:trPr>
          <w:trHeight w:val="404"/>
        </w:trPr>
        <w:tc>
          <w:tcPr>
            <w:tcW w:w="5280" w:type="dxa"/>
            <w:vAlign w:val="bottom"/>
            <w:gridSpan w:val="4"/>
          </w:tcPr>
          <w:p>
            <w:pPr>
              <w:spacing w:after="0"/>
              <w:rPr>
                <w:sz w:val="20"/>
                <w:szCs w:val="20"/>
                <w:color w:val="auto"/>
              </w:rPr>
            </w:pPr>
            <w:r>
              <w:rPr>
                <w:rFonts w:ascii="Arial" w:cs="Arial" w:eastAsia="Arial" w:hAnsi="Arial"/>
                <w:sz w:val="18"/>
                <w:szCs w:val="18"/>
                <w:color w:val="auto"/>
                <w:w w:val="97"/>
              </w:rPr>
              <w:t>Consolidated statements of operations and comprehensive income: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RMB to $1.00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6.8966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KRW to $1.00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1,165.50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1,100.11</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In February 2016, the Financial Accounting Standards Board (“FASB”) issued Accounting Standards Update (“ASU”) 2016-02, </w:t>
      </w:r>
      <w:r>
        <w:rPr>
          <w:rFonts w:ascii="Arial" w:cs="Arial" w:eastAsia="Arial" w:hAnsi="Arial"/>
          <w:sz w:val="19"/>
          <w:szCs w:val="19"/>
          <w:i w:val="1"/>
          <w:iCs w:val="1"/>
          <w:color w:val="auto"/>
        </w:rPr>
        <w:t>Leases (Topic 842)</w:t>
      </w:r>
      <w:r>
        <w:rPr>
          <w:rFonts w:ascii="Arial" w:cs="Arial" w:eastAsia="Arial" w:hAnsi="Arial"/>
          <w:sz w:val="19"/>
          <w:szCs w:val="19"/>
          <w:color w:val="auto"/>
        </w:rPr>
        <w:t>. The amendments in ASU 2016-02 create Topic 842,</w:t>
      </w:r>
      <w:r>
        <w:rPr>
          <w:rFonts w:ascii="Arial" w:cs="Arial" w:eastAsia="Arial" w:hAnsi="Arial"/>
          <w:sz w:val="19"/>
          <w:szCs w:val="19"/>
          <w:i w:val="1"/>
          <w:iCs w:val="1"/>
          <w:color w:val="auto"/>
        </w:rPr>
        <w:t xml:space="preserve"> Leases</w:t>
      </w:r>
      <w:r>
        <w:rPr>
          <w:rFonts w:ascii="Arial" w:cs="Arial" w:eastAsia="Arial" w:hAnsi="Arial"/>
          <w:sz w:val="19"/>
          <w:szCs w:val="19"/>
          <w:color w:val="auto"/>
        </w:rPr>
        <w:t>, and supersede the leases requirements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Topic 840, </w:t>
      </w:r>
      <w:r>
        <w:rPr>
          <w:rFonts w:ascii="Arial" w:cs="Arial" w:eastAsia="Arial" w:hAnsi="Arial"/>
          <w:sz w:val="19"/>
          <w:szCs w:val="19"/>
          <w:i w:val="1"/>
          <w:iCs w:val="1"/>
          <w:color w:val="auto"/>
        </w:rPr>
        <w:t>Leases</w:t>
      </w:r>
      <w:r>
        <w:rPr>
          <w:rFonts w:ascii="Arial" w:cs="Arial" w:eastAsia="Arial" w:hAnsi="Arial"/>
          <w:sz w:val="19"/>
          <w:szCs w:val="19"/>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w:t>
      </w: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Effective January 1, 2019, the Company adopted ASU 2016-02. The original guidance required application on a modified retrospective basis with the earliest period presented. In August 2018, the FASB issued ASU 2018-11, </w:t>
      </w:r>
      <w:r>
        <w:rPr>
          <w:rFonts w:ascii="Arial" w:cs="Arial" w:eastAsia="Arial" w:hAnsi="Arial"/>
          <w:sz w:val="19"/>
          <w:szCs w:val="19"/>
          <w:i w:val="1"/>
          <w:iCs w:val="1"/>
          <w:color w:val="auto"/>
        </w:rPr>
        <w:t>Targeted Improvements to</w:t>
      </w:r>
      <w:r>
        <w:rPr>
          <w:rFonts w:ascii="Arial" w:cs="Arial" w:eastAsia="Arial" w:hAnsi="Arial"/>
          <w:sz w:val="19"/>
          <w:szCs w:val="19"/>
          <w:color w:val="auto"/>
        </w:rPr>
        <w:t xml:space="preserve"> </w:t>
      </w:r>
      <w:r>
        <w:rPr>
          <w:rFonts w:ascii="Arial" w:cs="Arial" w:eastAsia="Arial" w:hAnsi="Arial"/>
          <w:sz w:val="19"/>
          <w:szCs w:val="19"/>
          <w:i w:val="1"/>
          <w:iCs w:val="1"/>
          <w:color w:val="auto"/>
        </w:rPr>
        <w:t>ASC 842</w:t>
      </w:r>
      <w:r>
        <w:rPr>
          <w:rFonts w:ascii="Arial" w:cs="Arial" w:eastAsia="Arial" w:hAnsi="Arial"/>
          <w:sz w:val="19"/>
          <w:szCs w:val="19"/>
          <w:color w:val="auto"/>
        </w:rPr>
        <w:t>,</w:t>
      </w:r>
      <w:r>
        <w:rPr>
          <w:rFonts w:ascii="Arial" w:cs="Arial" w:eastAsia="Arial" w:hAnsi="Arial"/>
          <w:sz w:val="19"/>
          <w:szCs w:val="19"/>
          <w:i w:val="1"/>
          <w:iCs w:val="1"/>
          <w:color w:val="auto"/>
        </w:rPr>
        <w:t xml:space="preserve"> Leases</w:t>
      </w:r>
      <w:r>
        <w:rPr>
          <w:rFonts w:ascii="Arial" w:cs="Arial" w:eastAsia="Arial" w:hAnsi="Arial"/>
          <w:sz w:val="19"/>
          <w:szCs w:val="19"/>
          <w:color w:val="auto"/>
        </w:rPr>
        <w:t>, which included an option to not restate comparative periods in transition and elect to use the effective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Accounting Standards Codification (“ASC”) 842 as the date of initial application of transition, which the Company elected. As a result of its adoption of ASC 842 as of January 1, 2019, the Company recorded operating lease right-of-use assets of $5,109 and lease liabilities of $5,109. The adoption of ASC 842 had no impact on the Company’s profit or cash flows for the year ended December 31, 2019. In addition, the Company elected the package of practical expedients permitted under the transition guidance within the new standard, which allowed the Company to carry forward the historical lease classification. Additional information and disclosures required by this new standard are contained in note 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In June 2018, the FASB issued ASU 2018-07, </w:t>
      </w:r>
      <w:r>
        <w:rPr>
          <w:rFonts w:ascii="Arial" w:cs="Arial" w:eastAsia="Arial" w:hAnsi="Arial"/>
          <w:sz w:val="21"/>
          <w:szCs w:val="21"/>
          <w:i w:val="1"/>
          <w:iCs w:val="1"/>
          <w:color w:val="auto"/>
        </w:rPr>
        <w:t>Compensation—Stock Compensation (Topic 718)—Improvements to Nonemployee</w:t>
      </w:r>
      <w:r>
        <w:rPr>
          <w:rFonts w:ascii="Arial" w:cs="Arial" w:eastAsia="Arial" w:hAnsi="Arial"/>
          <w:sz w:val="21"/>
          <w:szCs w:val="21"/>
          <w:color w:val="auto"/>
        </w:rPr>
        <w:t xml:space="preserve"> </w:t>
      </w:r>
      <w:r>
        <w:rPr>
          <w:rFonts w:ascii="Arial" w:cs="Arial" w:eastAsia="Arial" w:hAnsi="Arial"/>
          <w:sz w:val="21"/>
          <w:szCs w:val="21"/>
          <w:i w:val="1"/>
          <w:iCs w:val="1"/>
          <w:color w:val="auto"/>
        </w:rPr>
        <w:t>Share-Based Payment Accounting</w:t>
      </w:r>
      <w:r>
        <w:rPr>
          <w:rFonts w:ascii="Arial" w:cs="Arial" w:eastAsia="Arial" w:hAnsi="Arial"/>
          <w:sz w:val="21"/>
          <w:szCs w:val="21"/>
          <w:color w:val="auto"/>
        </w:rPr>
        <w:t>, which simplifies several aspects of the accounting for nonemployee share-based payment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transactions resulting from expanding the scope of Topic 718, </w:t>
      </w:r>
      <w:r>
        <w:rPr>
          <w:rFonts w:ascii="Arial" w:cs="Arial" w:eastAsia="Arial" w:hAnsi="Arial"/>
          <w:sz w:val="21"/>
          <w:szCs w:val="21"/>
          <w:i w:val="1"/>
          <w:iCs w:val="1"/>
          <w:color w:val="auto"/>
        </w:rPr>
        <w:t>Compensation—Stock Compensation</w:t>
      </w:r>
      <w:r>
        <w:rPr>
          <w:rFonts w:ascii="Arial" w:cs="Arial" w:eastAsia="Arial" w:hAnsi="Arial"/>
          <w:sz w:val="21"/>
          <w:szCs w:val="21"/>
          <w:color w:val="auto"/>
        </w:rPr>
        <w:t xml:space="preserve">, to include share-based payment transactions for acquiring goods and services from nonemployees. Some of the areas for simplification apply only to nonpublic entities. ASU 2018-07 specifies that Topic 718 applies to all share-based payment transactions in which a grantor acquires goods or services to be used or consumed in a grantor’s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the new revenue recognition standard set forth in ASU 2014-09, </w:t>
      </w:r>
      <w:r>
        <w:rPr>
          <w:rFonts w:ascii="Arial" w:cs="Arial" w:eastAsia="Arial" w:hAnsi="Arial"/>
          <w:sz w:val="21"/>
          <w:szCs w:val="21"/>
          <w:i w:val="1"/>
          <w:iCs w:val="1"/>
          <w:color w:val="auto"/>
        </w:rPr>
        <w:t>Revenue from Contracts with Customers (Topic 606)</w:t>
      </w:r>
      <w:r>
        <w:rPr>
          <w:rFonts w:ascii="Arial" w:cs="Arial" w:eastAsia="Arial" w:hAnsi="Arial"/>
          <w:sz w:val="21"/>
          <w:szCs w:val="21"/>
          <w:color w:val="auto"/>
        </w:rPr>
        <w:t>. Effective January 1, 2019, the Company adopted ASU 2018-07, which did not have a material impact on the Company’s consolidated financial statements.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In February 2018, the FASB issued ASU No. 2018-02, </w:t>
      </w:r>
      <w:r>
        <w:rPr>
          <w:rFonts w:ascii="Arial" w:cs="Arial" w:eastAsia="Arial" w:hAnsi="Arial"/>
          <w:sz w:val="21"/>
          <w:szCs w:val="21"/>
          <w:i w:val="1"/>
          <w:iCs w:val="1"/>
          <w:color w:val="auto"/>
        </w:rPr>
        <w:t>“Income Statement—Reporting Comprehensive Income (Topic 220):</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Reclassification of Certain Tax Effects from Accumulated Other Comprehensive Income” </w:t>
      </w:r>
      <w:r>
        <w:rPr>
          <w:rFonts w:ascii="Arial" w:cs="Arial" w:eastAsia="Arial" w:hAnsi="Arial"/>
          <w:sz w:val="21"/>
          <w:szCs w:val="21"/>
          <w:color w:val="auto"/>
        </w:rPr>
        <w:t>(“ASU 2018-02”) which provides</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 statement preparers with an option to reclassify stranded tax effects within accumulated other comprehensive income to retained earnings in each period in which the effect of the change in the U.S. federal corporate income tax rate in the Tax Cuts and Jobs Act (or portion thereof) is recorded. The amendments in this ASU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this ASU should be applied either in the period of adoption or retrospectively to each period (or periods) in which the effect of the change in the U.S. federal corporate income tax rate in the Tax Cuts and Jobs Act is recognized. The adoption of the ASU 2018-02 did not have a material impact on the Company’s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Recent Accounting Pronouncements Not Yet Adopted</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In August 2018, the FASB issued ASU 2018-13, </w:t>
      </w:r>
      <w:r>
        <w:rPr>
          <w:rFonts w:ascii="Arial" w:cs="Arial" w:eastAsia="Arial" w:hAnsi="Arial"/>
          <w:sz w:val="21"/>
          <w:szCs w:val="21"/>
          <w:i w:val="1"/>
          <w:iCs w:val="1"/>
          <w:color w:val="auto"/>
        </w:rPr>
        <w:t>Fair Value Measurement (Topic 820)</w:t>
      </w:r>
      <w:r>
        <w:rPr>
          <w:rFonts w:ascii="Arial" w:cs="Arial" w:eastAsia="Arial" w:hAnsi="Arial"/>
          <w:sz w:val="21"/>
          <w:szCs w:val="21"/>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Company does not expect the adoption of ASU 2018-13 to have a material impact on its consolidated financial statements.</w:t>
      </w:r>
    </w:p>
    <w:p>
      <w:pPr>
        <w:spacing w:after="0" w:line="21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In January 2017, the FASB issued ASU 2017-04, </w:t>
      </w:r>
      <w:r>
        <w:rPr>
          <w:rFonts w:ascii="Arial" w:cs="Arial" w:eastAsia="Arial" w:hAnsi="Arial"/>
          <w:sz w:val="22"/>
          <w:szCs w:val="22"/>
          <w:i w:val="1"/>
          <w:iCs w:val="1"/>
          <w:color w:val="auto"/>
        </w:rPr>
        <w:t>Intangibles—Goodwill and Other (Topic 350): Simplifying the Test for</w:t>
      </w:r>
      <w:r>
        <w:rPr>
          <w:rFonts w:ascii="Arial" w:cs="Arial" w:eastAsia="Arial" w:hAnsi="Arial"/>
          <w:sz w:val="22"/>
          <w:szCs w:val="22"/>
          <w:color w:val="auto"/>
        </w:rPr>
        <w:t xml:space="preserve"> </w:t>
      </w:r>
      <w:r>
        <w:rPr>
          <w:rFonts w:ascii="Arial" w:cs="Arial" w:eastAsia="Arial" w:hAnsi="Arial"/>
          <w:sz w:val="22"/>
          <w:szCs w:val="22"/>
          <w:i w:val="1"/>
          <w:iCs w:val="1"/>
          <w:color w:val="auto"/>
        </w:rPr>
        <w:t>Goodwill Impairment</w:t>
      </w:r>
      <w:r>
        <w:rPr>
          <w:rFonts w:ascii="Arial" w:cs="Arial" w:eastAsia="Arial" w:hAnsi="Arial"/>
          <w:sz w:val="22"/>
          <w:szCs w:val="22"/>
          <w:color w:val="auto"/>
        </w:rPr>
        <w:t>, which removes Step 2 from the goodwill impairment test. An entity will apply a one-step quantitative test</w:t>
      </w:r>
      <w:r>
        <w:rPr>
          <w:rFonts w:ascii="Arial" w:cs="Arial" w:eastAsia="Arial" w:hAnsi="Arial"/>
          <w:sz w:val="22"/>
          <w:szCs w:val="22"/>
          <w:i w:val="1"/>
          <w:iCs w:val="1"/>
          <w:color w:val="auto"/>
        </w:rPr>
        <w:t xml:space="preserve"> </w:t>
      </w:r>
      <w:r>
        <w:rPr>
          <w:rFonts w:ascii="Arial" w:cs="Arial" w:eastAsia="Arial" w:hAnsi="Arial"/>
          <w:sz w:val="22"/>
          <w:szCs w:val="22"/>
          <w:color w:val="auto"/>
        </w:rPr>
        <w:t>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files periodic reports with the Securities and Exchange Commission must adopt the amendments in ASU 2017-04 for its annual or any interim goodwill impairment test in fiscal years beginning after December 15, 2019. Early adoption is permitted for interim or annual goodwill impairment tests performed on testing dates after January 1, 2017. The Company does not expect the adoption of ASU 2017-04 to have a material impact on its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In June 2016, the FASB issued ASU 2016-13, </w:t>
      </w:r>
      <w:r>
        <w:rPr>
          <w:rFonts w:ascii="Arial" w:cs="Arial" w:eastAsia="Arial" w:hAnsi="Arial"/>
          <w:sz w:val="19"/>
          <w:szCs w:val="19"/>
          <w:i w:val="1"/>
          <w:iCs w:val="1"/>
          <w:color w:val="auto"/>
        </w:rPr>
        <w:t>Financial Instruments-Credit Losses (Topic 326): Measurement of Credit Losses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on Financial Instruments </w:t>
      </w:r>
      <w:r>
        <w:rPr>
          <w:rFonts w:ascii="Arial" w:cs="Arial" w:eastAsia="Arial" w:hAnsi="Arial"/>
          <w:sz w:val="19"/>
          <w:szCs w:val="19"/>
          <w:color w:val="auto"/>
        </w:rPr>
        <w:t>. ASU 2016-13 replaced the incurred loss impairment methodology under current GAAP with a</w:t>
      </w:r>
      <w:r>
        <w:rPr>
          <w:rFonts w:ascii="Arial" w:cs="Arial" w:eastAsia="Arial" w:hAnsi="Arial"/>
          <w:sz w:val="19"/>
          <w:szCs w:val="19"/>
          <w:i w:val="1"/>
          <w:iCs w:val="1"/>
          <w:color w:val="auto"/>
        </w:rPr>
        <w:t xml:space="preserve"> </w:t>
      </w:r>
      <w:r>
        <w:rPr>
          <w:rFonts w:ascii="Arial" w:cs="Arial" w:eastAsia="Arial" w:hAnsi="Arial"/>
          <w:sz w:val="19"/>
          <w:szCs w:val="19"/>
          <w:color w:val="auto"/>
        </w:rPr>
        <w:t>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Adoption of the standard requires using a modified retrospective approach through a cumulative-effect adjustment to retained earnings as of the effective date to align existing credit loss methodology with the new standard. The Company will adopt ASU 2016-13 effective January 1, 2020. The Company is evaluating the impact of this standard on its consolidated financial statements, including accounting policies, processes, and systems, and expects the standard will have a minor impact on its consolidated financial statements.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In December 2019, the FASB issued ASU No.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ASU 2019-12 will simplify the accounting for income taxes by removing certain exceptions to the general principles in Topic</w:t>
      </w:r>
    </w:p>
    <w:p>
      <w:pPr>
        <w:spacing w:after="0" w:line="1" w:lineRule="exact"/>
        <w:rPr>
          <w:sz w:val="20"/>
          <w:szCs w:val="20"/>
          <w:color w:val="auto"/>
        </w:rPr>
      </w:pPr>
    </w:p>
    <w:p>
      <w:pPr>
        <w:jc w:val="both"/>
        <w:ind w:firstLine="8"/>
        <w:spacing w:after="0" w:line="277" w:lineRule="auto"/>
        <w:tabs>
          <w:tab w:leader="none" w:pos="443"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For all other entities, the amendments are effective for fiscal years beginning after December 15, 2021, and interim periods within fiscal years beginning after December 15, 2022. The Company is evaluating the impact of the adoption of ASU 2019-12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ACCOUNTS RECEIVABLE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2019 and 2018, accounts receivable consisted of the following:</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reviews accounts receivable on a periodic basis and makes general and specific allowances when there is doubt as to the collectability of individual balances. No allowance for doubtful accounts was considered necessary at December 31, 2019 and 2018. At December 31, 2019 and 2018, accounts receivable of $1,433 and $1,457 respectively, were pledged as collateral for borrowings from financial institutions (note 6).</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 4 –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2019 and 2018, inventory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D0D0D"/>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15,105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10,407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9,631</w:t>
            </w:r>
          </w:p>
        </w:tc>
      </w:tr>
      <w:tr>
        <w:trPr>
          <w:trHeight w:val="223"/>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19,284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Total inventory, gross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44,796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38,764</w:t>
            </w:r>
          </w:p>
        </w:tc>
      </w:tr>
      <w:tr>
        <w:trPr>
          <w:trHeight w:val="223"/>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Total inventory, net</w:t>
            </w:r>
          </w:p>
        </w:tc>
        <w:tc>
          <w:tcPr>
            <w:tcW w:w="240" w:type="dxa"/>
            <w:vAlign w:val="bottom"/>
          </w:tcPr>
          <w:p>
            <w:pPr>
              <w:jc w:val="right"/>
              <w:ind w:right="50"/>
              <w:spacing w:after="0"/>
              <w:rPr>
                <w:sz w:val="20"/>
                <w:szCs w:val="20"/>
                <w:color w:val="auto"/>
              </w:rPr>
            </w:pPr>
            <w:r>
              <w:rPr>
                <w:rFonts w:ascii="Arial" w:cs="Arial" w:eastAsia="Arial" w:hAnsi="Arial"/>
                <w:sz w:val="18"/>
                <w:szCs w:val="18"/>
                <w:color w:val="0D0D0D"/>
                <w:w w:val="79"/>
              </w:rPr>
              <w:t>$</w:t>
            </w:r>
          </w:p>
        </w:tc>
        <w:tc>
          <w:tcPr>
            <w:tcW w:w="880" w:type="dxa"/>
            <w:vAlign w:val="bottom"/>
          </w:tcPr>
          <w:p>
            <w:pPr>
              <w:jc w:val="right"/>
              <w:spacing w:after="0"/>
              <w:rPr>
                <w:sz w:val="20"/>
                <w:szCs w:val="20"/>
                <w:color w:val="auto"/>
              </w:rPr>
            </w:pPr>
            <w:r>
              <w:rPr>
                <w:rFonts w:ascii="Arial" w:cs="Arial" w:eastAsia="Arial" w:hAnsi="Arial"/>
                <w:sz w:val="18"/>
                <w:szCs w:val="18"/>
                <w:color w:val="0D0D0D"/>
              </w:rPr>
              <w:t>44,796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38,764</w:t>
            </w:r>
          </w:p>
        </w:tc>
      </w:tr>
      <w:tr>
        <w:trPr>
          <w:trHeight w:val="21"/>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December 31, 2019 and 2018, the Company did not have an inventory reserve and no inventory was pledged as collateral for borrowings from financial institutions. System shipments of first-tools to an existing or prospective customer, for which ownership does not transfer until customer acceptance, are classified as finished goods inventory and carried at cost until ownership is transferred.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PROPERTY, PLANT AND EQUIPMENT,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2019 and 2018, property, plant and equipment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D0D0D"/>
                <w:w w:val="79"/>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0D0D0D"/>
                <w:w w:val="84"/>
              </w:rPr>
              <w:t>3,902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0D0D0D"/>
              </w:rPr>
              <w:t>627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D0D0D"/>
              </w:rPr>
              <w:t>124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Leasehold improvement</w:t>
            </w:r>
          </w:p>
        </w:tc>
        <w:tc>
          <w:tcPr>
            <w:tcW w:w="240" w:type="dxa"/>
            <w:vAlign w:val="bottom"/>
          </w:tcPr>
          <w:p>
            <w:pPr>
              <w:spacing w:after="0"/>
              <w:rPr>
                <w:sz w:val="19"/>
                <w:szCs w:val="19"/>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0D0D0D"/>
                <w:w w:val="84"/>
              </w:rPr>
              <w:t>1,442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0D0D0D"/>
                <w:w w:val="84"/>
              </w:rPr>
              <w:t>6,095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0D0D0D"/>
              </w:rPr>
              <w:t>(3,077)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(8,102)</w:t>
            </w:r>
          </w:p>
        </w:tc>
      </w:tr>
      <w:tr>
        <w:trPr>
          <w:trHeight w:val="22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D0D0D"/>
              </w:rPr>
              <w:t>601</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7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0D0D0D"/>
                <w:w w:val="79"/>
              </w:rPr>
              <w:t>$</w:t>
            </w:r>
          </w:p>
        </w:tc>
        <w:tc>
          <w:tcPr>
            <w:tcW w:w="8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0D0D0D"/>
                <w:w w:val="84"/>
              </w:rPr>
              <w:t>3,619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top w:val="single" w:sz="8" w:color="CCEEFF"/>
            </w:tcBorders>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Depreciation expense was $713 and $350 for the years ended December 31, 2019 and 2018, respectively. During the year ended December 31, 2019, the Company retired certain fully depreciated manufacturing equipment with cost of $5,824.</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SHORT-TERM BORROWINGS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2019 and 2018, short-term borrowings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Line of credit up to RMB 50,000 from Bank of Shanghai Pudong Branch, due on April 17,2019 with an annual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of 4.99%, guaranteed by the Company’s CEO and fully repaid on March 27, 2019.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Line of credit up to RMB 50,000 from Bank of Shanghai Pudong Branch, due on February 14,2019 with an annual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interest rate of 5.15%, guaranteed by the Company’s CEO and fully repaid on February 14,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50,000 from Bank of Shanghai Pudong Branch, due on January 23, 2020 with an annual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interest rate of 5.22%, guaranteed by the Company’s CEO and Cleanchip Technologies Limited.Only RMB 14,500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was repaid on December 13,2019.</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Line of credit up to RMB 30,000 from Bank of China Pudong Branch, due on June 6,2019 with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w w:val="93"/>
              </w:rPr>
              <w:t>5.22%,secured by certain of the Company’s intellectual property and the Company’s CEO and fully repaid on June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6,2019.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2,186</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Line of credit up to RMB 30,000 from Bank of China Pudong Branch, due on June 13,2019 with annual interest rate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of 5.22%,secured by certain of the Company’s intellectual property and the Company’s CEO and fully repaid 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13,2019.</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Line of credit up to RMB 10,000 from Shanghai Rural Commercial Bank, due on January 23, 2019 with an annual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w w:val="93"/>
              </w:rPr>
              <w:t>interest rate of 5.44%, guaranteed by the Company’s CEO and pledged by accounts receivable,and fully repaid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January 23,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Line of credit up to RMB 20,000 from Shanghai Rural Commercial Bank, due on February 21, 2020 with an annual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of 5.66%, guaranteed by the Company’s CEO and pledged by accounts receivable.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Line of credit up to RMB 20,000 from Bank of Communications, due on January 18, 2020 with an annual interest rate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of 5.66%.</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Line of credit up to RMB 20,000 from Bank of Communications, due on January 22, 2020 with an annual interest rate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5.66%.</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Line of credit up to RMB 20,000 from Bank of Communications, due on February 14, 2020 with an annual interest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rate of 5.66%.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Line of credit up to RMB 50,000 from China Everbright Bank, due on March 25, 2020 with an annual interest rate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4.94%, guaranteed by the Company’s CEO.</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Line of credit up to RMB 50,000 from China Everbright Bank, due on April 17, 2020 with an annual interest rate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5.66%, guaranteed by the Company’s CEO.</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13,753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years ended December 31, 2019 and 2018, interest expense related to short-term borrowings amounted to $745 and $498, respectively.</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NOTE 7 – OTHER PAYABLE AND ACCRUED EXPENSES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2019 and 2018, other payable and accrued expenses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and payable for leasehold improvement due to a related party (note 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Accrued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2,931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Accrued payroll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3,076</w:t>
            </w:r>
          </w:p>
        </w:tc>
      </w:tr>
      <w:tr>
        <w:trPr>
          <w:trHeight w:val="223"/>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12,874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10,410</w:t>
            </w:r>
          </w:p>
        </w:tc>
      </w:tr>
      <w:tr>
        <w:trPr>
          <w:trHeight w:val="21"/>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LEASES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ACM entered into a two-year lease agreement in March 2015 for office and warehouse space of approximately 3,000 square feet for its headquarters in Fremont, California, at a rate of $2 per month. On February 4, 2019, ACM amended the lease agreement to extend the lease term through March 31, 2020 and increase the base rent to $3.3 per month from April 1, 2019 to March 31, 2020 and $3.4 per month from April 1, 2020 to March 31, 2021.</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ACM Shanghai entered into an operating lease agreement with Zhangjiang Group (a related party, see note 11) in 2007 for manufacturing and office space of approximately 63,510 square feet in Shanghai, China. The lease terms and its payment terms are subject to modification and extension with Zhangjiang Group from time to time. The lease with Zhangjiang Group expired on December 31, 2017 and from January 1, 2018 to April 25, 2018 ACM Shanghai leased the property on a month-to-month basis. On April 26, 2018, ACM Shanghai entered into a renewed lease with Zhangjiang Group for the period from January 1, 2018 through December 31, 2022. Under the lease, ACM Shanghai would pay a monthly rental fee of RMB 366 (equivalent to $55). The required security deposit is RMB 1,077 (equivalent to $163).</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ACM Wuxi leases office space in Wuxi, China, at a rate of less than $1 per month.</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January 2018, ACM Shanghai entered into an operating lease agreement for a second factory in the Pudong region of Shanghai from January 2018 to January 2023. This facility has a total of 50,000 square feet of available floor space. The monthly rent varies during the term of the lease.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lease expense were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 2019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Short-term lease cost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cost</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Supplemental cash flow information related to operating leases was as follows for the period ended December 31, 2019:</w:t>
      </w:r>
    </w:p>
    <w:p>
      <w:pPr>
        <w:spacing w:after="0" w:line="248"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5715</wp:posOffset>
            </wp:positionV>
            <wp:extent cx="10204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0445" cy="17145"/>
                    </a:xfrm>
                    <a:prstGeom prst="rect">
                      <a:avLst/>
                    </a:prstGeom>
                    <a:noFill/>
                  </pic:spPr>
                </pic:pic>
              </a:graphicData>
            </a:graphic>
          </wp:anchor>
        </w:drawing>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Operating cash outflow from operating leases</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-136525</wp:posOffset>
            </wp:positionV>
            <wp:extent cx="570039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Maturities of lease liabilities for all operating leases were as follows as of December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18"/>
                <w:szCs w:val="18"/>
                <w:color w:val="auto"/>
              </w:rPr>
            </w:pPr>
          </w:p>
        </w:tc>
      </w:tr>
      <w:tr>
        <w:trPr>
          <w:trHeight w:val="22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r>
      <w:tr>
        <w:trPr>
          <w:trHeight w:val="216"/>
        </w:trPr>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Borders>
              <w:top w:val="single" w:sz="8" w:color="CCEEFF"/>
            </w:tcBorders>
          </w:tcPr>
          <w:p>
            <w:pPr>
              <w:spacing w:after="0"/>
              <w:rPr>
                <w:sz w:val="18"/>
                <w:szCs w:val="18"/>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weighted average remaining lease terms and discount rates for all operating leases were as follows as of December 31 2019:</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Remaining lease term and discount rate:</w:t>
            </w: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8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3.02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80" w:type="dxa"/>
            <w:vAlign w:val="bottom"/>
            <w:gridSpan w:val="2"/>
          </w:tcPr>
          <w:p>
            <w:pPr>
              <w:ind w:left="1360"/>
              <w:spacing w:after="0"/>
              <w:rPr>
                <w:sz w:val="20"/>
                <w:szCs w:val="20"/>
                <w:color w:val="auto"/>
              </w:rPr>
            </w:pPr>
            <w:r>
              <w:rPr>
                <w:rFonts w:ascii="Arial" w:cs="Arial" w:eastAsia="Arial" w:hAnsi="Arial"/>
                <w:sz w:val="18"/>
                <w:szCs w:val="18"/>
                <w:color w:val="auto"/>
                <w:w w:val="97"/>
              </w:rPr>
              <w:t>5.43%</w:t>
            </w:r>
          </w:p>
        </w:tc>
      </w:tr>
      <w:tr>
        <w:trPr>
          <w:trHeight w:val="20"/>
        </w:trPr>
        <w:tc>
          <w:tcPr>
            <w:tcW w:w="59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OTHER LONG-TERM LIABILITIES</w:t>
      </w:r>
    </w:p>
    <w:p>
      <w:pPr>
        <w:spacing w:after="0" w:line="239"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Other long-term liabilities represent government subsidies received from PRC governmental authorities for development and commercialization of certain technology but not yet recognized (note 2). As of December 31, 2019 and 2018, other long-term liabilities consisted of the following unearned government subsidies: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1,251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2,666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Subsidies to Polytetrafluoroethylene project, commenced in 2018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D0D0D"/>
              </w:rPr>
              <w:t>135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0D0D0D"/>
              </w:rPr>
              <w:t>134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4,186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LONG-TERM INVESTMENT</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September 6, 2017, ACM and Ninebell Co., Ltd. (“Ninebell”), a Korean company that is one of the Company’s principal material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June 27, 2019, ACM Shanghai and Shengyi Semiconductor Technology Co., Ltd. (“Shengyi”), a company based in Wuxi, China that is one of the Company’s component suppliers, entered into an agreement pursuant to which Shengyi issued to ACM Shanghai shares representing 15% of Shengyi’s post-closing equity for a purchase price of $109. The investment in Shengyi is accounted for under the cost 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Pursuant to such Partnership Agreement, on September 30, 2019, ACM Shanghai invested RMB 30,000 ($4,200), which represented 10% of the Partnership’s total subscribed capital. The investment in Hefei Shixi Chanheng Integrated Circuit Industry Venture Capital Fund Partnership (LP) is accounted for under the equity method in accordance with ASC 323-30-S99-1.</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treats the equity investment in the consolidated financial statements under the equity method. Under the equity method, the investment is initially recorded at cost, adjusted for any excess of the Company’s share of the incorporated-date fair values of the investee’s identifiable net assets over the cost of the investment (if any). Thereafter, the investment is adjusted for the post incorporation change in the Company’s share of the investee’s net assets and any impairment loss relating to the investment. For the years ended December 31, 2019 and 2018 the Company’s share of equity investees’ net income was $168 and $123, respectively, which was included in income on equity method investment in the accompanying consolidated statements of operations and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 equity method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Investment – cost method</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RELATED PARTY BALANCES AND TRANSACTIONS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ACM purchased materials from Ninebell amounting to $8,572 and $7,785 during the years ended December 31, 2019 and 2018, respectively. As of December 31, 2019 and 2018, accounts payable due to Ninebell were $727 and $1,477, respectively, and prepaid to Ninebell for material purchases were $348 and $572, respectively.</w:t>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ACM purchased materials from Shengyi amounting to $856 during the year ended December 31, 2019. As of December 31, 2019, accounts payable due to Shengyi was $488.</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would pay a monthly rental fee of approximately RMB 366 (equivalent to $55). The required security deposit is RMB 1,077 (equivalent to $163). The Company incurred leasing expenses under the lease agreement of $595 and $620 during the years ended December 31, 2019 and 2018, respectively. As of December 31, 2019 and 2018, payables to Zhangjiang Group for lease expenses and leasehold improvements recorded as other payables and accrued expenses amounted to $0 and $53, respectively (note 7).</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December 9, 2016, Shengxin (Shanghai) Management Consulting Limited Partnership (“SMC”), a PRC limited partnership owned by employees of ACM Shanghai, including Jian Wang, the Chief Executive Officer and President of ACM Shanghai and the brother of David H. Wang (a related party, see note 11), delivered RMB 20,124 ($2,981 as of the close of business on such date) in cash (the “SMC Investment”) to ACM Shanghai for potential investment pursuant to terms to be subsequently negotiated. On March 14, 2017, ACM, ACM Shanghai and SMC entered into a securities purchase agreement (the “SMC Agreement”) pursuant to which, in exchange for the SMC Investment, (a) ACM issued to SMC a warrant (the “SMC Warrant”) exercisable, for cash or on a cashless basis, to purchase, at any time on or before May 17, 2023, all, but not less than all, of 397,502 shares of Class A common stock at a price of $7.50 per share, for a total exercise price of $2,981 and (b) ACM Shanghai agreed to repay the SMC Investment within 60 days after exercise of the SMC Warrant. On March 30, 2018, SMC exercised the SMC Warrant in full and purchased 397,502 shares of Class A common stock (note 12). SMC borrowed the funds to pay the SMC Warrant exercise price pursuant to a senior secured promissory note in the principal amount of $2,981 issued to the Company. The note bears interest at a rate of 3.01% per annum and matures on August 17, 2023 and is secured by a pledge of the shares issued upon exercise of the SMC Warrant. As described in the following paragraph, in the third quarter of 2019 ACM repurchased a total of 154,821 of the SMC Warrant shares from SMC at a per share price of $13.195, of which (a) $1,161 was applied to reduce SMC’s obligations to ACM Shanghai under the SMC Note and the remaining $882 was paid to SMC. In a separate transaction in August, 2019, ACM Shanghai repaid $1,161 of the SMC Investment in cash.</w:t>
      </w:r>
    </w:p>
    <w:p>
      <w:pPr>
        <w:sectPr>
          <w:pgSz w:w="11900" w:h="16838" w:orient="portrait"/>
          <w:cols w:equalWidth="0" w:num="1">
            <w:col w:w="11240"/>
          </w:cols>
          <w:pgMar w:left="320" w:top="121" w:right="339" w:bottom="0" w:gutter="0" w:footer="0" w:header="0"/>
        </w:sectPr>
      </w:pPr>
    </w:p>
    <w:bookmarkStart w:id="97" w:name="page98"/>
    <w:bookmarkEnd w:id="97"/>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August 14, 2019, ACM entered into an equity purchase agreement (the “Equity Purchase Agreement”) under which it agreed to repurchase, at a price per share of $13.195 (the net proceeds per share ACM received in a public offering of Class A common stock, as described in note 12), shares of Class A common stock from certain directors, employees and SMC upon the exercise of the underwriters’ over-allotment option in connection with the public offering in August 2019. The total consideration to the directors, employees and SMC, in exchange for their surrender of an aggregate of 214,286 shares of Class A common stock and cancellation of options to acquire 53,571 shares of Class A common stock (note 14) amounted to a total of $3,403, which was based at a price of $13.195 per share equal to the net proceeds per share ACM received from the over-allotment option in connection with the offering.</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COMMON STOCK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 holders.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On March 30, 2018, SMC exercised the SMC Warrant in full (note 11) to purchase 397,502 shares of Class A common stock.</w:t>
      </w:r>
    </w:p>
    <w:p>
      <w:pPr>
        <w:spacing w:after="0" w:line="26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year ended December 31, 2019, ACM issued 195,297 shares of Class A common stock upon option exercises by employees and non-employees and an additional 35,815 shares of Class A common stock upon conversion of an equal number of shares of Class B common stock. During the year ended December 31, 2018, the Company issued 265,952 shares of Class A common stock upon options exercises by certain employees and</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non-employees and an additional 511,315 shares of Class A common stock upon conversion of an equal number of shares of Class B common stock.</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August 2019, ACM sold a total of 2,053,572 shares of Class A common stock to the public at a price of $14.00 per share for aggregate gross proceeds of $28,750. Net proceeds to ACM excluded an underwriting discount and offering expenses totaling $2,287. As described in note 11, ACM repurchased outstanding shares from certain directors, employees and SMC upon the exercise of the underwriters’ over-allotment option using a portion of ACM’s net proceeds from the public offering for the purpose of share constructive retirement. A total of 214,286 repurchased shares were accounted for share retirement during the year ended December 31, 2019.</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During the year ended December 31, 2019, ACM issued 1,438 shares of Class A common stock upon cashless warrant exercises by non-employees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At December 31, 2019 and 2018, the number of shares of Class A common stock issued and outstanding was 16,182,151 and 14,110,315, respectively. At December 31, 2019 and 2018, the number of shares of Class B common stock issued and outstanding was 1,862,608 and 1,898,423, respectively. During the year ended December 31, 2019, 35,815 shares of Class B common stock were converted into Class A common stock in accordance with their terms.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REDEEMABLE NON-CONTROLLING INTERESTS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discussed in note 1, during the quarter ended September 30, 2019, ACM Shanghai issued to the First Tranche Investors equity in the form of redeemable non-controlling interests, representing 4.2% of the outstanding shares of ACM Shanghai. Two of the First Tranche Investors are entities owned by certain employees of ACM Shanghai (the “Employee Entities”), and the purchase price paid by the Employee Entities represented a discount of 20% from the purchase price paid by the other First Tranche Investors. The discount granted to the Employee Entities is classified as a stock-based compensation which is further discussed in note 14.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to the capital increase agreement with the First Tranche Investors, ACM Shanghai entered into a supplemental agreement (a “First Tranche Supplemental Agreement”) with each of the First Tranche Investors. Under each First Tranche Supplemental Agreement, ACM Shanghai and the First Tranche Investor party thereto agreed to use their respective best efforts to facilitate the completion of the Listing and the STAR IPO within three years from the date on which ACM Shanghai shares were issued to the First Tranche Investors. If, by the end of such three-year period, the Listing and the STAR IPO have not been completed and the China Securities Regulatory Commission has not otherwise approved the registration of ACM Shanghai’s Listing registration application, the First Tranche Investor and ACM Shanghai each will have the right to require that ACM Shanghai repurchase the First Tranche Investor’s shares for a price equal to the initial purchase price paid by the First Tranche Investor, without interest. The Supplemental Agreements will be automatically terminated on the date when ACM Shanghai formally submits the Listing registration application document to the Shanghai Stock Exchange.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quarter ended December 31, 2019, ACM Shanghai issued to the Second Tranche Investors equity in the form of redeemable non-controlling interests. Following the issuance of shares to the Investors, 91.7% of the outstanding shares of ACM Shanghai were owned by ACM, 3.8% were owned by the First Tranche Investors, and 4.5% were owned by the Second Tranche Investors.</w:t>
      </w:r>
    </w:p>
    <w:p>
      <w:pPr>
        <w:spacing w:after="0" w:line="212" w:lineRule="exact"/>
        <w:rPr>
          <w:sz w:val="20"/>
          <w:szCs w:val="20"/>
          <w:color w:val="auto"/>
        </w:rPr>
      </w:pPr>
    </w:p>
    <w:p>
      <w:pPr>
        <w:jc w:val="both"/>
        <w:spacing w:after="0" w:line="245" w:lineRule="exact"/>
        <w:rPr>
          <w:sz w:val="20"/>
          <w:szCs w:val="20"/>
          <w:color w:val="auto"/>
        </w:rPr>
      </w:pPr>
      <w:r>
        <w:rPr>
          <w:rFonts w:ascii="Arial" w:cs="Arial" w:eastAsia="Arial" w:hAnsi="Arial"/>
          <w:sz w:val="19"/>
          <w:szCs w:val="19"/>
          <w:color w:val="auto"/>
        </w:rPr>
        <w:t>In addition to the capital increase agreement with the Second Tranche Investors, ACM Shanghai entered into a supplemental agreement (a “Second Tranche Supplemental Agreement”) with each of the Second Tranche Investors. Under each Second Tranche Supplemental Agreement, if ACM Shanghai does not officially submit application documents for the Listing to the Shanghai Stock Exchange by December 31, 2022, each Second Tranche Investor will have the right to require that ACM Shanghai repurchase, and ACM Shanghai will have the right to require that each Second Tranche Investor sell to ACM Shanghai, such Second Tranche Investor’s ACM Shanghai shares for a price equal to the initial purchase price paid by the Second Tranche Investor, without interest. The Second Tranche Supplemental Agreements will be automatically terminated on the date when ACM Shanghai formally submits the Listing registration application document to the Shanghai Stock Exchange. Because the First Tranche Investors and the Second Tranche Investors have the right to require ACM Shanghai to repurchase their ownership interests in ACM Shanghai at a fixed purchase price, those ownership interests are classified as redeemable non-controlling interests under ASC 480 Distinguishing Liabilities From Equity. The Company has elected to apply the entire adjustment method (income classification) for subsequent measurement in accordance with ASC 480</w:t>
      </w:r>
      <w:r>
        <w:rPr>
          <w:rFonts w:ascii="MS PGothic" w:cs="MS PGothic" w:eastAsia="MS PGothic" w:hAnsi="MS PGothic"/>
          <w:sz w:val="19"/>
          <w:szCs w:val="19"/>
          <w:color w:val="auto"/>
        </w:rPr>
        <w:t>‑</w:t>
      </w:r>
      <w:r>
        <w:rPr>
          <w:rFonts w:ascii="Arial" w:cs="Arial" w:eastAsia="Arial" w:hAnsi="Arial"/>
          <w:sz w:val="19"/>
          <w:szCs w:val="19"/>
          <w:color w:val="auto"/>
        </w:rPr>
        <w:t>10-S99.</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components of the change in the redeemable non-controlling interests for the year ended December 31, 2019 are presented in the following table:</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8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0D0D0D"/>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Increase in redeemable non-controlling interests due to issuance of common stock</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Tranche 1:</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Tranche 2:</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redeemable non-controlling interests</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w w:val="97"/>
              </w:rPr>
              <w:t>Effect of foreign currency translation loss attributable to redeemable non-controlling interests</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57"/>
        </w:trPr>
        <w:tc>
          <w:tcPr>
            <w:tcW w:w="20" w:type="dxa"/>
            <w:vAlign w:val="bottom"/>
          </w:tcPr>
          <w:p>
            <w:pPr>
              <w:spacing w:after="0"/>
              <w:rPr>
                <w:sz w:val="22"/>
                <w:szCs w:val="22"/>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STOCK-BASED COMPENSATION</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Awards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Company’s employee share option activities during the years ended December 31, 2018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Weighed</w:t>
            </w:r>
          </w:p>
        </w:tc>
      </w:tr>
      <w:tr>
        <w:trPr>
          <w:trHeight w:val="216"/>
        </w:trPr>
        <w:tc>
          <w:tcPr>
            <w:tcW w:w="4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74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Average Grant</w:t>
            </w: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Contractual</w:t>
            </w:r>
          </w:p>
        </w:tc>
      </w:tr>
      <w:tr>
        <w:trPr>
          <w:trHeight w:val="241"/>
        </w:trPr>
        <w:tc>
          <w:tcPr>
            <w:tcW w:w="4740" w:type="dxa"/>
            <w:vAlign w:val="bottom"/>
          </w:tcPr>
          <w:p>
            <w:pPr>
              <w:spacing w:after="0"/>
              <w:rPr>
                <w:sz w:val="20"/>
                <w:szCs w:val="20"/>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 Share</w:t>
            </w:r>
          </w:p>
        </w:tc>
        <w:tc>
          <w:tcPr>
            <w:tcW w:w="1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Date Fair Value</w:t>
            </w:r>
          </w:p>
        </w:tc>
        <w:tc>
          <w:tcPr>
            <w:tcW w:w="22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Term</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2,045,616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7.57 years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745,700</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4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4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Expired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4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(131,639)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14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2,503,405</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1440" w:type="dxa"/>
            <w:vAlign w:val="bottom"/>
          </w:tcPr>
          <w:p>
            <w:pPr>
              <w:ind w:left="600"/>
              <w:spacing w:after="0"/>
              <w:rPr>
                <w:sz w:val="20"/>
                <w:szCs w:val="20"/>
                <w:color w:val="auto"/>
              </w:rPr>
            </w:pPr>
            <w:r>
              <w:rPr>
                <w:rFonts w:ascii="Arial" w:cs="Arial" w:eastAsia="Arial" w:hAnsi="Arial"/>
                <w:sz w:val="18"/>
                <w:szCs w:val="18"/>
                <w:color w:val="auto"/>
                <w:w w:val="97"/>
              </w:rPr>
              <w:t>7.30 years</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w:t>
            </w:r>
          </w:p>
        </w:tc>
        <w:tc>
          <w:tcPr>
            <w:tcW w:w="14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(106,768)</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4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4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Forfeited/cancelled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(55,817)</w:t>
            </w: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14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2,994,063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4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7.05 years</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Vested and exercisable at December 31, 2019</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1,773,048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aggregate intrinsic value is calculated as the difference between the exercise price of the underlying awards and the estimated fair value of the underlying stock at each reporting date.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addition to the above share option activities, as mentioned in Note 13, the purchase price paid by the Employee Entities for ACM Shanghai shares was at a discount of 20% from the purchase price paid by the other investors, and there was no vesting condition attached to the subscription. Accordingly, the Company determined the discount as stock based compensation expenses, which amounted to $949, of which $119, $111, $625 and $94 included in costs of revenues, sales and marketing expenses, research and development expenses and general and administrative expenses, respectively, during the year ended December 31, 2019.</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During the years ended December 31, 2019 and 2018, ACM recognized employee stock-based compensation expense of $2,265 and $712, respectively. As of December 31, 2019 and 2018, $4,712 and $2,424, respectively, of total unrecognized employee stock-based compensation expense, net of estimated forfeitures, related to stock-based awards were expected to be recognized over a weighted-average period of 1.47 years and 1.62 years, respectively. Total unrecognized compensation cost may be adjusted for future changes in estimated forfeitures.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fair value of each option granted to employee is estimated on the grant date using the Black-Scholes valuation model with the following assumptions.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2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8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13.64-16.81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5.31-13.85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3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39.91%-40.35%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39.14%-43.00%</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Risk-free interest rate(4)</w:t>
            </w:r>
          </w:p>
        </w:tc>
        <w:tc>
          <w:tcPr>
            <w:tcW w:w="3400" w:type="dxa"/>
            <w:vAlign w:val="bottom"/>
            <w:gridSpan w:val="3"/>
          </w:tcPr>
          <w:p>
            <w:pPr>
              <w:jc w:val="right"/>
              <w:ind w:right="120"/>
              <w:spacing w:after="0"/>
              <w:rPr>
                <w:sz w:val="20"/>
                <w:szCs w:val="20"/>
                <w:color w:val="auto"/>
              </w:rPr>
            </w:pPr>
            <w:r>
              <w:rPr>
                <w:rFonts w:ascii="Arial" w:cs="Arial" w:eastAsia="Arial" w:hAnsi="Arial"/>
                <w:sz w:val="18"/>
                <w:szCs w:val="18"/>
                <w:color w:val="auto"/>
              </w:rPr>
              <w:t>1.69%-2.46%</w:t>
            </w: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2.55%-2.96%</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3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Common stock value was the close market value on the grant date.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according to Staff Accounting Bulletin 110.</w:t>
      </w: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Volatility is calculated based on the historical volatility of ACM’s comparable companies in the period equal to the expected term of each grant.</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Non-employee Awards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summarizes the Company’s non-employee share option activities during the year ended December 31, 2018 and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43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Grant</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 Exercise</w:t>
            </w: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Remaining</w:t>
            </w:r>
          </w:p>
        </w:tc>
      </w:tr>
      <w:tr>
        <w:trPr>
          <w:trHeight w:val="241"/>
        </w:trPr>
        <w:tc>
          <w:tcPr>
            <w:tcW w:w="43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Option Shares</w:t>
            </w: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Date Fair Value</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Contractual Term</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1,326,676</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 years</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(114,302)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Expired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100" w:type="dxa"/>
            <w:vAlign w:val="bottom"/>
          </w:tcPr>
          <w:p>
            <w:pPr>
              <w:jc w:val="right"/>
              <w:spacing w:after="0"/>
              <w:rPr>
                <w:sz w:val="20"/>
                <w:szCs w:val="20"/>
                <w:color w:val="auto"/>
              </w:rPr>
            </w:pPr>
            <w:r>
              <w:rPr>
                <w:rFonts w:ascii="Arial" w:cs="Arial" w:eastAsia="Arial" w:hAnsi="Arial"/>
                <w:sz w:val="18"/>
                <w:szCs w:val="18"/>
                <w:color w:val="auto"/>
              </w:rPr>
              <w:t>1,212,374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6.66 years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(88,529)</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Forfeited/cancelled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(22,232)</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0.82</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 years</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Vested and exercisable at December 31, 2019</w:t>
            </w:r>
          </w:p>
        </w:tc>
        <w:tc>
          <w:tcPr>
            <w:tcW w:w="1100" w:type="dxa"/>
            <w:vAlign w:val="bottom"/>
          </w:tcPr>
          <w:p>
            <w:pPr>
              <w:jc w:val="right"/>
              <w:spacing w:after="0"/>
              <w:rPr>
                <w:sz w:val="20"/>
                <w:szCs w:val="20"/>
                <w:color w:val="auto"/>
              </w:rPr>
            </w:pPr>
            <w:r>
              <w:rPr>
                <w:rFonts w:ascii="Arial" w:cs="Arial" w:eastAsia="Arial" w:hAnsi="Arial"/>
                <w:sz w:val="18"/>
                <w:szCs w:val="18"/>
                <w:color w:val="auto"/>
              </w:rPr>
              <w:t>1,024,017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aggregate intrinsic value is calculated as the difference between the exercise price of the underlying awards and the estimated fair value of the underlying stock at each reporting date.</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adopted ASU 2018-07 on January 1, 2019, and the stock-based compensation expense for grants before the adoption of ASU 2018-07 is based on the grant date fair value as of December 31, 2018, which was the last business day before the Company adopted ASU 2018-07, for all nonemployee awards that have not vested as of December 31, 2018. The cumulative-effect adjustment to retained earnings as of January 1, 2019 was immaterial to the financial statements as a whole. Accordingly, the Company did not record this adjustment as of January 1, 2019. Furthermore, for future awards, compensation expense is based on the fair value of the shares at the grant date.</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During the years ended December 31, 2019 and 2018, the Company recognized non-employee stock-based compensation expense of $1,307 and $2,651, respectively. As of December 31, 2019 and 2018, $406 and $1,713, respectively, of total unrecognized non-employee stock-based compensation expense, net of estimated forfeitures, related to stock-based awards were expected to be recognized over a weighted-average period of 0.23 years and 1.31 years, respectively. Total recognized compensation cost may be adjusted for future changes in estimated forfeitures.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Stock options to acquire 22,232 shares of Class A common stock held by a director were canceled pursuant to the Equity Purchase Agreement (note 11) during the year ended December 31, 2019.</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December 31, 2019, ACM had outstanding stock options to acquire an aggregate of 4,095,676 shares of Class A common stock with an intrinsic value of $52,300. Of those outstanding options, (a) 2,797,062 shares had vested as of December 31, 2019, representing an intrinsic value of $43,400 and (b) 1,298,614 shares were unvested, representing an intrinsic value of $8,900. As of December 31, 2018, ACM had outstanding stock options to acquire an aggregate of 3,715,779 shares of Class A common stock with an intrinsic value of $27,100. Of those outstanding options, (a) 2,273,880 shares had vested as of December 31, 2018, representing an intrinsic value of $20,000, and (b) 1,441,899 shares were unvested, representing an intrinsic value of $7,100.</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represent components of the income tax benefit (expense) for the years ended December 31, 2019 and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Total current tax expense</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(3,176)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state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benefit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income tax benefit (expense)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Tax effects of temporary differences that give rise to significant portions of the Company’s deferred tax assets at December 31, 2019 and 2018 are presented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 forwards (offshore)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operating loss carry forwards (U.S.) and credit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(offshore)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Accruals (U.S.)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 and other (offshore)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 (U.S.)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(U.S.)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(5,155)</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Translation difference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2019 and 2018,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for the United States decreased by $4,465 for the year ended December 31, 2019 and decreased by $278 for the year ended December 31, 2018. The reduction of the U.S. valuation allowance resulted in a one-time tax benefit of $4,033 for the year ended December 31, 2019. The valuation allowance in China increased by $207 and increased by $2 during the years ended December 31, 2019 and 2018, respectively.</w:t>
      </w:r>
    </w:p>
    <w:p>
      <w:pPr>
        <w:sectPr>
          <w:pgSz w:w="11900" w:h="16838" w:orient="portrait"/>
          <w:cols w:equalWidth="0" w:num="1">
            <w:col w:w="11240"/>
          </w:cols>
          <w:pgMar w:left="320" w:top="121"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did not have any significant temporary differences relating to deferred tax liabilities as of December 31, 2019 or 2018.</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December 31, 2019 and 2018, the Company had net operating loss carry-forwards of $12,158 and $15,867 for U.S federal purposes, $634 and $714 for U.S. state purposes and $66 for Chinese income tax purposes, respectively. Such losses are set to start expiring in 2023, 2032, and 2019 for U.S. federal, U.S. state and Chinese income tax purposes, respectively.</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2019 and 2018, the Company had research credit carry-forwards of respectively, $479 and $606 for U.S. federal purposes, and $377 and $377 for U.S. state purposes. Such credits are set to expire in 2025 for U.S. federal carry-forwards. There is no expiration date for U.S. state carry-forwards.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limitation applies to the use of the U.S. net operating loss and credit carry-forwards, under provisions of the U.S. Internal Revenue Code that would be applicable if ACM experiences an “ownership change,” as defined in IRC Section 382. ACM conducted an analysis of its stock ownership under Internal Revenue Code Section 382 and $12 of the net operating loss carryforwards are subject to annual limitation as a result of the ownership change in 2017. The net operating loss carryforwards are not expected to expire before utilization.</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Company’s effective tax rate differs from statutory rates of 21%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in 2016 and again in 2018 with an effective period of three years, and the provision for PRC corporate income tax for ACM Shanghai is calculated by applying the income tax rate of 15% for the years ended December 31, 2019 and 2018.</w:t>
      </w:r>
    </w:p>
    <w:p>
      <w:pPr>
        <w:spacing w:after="0" w:line="184"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Income tax expense for the years ended December 31, 2019 and 2018 differed from the amounts computed by applying the statutory federal income tax rate of 21% to pretax income (loss) as a result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7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42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Effective tax rate reconciliation:</w:t>
            </w:r>
          </w:p>
        </w:tc>
        <w:tc>
          <w:tcPr>
            <w:tcW w:w="4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 at statutory rate</w:t>
            </w:r>
          </w:p>
        </w:tc>
        <w:tc>
          <w:tcPr>
            <w:tcW w:w="5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Foreign rate differential</w:t>
            </w:r>
          </w:p>
        </w:tc>
        <w:tc>
          <w:tcPr>
            <w:tcW w:w="5780" w:type="dxa"/>
            <w:vAlign w:val="bottom"/>
            <w:gridSpan w:val="3"/>
          </w:tcPr>
          <w:p>
            <w:pPr>
              <w:jc w:val="right"/>
              <w:ind w:right="280"/>
              <w:spacing w:after="0"/>
              <w:rPr>
                <w:sz w:val="20"/>
                <w:szCs w:val="20"/>
                <w:color w:val="auto"/>
              </w:rPr>
            </w:pPr>
            <w:r>
              <w:rPr>
                <w:rFonts w:ascii="Arial" w:cs="Arial" w:eastAsia="Arial" w:hAnsi="Arial"/>
                <w:sz w:val="18"/>
                <w:szCs w:val="18"/>
                <w:color w:val="auto"/>
              </w:rPr>
              <w:t>(12.26)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permanent difference</w:t>
            </w:r>
          </w:p>
        </w:tc>
        <w:tc>
          <w:tcPr>
            <w:tcW w:w="5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15.59</w:t>
            </w: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43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(20.19)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r>
      <w:tr>
        <w:trPr>
          <w:trHeight w:val="27"/>
        </w:trPr>
        <w:tc>
          <w:tcPr>
            <w:tcW w:w="4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4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w:t>
            </w:r>
          </w:p>
        </w:tc>
      </w:tr>
      <w:tr>
        <w:trPr>
          <w:trHeight w:val="595"/>
        </w:trPr>
        <w:tc>
          <w:tcPr>
            <w:tcW w:w="4200" w:type="dxa"/>
            <w:vAlign w:val="bottom"/>
          </w:tcPr>
          <w:p>
            <w:pPr>
              <w:spacing w:after="0"/>
              <w:rPr>
                <w:sz w:val="24"/>
                <w:szCs w:val="24"/>
                <w:color w:val="auto"/>
              </w:rPr>
            </w:pPr>
          </w:p>
        </w:tc>
        <w:tc>
          <w:tcPr>
            <w:tcW w:w="4340" w:type="dxa"/>
            <w:vAlign w:val="bottom"/>
          </w:tcPr>
          <w:p>
            <w:pPr>
              <w:jc w:val="right"/>
              <w:ind w:right="2755"/>
              <w:spacing w:after="0"/>
              <w:rPr>
                <w:sz w:val="20"/>
                <w:szCs w:val="20"/>
                <w:color w:val="auto"/>
              </w:rPr>
            </w:pPr>
            <w:r>
              <w:rPr>
                <w:rFonts w:ascii="Arial" w:cs="Arial" w:eastAsia="Arial" w:hAnsi="Arial"/>
                <w:sz w:val="14"/>
                <w:szCs w:val="14"/>
                <w:color w:val="auto"/>
              </w:rPr>
              <w:t>98</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420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years ended December 31, 2019 and 2018,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Year Ended December 31,</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(decrease) of unecognized tax benefits taken in prior years</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of unecognized tax benefits related to current year</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(decrease) of unrecognized tax benefits related to settlements</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to unrecognized tax benefits related to lapsing statute of limitations</w:t>
            </w:r>
          </w:p>
        </w:tc>
        <w:tc>
          <w:tcPr>
            <w:tcW w:w="8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balance</w:t>
            </w:r>
          </w:p>
        </w:tc>
        <w:tc>
          <w:tcPr>
            <w:tcW w:w="840" w:type="dxa"/>
            <w:vAlign w:val="bottom"/>
          </w:tcPr>
          <w:p>
            <w:pPr>
              <w:jc w:val="right"/>
              <w:ind w:right="678"/>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w:t>
            </w:r>
          </w:p>
        </w:tc>
      </w:tr>
      <w:tr>
        <w:trPr>
          <w:trHeight w:val="21"/>
        </w:trPr>
        <w:tc>
          <w:tcPr>
            <w:tcW w:w="8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is subject to taxation in the United States, California and foreign jurisdictions. The federal, state and foreign income tax returns are under the statute of limitations subject to tax examinations for the tax years ended December 31, 2009 through December 31, 2019.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Company had $44 of unrecognized tax benefits as of December 31, 2019 and 2018.</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recognizes interest and penalties related to uncertain tax positions in income tax expense. As of December 31, 2019 and 2018, the Company had $44 of accrued penalties and $44 of accrued penalties related to uncertain tax positions, none of which has been recognized in the Company’s consolidated statements of operations and comprehensive income for the years ended December 31, 2019 and 2018. There were no ongoing examinations by taxing authorities as of December 31, 2019 and 2018.</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intends to indefinitely reinvest the PRC earnings outside of the U.S. as of December 31, 2019 and 2018. Thus, deferred taxes are not provided in the U.S. for unremitted earnings in the PRC.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SEGMENT INFORMATION</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is engaged in the developing, manufacture and sale of single-wafer wet cleaning equipment, which have been organized as one reporting segment as they have substantially similar nature and economic characteristics. The Company’s principal operating decision maker, the Chief Executive Officer, receives and reviews the results of the operations for all major type of equipment as a whole when making decisions about allocating resources and assessing performance of the Company. In accordance with FASB ASC 280-10, the Company is not required to report the segment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COMMITMENTS AND CONTINGENCIES</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leases offices under non-cancelable operating lease agreements. See note 8 for future minimum lease payments under non-cancelable operating lease agreements with initial terms of one year or more.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2019, the Company had $431 of open capital commitments.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the normal course of business, the Company is subject to contingencies, including legal proceedings and environmental claims arising out of the normal course of businesses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Company’s management has evaluated all such proceedings and claims that existed as of December 31, 2019 and 2018. In the opinion of management, the ultimate disposition of these matters will not have a material adverse effect on the Company’s financial position, liquidity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2019, the Company did not have any legal proceedings.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6" w:name="page107"/>
    <w:bookmarkEnd w:id="10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Notes to Consolidated Financial Statements</w:t>
      </w:r>
    </w:p>
    <w:p>
      <w:pPr>
        <w:ind w:left="3560"/>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 SUBSEQUENT EVENTS</w:t>
      </w:r>
    </w:p>
    <w:p>
      <w:pPr>
        <w:spacing w:after="0" w:line="239" w:lineRule="exact"/>
        <w:rPr>
          <w:sz w:val="20"/>
          <w:szCs w:val="20"/>
          <w:color w:val="auto"/>
        </w:rPr>
      </w:pPr>
    </w:p>
    <w:p>
      <w:pPr>
        <w:jc w:val="both"/>
        <w:spacing w:after="0" w:line="245" w:lineRule="exact"/>
        <w:rPr>
          <w:sz w:val="20"/>
          <w:szCs w:val="20"/>
          <w:color w:val="auto"/>
        </w:rPr>
      </w:pPr>
      <w:r>
        <w:rPr>
          <w:rFonts w:ascii="Arial" w:cs="Arial" w:eastAsia="Arial" w:hAnsi="Arial"/>
          <w:sz w:val="19"/>
          <w:szCs w:val="19"/>
          <w:color w:val="auto"/>
        </w:rPr>
        <w:t>The outbreak of COVID</w:t>
      </w:r>
      <w:r>
        <w:rPr>
          <w:rFonts w:ascii="MS PGothic" w:cs="MS PGothic" w:eastAsia="MS PGothic" w:hAnsi="MS PGothic"/>
          <w:sz w:val="19"/>
          <w:szCs w:val="19"/>
          <w:color w:val="auto"/>
        </w:rPr>
        <w:t>‑</w:t>
      </w:r>
      <w:r>
        <w:rPr>
          <w:rFonts w:ascii="Arial" w:cs="Arial" w:eastAsia="Arial" w:hAnsi="Arial"/>
          <w:sz w:val="19"/>
          <w:szCs w:val="19"/>
          <w:color w:val="auto"/>
        </w:rPr>
        <w:t>19, the coronavirus, has grown both in the United States and globally, and related government and private sector responsive actions have adversely affected the Company’s business operations. COVID</w:t>
      </w:r>
      <w:r>
        <w:rPr>
          <w:rFonts w:ascii="MS PGothic" w:cs="MS PGothic" w:eastAsia="MS PGothic" w:hAnsi="MS PGothic"/>
          <w:sz w:val="19"/>
          <w:szCs w:val="19"/>
          <w:color w:val="auto"/>
        </w:rPr>
        <w:t>‑</w:t>
      </w:r>
      <w:r>
        <w:rPr>
          <w:rFonts w:ascii="Arial" w:cs="Arial" w:eastAsia="Arial" w:hAnsi="Arial"/>
          <w:sz w:val="19"/>
          <w:szCs w:val="19"/>
          <w:color w:val="auto"/>
        </w:rPr>
        <w:t>19 originated in Wuhan, China, in December 2019, and a series of emergency quarantine measures taken by the PRC government disrupted domestic business activities in the PRC during the weeks after the initial outbreak of COVID</w:t>
      </w:r>
      <w:r>
        <w:rPr>
          <w:rFonts w:ascii="MS PGothic" w:cs="MS PGothic" w:eastAsia="MS PGothic" w:hAnsi="MS PGothic"/>
          <w:sz w:val="19"/>
          <w:szCs w:val="19"/>
          <w:color w:val="auto"/>
        </w:rPr>
        <w:t>‑</w:t>
      </w:r>
      <w:r>
        <w:rPr>
          <w:rFonts w:ascii="Arial" w:cs="Arial" w:eastAsia="Arial" w:hAnsi="Arial"/>
          <w:sz w:val="19"/>
          <w:szCs w:val="19"/>
          <w:color w:val="auto"/>
        </w:rPr>
        <w:t>19. Since that time, an increasing number of countries, including the United States, have imposed restrictions on travel to and from the PRC and elsewhere, as well as general movement restrictions, business closures and other measures imposed to slow the spread of COVID</w:t>
      </w:r>
      <w:r>
        <w:rPr>
          <w:rFonts w:ascii="MS PGothic" w:cs="MS PGothic" w:eastAsia="MS PGothic" w:hAnsi="MS PGothic"/>
          <w:sz w:val="19"/>
          <w:szCs w:val="19"/>
          <w:color w:val="auto"/>
        </w:rPr>
        <w:t>‑</w:t>
      </w:r>
      <w:r>
        <w:rPr>
          <w:rFonts w:ascii="Arial" w:cs="Arial" w:eastAsia="Arial" w:hAnsi="Arial"/>
          <w:sz w:val="19"/>
          <w:szCs w:val="19"/>
          <w:color w:val="auto"/>
        </w:rPr>
        <w:t>19. The situation continues to develop rapidly, however, and it is impossible to predict the effect and ultimate impact of the COVID</w:t>
      </w:r>
      <w:r>
        <w:rPr>
          <w:rFonts w:ascii="MS PGothic" w:cs="MS PGothic" w:eastAsia="MS PGothic" w:hAnsi="MS PGothic"/>
          <w:sz w:val="19"/>
          <w:szCs w:val="19"/>
          <w:color w:val="auto"/>
        </w:rPr>
        <w:t>‑</w:t>
      </w:r>
      <w:r>
        <w:rPr>
          <w:rFonts w:ascii="Arial" w:cs="Arial" w:eastAsia="Arial" w:hAnsi="Arial"/>
          <w:sz w:val="19"/>
          <w:szCs w:val="19"/>
          <w:color w:val="auto"/>
        </w:rPr>
        <w:t>19 outbreak on the Company’s business operations and results. While the quarantine, social distancing and other regulatory measures instituted or recommended in response to COVID</w:t>
      </w:r>
      <w:r>
        <w:rPr>
          <w:rFonts w:ascii="MS PGothic" w:cs="MS PGothic" w:eastAsia="MS PGothic" w:hAnsi="MS PGothic"/>
          <w:sz w:val="19"/>
          <w:szCs w:val="19"/>
          <w:color w:val="auto"/>
        </w:rPr>
        <w:t>‑</w:t>
      </w:r>
      <w:r>
        <w:rPr>
          <w:rFonts w:ascii="Arial" w:cs="Arial" w:eastAsia="Arial" w:hAnsi="Arial"/>
          <w:sz w:val="19"/>
          <w:szCs w:val="19"/>
          <w:color w:val="auto"/>
        </w:rPr>
        <w:t>19 are expected to be temporary, the duration of the business disruptions, and related financial impact, cannot be estimated at this time. The COVID</w:t>
      </w:r>
      <w:r>
        <w:rPr>
          <w:rFonts w:ascii="MS PGothic" w:cs="MS PGothic" w:eastAsia="MS PGothic" w:hAnsi="MS PGothic"/>
          <w:sz w:val="19"/>
          <w:szCs w:val="19"/>
          <w:color w:val="auto"/>
        </w:rPr>
        <w:t>‑</w:t>
      </w:r>
      <w:r>
        <w:rPr>
          <w:rFonts w:ascii="Arial" w:cs="Arial" w:eastAsia="Arial" w:hAnsi="Arial"/>
          <w:sz w:val="19"/>
          <w:szCs w:val="19"/>
          <w:color w:val="auto"/>
        </w:rPr>
        <w:t>19 outbreak could evolve into a worldwide health crisis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 RESTRICTED NET ASSETS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accordance with the PRC’s Foreign Enterprise Law, ACM Shanghai and ACM Wuxi are required to make contributions to a statutory surplus reserve (note 2).</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a result of PRC laws and regulations that require annual appropriations of 10% of net after-tax profits to be set aside prior to payment of dividends as a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$113,168 and $32,076 as of December 31, 2019 and 2018.</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20 – PARENT COMPANY ONLY CONDENSED FINANCIAL INFORMATION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ACM’s subsidiaries did not pay any dividends to ACM during the periods presented.</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ACM did not have significant capital or other commitments, long-term obligations, or guarantees as of December 31, 2019 and 2018.</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represents condensed unconsolidated financial information of ACM only as of and for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 and 2018:</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tbl>
      <w:tblPr>
        <w:tblLayout w:type="fixed"/>
        <w:tblInd w:w="0" w:type="dxa"/>
        <w:tblCellMar>
          <w:top w:w="0" w:type="dxa"/>
          <w:left w:w="0" w:type="dxa"/>
          <w:bottom w:w="0" w:type="dxa"/>
          <w:right w:w="0" w:type="dxa"/>
        </w:tblCellMar>
      </w:tblPr>
      <w:tr>
        <w:trPr>
          <w:trHeight w:val="239"/>
        </w:trPr>
        <w:tc>
          <w:tcPr>
            <w:tcW w:w="7860" w:type="dxa"/>
            <w:vAlign w:val="bottom"/>
            <w:gridSpan w:val="9"/>
          </w:tcPr>
          <w:p>
            <w:pPr>
              <w:jc w:val="center"/>
              <w:ind w:left="3288"/>
              <w:spacing w:after="0" w:line="239" w:lineRule="exact"/>
              <w:rPr>
                <w:sz w:val="20"/>
                <w:szCs w:val="20"/>
                <w:color w:val="auto"/>
              </w:rPr>
            </w:pPr>
            <w:r>
              <w:rPr>
                <w:rFonts w:ascii="Arial" w:cs="Arial" w:eastAsia="Arial" w:hAnsi="Arial"/>
                <w:sz w:val="22"/>
                <w:szCs w:val="22"/>
                <w:b w:val="1"/>
                <w:bCs w:val="1"/>
                <w:color w:val="auto"/>
                <w:w w:val="87"/>
              </w:rPr>
              <w:t>Notes to Consolidated Financial Statements</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860" w:type="dxa"/>
            <w:vAlign w:val="bottom"/>
            <w:gridSpan w:val="9"/>
          </w:tcPr>
          <w:p>
            <w:pPr>
              <w:jc w:val="center"/>
              <w:ind w:left="3288"/>
              <w:spacing w:after="0"/>
              <w:rPr>
                <w:sz w:val="20"/>
                <w:szCs w:val="20"/>
                <w:color w:val="auto"/>
              </w:rPr>
            </w:pPr>
            <w:r>
              <w:rPr>
                <w:rFonts w:ascii="Arial" w:cs="Arial" w:eastAsia="Arial" w:hAnsi="Arial"/>
                <w:sz w:val="22"/>
                <w:szCs w:val="22"/>
                <w:i w:val="1"/>
                <w:iCs w:val="1"/>
                <w:color w:val="auto"/>
                <w:w w:val="87"/>
              </w:rPr>
              <w:t>(in thousands, except share and per share data)</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5120" w:type="dxa"/>
            <w:vAlign w:val="bottom"/>
          </w:tcPr>
          <w:p>
            <w:pPr>
              <w:spacing w:after="0"/>
              <w:rPr>
                <w:sz w:val="20"/>
                <w:szCs w:val="20"/>
                <w:color w:val="auto"/>
              </w:rPr>
            </w:pPr>
            <w:r>
              <w:rPr>
                <w:rFonts w:ascii="Arial" w:cs="Arial" w:eastAsia="Arial" w:hAnsi="Arial"/>
                <w:sz w:val="22"/>
                <w:szCs w:val="22"/>
                <w:b w:val="1"/>
                <w:bCs w:val="1"/>
                <w:color w:val="auto"/>
              </w:rPr>
              <w:t>CONDENSED BALANCE SHEET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36"/>
              <w:spacing w:after="0" w:line="201" w:lineRule="exact"/>
              <w:rPr>
                <w:sz w:val="20"/>
                <w:szCs w:val="20"/>
                <w:color w:val="auto"/>
              </w:rPr>
            </w:pPr>
            <w:r>
              <w:rPr>
                <w:rFonts w:ascii="Arial" w:cs="Arial" w:eastAsia="Arial" w:hAnsi="Arial"/>
                <w:sz w:val="18"/>
                <w:szCs w:val="18"/>
                <w:color w:val="auto"/>
              </w:rPr>
              <w:t>(in</w:t>
            </w:r>
          </w:p>
        </w:tc>
        <w:tc>
          <w:tcPr>
            <w:tcW w:w="1240" w:type="dxa"/>
            <w:vAlign w:val="bottom"/>
            <w:gridSpan w:val="3"/>
          </w:tcPr>
          <w:p>
            <w:pPr>
              <w:jc w:val="right"/>
              <w:ind w:right="650"/>
              <w:spacing w:after="0"/>
              <w:rPr>
                <w:sz w:val="20"/>
                <w:szCs w:val="20"/>
                <w:color w:val="auto"/>
              </w:rPr>
            </w:pPr>
            <w:r>
              <w:rPr>
                <w:rFonts w:ascii="Arial" w:cs="Arial" w:eastAsia="Arial" w:hAnsi="Arial"/>
                <w:sz w:val="13"/>
                <w:szCs w:val="13"/>
                <w:color w:val="auto"/>
                <w:w w:val="74"/>
              </w:rPr>
              <w:t>thousands)</w:t>
            </w: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27,733</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13,161</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Due from intercompany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4,542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14,494</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32,724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29,533</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unconsolidated subsidiaries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68,527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26,861</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101,251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56,394</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Other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3,129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4,856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96,395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52,325</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
              <w:spacing w:after="0"/>
              <w:rPr>
                <w:sz w:val="20"/>
                <w:szCs w:val="20"/>
                <w:color w:val="auto"/>
              </w:rPr>
            </w:pPr>
            <w:r>
              <w:rPr>
                <w:rFonts w:ascii="Arial" w:cs="Arial" w:eastAsia="Arial" w:hAnsi="Arial"/>
                <w:sz w:val="18"/>
                <w:szCs w:val="18"/>
                <w:color w:val="auto"/>
              </w:rPr>
              <w:t>101,251</w:t>
            </w: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56,394</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22"/>
                <w:szCs w:val="22"/>
                <w:b w:val="1"/>
                <w:bCs w:val="1"/>
                <w:color w:val="auto"/>
              </w:rPr>
              <w:t>CONDENSED STATEMENT OF OPERATIONS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5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1"/>
              </w:rPr>
              <w:t>Year Ended December 31,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(in</w:t>
            </w:r>
          </w:p>
        </w:tc>
        <w:tc>
          <w:tcPr>
            <w:tcW w:w="640" w:type="dxa"/>
            <w:vAlign w:val="bottom"/>
            <w:gridSpan w:val="3"/>
          </w:tcPr>
          <w:p>
            <w:pPr>
              <w:jc w:val="center"/>
              <w:ind w:right="20"/>
              <w:spacing w:after="0"/>
              <w:rPr>
                <w:sz w:val="20"/>
                <w:szCs w:val="20"/>
                <w:color w:val="auto"/>
              </w:rPr>
            </w:pPr>
            <w:r>
              <w:rPr>
                <w:rFonts w:ascii="Arial" w:cs="Arial" w:eastAsia="Arial" w:hAnsi="Arial"/>
                <w:sz w:val="17"/>
                <w:szCs w:val="17"/>
                <w:color w:val="auto"/>
                <w:w w:val="73"/>
              </w:rPr>
              <w:t>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w:t>
            </w: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25,506</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6"/>
              <w:spacing w:after="0"/>
              <w:rPr>
                <w:sz w:val="20"/>
                <w:szCs w:val="20"/>
                <w:color w:val="auto"/>
              </w:rPr>
            </w:pPr>
            <w:r>
              <w:rPr>
                <w:rFonts w:ascii="Arial" w:cs="Arial" w:eastAsia="Arial" w:hAnsi="Arial"/>
                <w:sz w:val="18"/>
                <w:szCs w:val="18"/>
                <w:color w:val="auto"/>
              </w:rPr>
              <w:t>(10,036)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(23,927)</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(5,083)</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
              <w:spacing w:after="0"/>
              <w:rPr>
                <w:sz w:val="20"/>
                <w:szCs w:val="20"/>
                <w:color w:val="auto"/>
              </w:rPr>
            </w:pPr>
            <w:r>
              <w:rPr>
                <w:rFonts w:ascii="Arial" w:cs="Arial" w:eastAsia="Arial" w:hAnsi="Arial"/>
                <w:sz w:val="18"/>
                <w:szCs w:val="18"/>
                <w:color w:val="auto"/>
              </w:rPr>
              <w:t>(3,958)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(4,060)</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subsidiaries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10,360</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Arial" w:cs="Arial" w:eastAsia="Arial" w:hAnsi="Arial"/>
                <w:sz w:val="18"/>
                <w:szCs w:val="18"/>
                <w:color w:val="auto"/>
              </w:rPr>
              <w:t>Non-operating income (expense), net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0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shd w:val="clear" w:color="auto" w:fill="CCEEFF"/>
          </w:tcPr>
          <w:p>
            <w:pPr>
              <w:spacing w:after="0"/>
              <w:rPr>
                <w:sz w:val="22"/>
                <w:szCs w:val="22"/>
                <w:color w:val="auto"/>
              </w:rPr>
            </w:pP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371"/>
              <w:spacing w:after="0"/>
              <w:rPr>
                <w:sz w:val="20"/>
                <w:szCs w:val="20"/>
                <w:color w:val="auto"/>
              </w:rPr>
            </w:pPr>
            <w:r>
              <w:rPr>
                <w:rFonts w:ascii="Arial" w:cs="Arial" w:eastAsia="Arial" w:hAnsi="Arial"/>
                <w:sz w:val="14"/>
                <w:szCs w:val="14"/>
                <w:color w:val="auto"/>
                <w:w w:val="94"/>
              </w:rPr>
              <w:t>101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tbl>
      <w:tblPr>
        <w:tblLayout w:type="fixed"/>
        <w:tblInd w:w="0" w:type="dxa"/>
        <w:tblCellMar>
          <w:top w:w="0" w:type="dxa"/>
          <w:left w:w="0" w:type="dxa"/>
          <w:bottom w:w="0" w:type="dxa"/>
          <w:right w:w="0" w:type="dxa"/>
        </w:tblCellMar>
      </w:tblPr>
      <w:tr>
        <w:trPr>
          <w:trHeight w:val="239"/>
        </w:trPr>
        <w:tc>
          <w:tcPr>
            <w:tcW w:w="7860" w:type="dxa"/>
            <w:vAlign w:val="bottom"/>
            <w:gridSpan w:val="8"/>
          </w:tcPr>
          <w:p>
            <w:pPr>
              <w:jc w:val="center"/>
              <w:ind w:left="3285"/>
              <w:spacing w:after="0" w:line="239" w:lineRule="exact"/>
              <w:rPr>
                <w:sz w:val="20"/>
                <w:szCs w:val="20"/>
                <w:color w:val="auto"/>
              </w:rPr>
            </w:pPr>
            <w:r>
              <w:rPr>
                <w:rFonts w:ascii="Arial" w:cs="Arial" w:eastAsia="Arial" w:hAnsi="Arial"/>
                <w:sz w:val="22"/>
                <w:szCs w:val="22"/>
                <w:b w:val="1"/>
                <w:bCs w:val="1"/>
                <w:color w:val="auto"/>
                <w:w w:val="87"/>
              </w:rPr>
              <w:t>Notes to Consolidated Financial Statements</w:t>
            </w:r>
          </w:p>
        </w:tc>
        <w:tc>
          <w:tcPr>
            <w:tcW w:w="3380" w:type="dxa"/>
            <w:vAlign w:val="bottom"/>
          </w:tcPr>
          <w:p>
            <w:pPr>
              <w:spacing w:after="0"/>
              <w:rPr>
                <w:sz w:val="20"/>
                <w:szCs w:val="20"/>
                <w:color w:val="auto"/>
              </w:rPr>
            </w:pPr>
          </w:p>
        </w:tc>
      </w:tr>
      <w:tr>
        <w:trPr>
          <w:trHeight w:val="274"/>
        </w:trPr>
        <w:tc>
          <w:tcPr>
            <w:tcW w:w="7860" w:type="dxa"/>
            <w:vAlign w:val="bottom"/>
            <w:gridSpan w:val="8"/>
          </w:tcPr>
          <w:p>
            <w:pPr>
              <w:jc w:val="center"/>
              <w:ind w:left="3285"/>
              <w:spacing w:after="0"/>
              <w:rPr>
                <w:sz w:val="20"/>
                <w:szCs w:val="20"/>
                <w:color w:val="auto"/>
              </w:rPr>
            </w:pPr>
            <w:r>
              <w:rPr>
                <w:rFonts w:ascii="Arial" w:cs="Arial" w:eastAsia="Arial" w:hAnsi="Arial"/>
                <w:sz w:val="22"/>
                <w:szCs w:val="22"/>
                <w:i w:val="1"/>
                <w:iCs w:val="1"/>
                <w:color w:val="auto"/>
                <w:w w:val="87"/>
              </w:rPr>
              <w:t>(in thousands, except share and per share data)</w:t>
            </w:r>
          </w:p>
        </w:tc>
        <w:tc>
          <w:tcPr>
            <w:tcW w:w="3380" w:type="dxa"/>
            <w:vAlign w:val="bottom"/>
          </w:tcPr>
          <w:p>
            <w:pPr>
              <w:spacing w:after="0"/>
              <w:rPr>
                <w:sz w:val="23"/>
                <w:szCs w:val="23"/>
                <w:color w:val="auto"/>
              </w:rPr>
            </w:pPr>
          </w:p>
        </w:tc>
      </w:tr>
      <w:tr>
        <w:trPr>
          <w:trHeight w:val="486"/>
        </w:trPr>
        <w:tc>
          <w:tcPr>
            <w:tcW w:w="5120" w:type="dxa"/>
            <w:vAlign w:val="bottom"/>
          </w:tcPr>
          <w:p>
            <w:pPr>
              <w:spacing w:after="0"/>
              <w:rPr>
                <w:sz w:val="20"/>
                <w:szCs w:val="20"/>
                <w:color w:val="auto"/>
              </w:rPr>
            </w:pPr>
            <w:r>
              <w:rPr>
                <w:rFonts w:ascii="Arial" w:cs="Arial" w:eastAsia="Arial" w:hAnsi="Arial"/>
                <w:sz w:val="22"/>
                <w:szCs w:val="22"/>
                <w:b w:val="1"/>
                <w:bCs w:val="1"/>
                <w:color w:val="auto"/>
              </w:rPr>
              <w:t>CONDENSED STATEMENT OF CASH FLOWS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56"/>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Year Ended December 31,</w:t>
            </w:r>
          </w:p>
        </w:tc>
        <w:tc>
          <w:tcPr>
            <w:tcW w:w="3380" w:type="dxa"/>
            <w:vAlign w:val="bottom"/>
          </w:tcPr>
          <w:p>
            <w:pPr>
              <w:spacing w:after="0"/>
              <w:rPr>
                <w:sz w:val="24"/>
                <w:szCs w:val="24"/>
                <w:color w:val="auto"/>
              </w:rPr>
            </w:pPr>
          </w:p>
        </w:tc>
      </w:tr>
      <w:tr>
        <w:trPr>
          <w:trHeight w:val="223"/>
        </w:trPr>
        <w:tc>
          <w:tcPr>
            <w:tcW w:w="5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(in</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w w:val="71"/>
              </w:rPr>
              <w:t>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w:t>
            </w:r>
          </w:p>
        </w:tc>
        <w:tc>
          <w:tcPr>
            <w:tcW w:w="338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3380" w:type="dxa"/>
            <w:vAlign w:val="bottom"/>
          </w:tcPr>
          <w:p>
            <w:pPr>
              <w:spacing w:after="0"/>
              <w:rPr>
                <w:sz w:val="18"/>
                <w:szCs w:val="18"/>
                <w:color w:val="auto"/>
              </w:rPr>
            </w:pPr>
          </w:p>
        </w:tc>
      </w:tr>
      <w:tr>
        <w:trPr>
          <w:trHeight w:val="223"/>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19"/>
                <w:szCs w:val="19"/>
                <w:color w:val="auto"/>
              </w:rPr>
            </w:pPr>
          </w:p>
        </w:tc>
        <w:tc>
          <w:tcPr>
            <w:tcW w:w="3380" w:type="dxa"/>
            <w:vAlign w:val="bottom"/>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3,267</w:t>
            </w:r>
          </w:p>
        </w:tc>
        <w:tc>
          <w:tcPr>
            <w:tcW w:w="33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10,874</w:t>
            </w:r>
          </w:p>
        </w:tc>
        <w:tc>
          <w:tcPr>
            <w:tcW w:w="3380" w:type="dxa"/>
            <w:vAlign w:val="bottom"/>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3380" w:type="dxa"/>
            <w:vAlign w:val="bottom"/>
          </w:tcPr>
          <w:p>
            <w:pPr>
              <w:spacing w:after="0"/>
              <w:rPr>
                <w:sz w:val="19"/>
                <w:szCs w:val="19"/>
                <w:color w:val="auto"/>
              </w:rPr>
            </w:pPr>
          </w:p>
        </w:tc>
      </w:tr>
      <w:tr>
        <w:trPr>
          <w:trHeight w:val="257"/>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100" w:type="dxa"/>
            <w:vAlign w:val="bottom"/>
            <w:tcBorders>
              <w:bottom w:val="single" w:sz="8" w:color="CCEEFF"/>
            </w:tcBorders>
            <w:shd w:val="clear" w:color="auto" w:fill="CCEEFF"/>
          </w:tcPr>
          <w:p>
            <w:pPr>
              <w:spacing w:after="0"/>
              <w:rPr>
                <w:sz w:val="22"/>
                <w:szCs w:val="22"/>
                <w:color w:val="auto"/>
              </w:rPr>
            </w:pPr>
          </w:p>
        </w:tc>
        <w:tc>
          <w:tcPr>
            <w:tcW w:w="3380" w:type="dxa"/>
            <w:vAlign w:val="bottom"/>
          </w:tcPr>
          <w:p>
            <w:pPr>
              <w:spacing w:after="0"/>
              <w:rPr>
                <w:sz w:val="22"/>
                <w:szCs w:val="22"/>
                <w:color w:val="auto"/>
              </w:rPr>
            </w:pPr>
          </w:p>
        </w:tc>
      </w:tr>
      <w:tr>
        <w:trPr>
          <w:trHeight w:val="589"/>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292"/>
              <w:spacing w:after="0"/>
              <w:rPr>
                <w:sz w:val="20"/>
                <w:szCs w:val="20"/>
                <w:color w:val="auto"/>
              </w:rPr>
            </w:pPr>
            <w:r>
              <w:rPr>
                <w:rFonts w:ascii="Arial" w:cs="Arial" w:eastAsia="Arial" w:hAnsi="Arial"/>
                <w:sz w:val="14"/>
                <w:szCs w:val="14"/>
                <w:color w:val="auto"/>
                <w:w w:val="94"/>
              </w:rPr>
              <w:t>102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6"/>
        </w:trPr>
        <w:tc>
          <w:tcPr>
            <w:tcW w:w="5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Evaluation of Disclosure Controls and Procedures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management, with the participation of our Chief Executive Officer and Chief Financial Officer, evaluated the effectiveness of our company’s disclosure controls and procedures pursuant to Rule 13a-15 under the Securities Exchange Act of 1934, or the Exchange Act, as of December 31, 2019.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The effectiveness of the disclosure controls and procedures is also necessarily limited by the staff and other resources available to management and the geographic diversity of our company’s operations.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Based on that evaluation, our Chief Executive Officer and Chief Financial Officer concluded that, as of December 31, 2019, our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Management’s Report on Internal Control Over Financial Reporting</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The Company’s internal control over financial reporting includes those policies and procedures that:</w:t>
      </w:r>
    </w:p>
    <w:p>
      <w:pPr>
        <w:spacing w:after="0" w:line="5" w:lineRule="exact"/>
        <w:rPr>
          <w:sz w:val="20"/>
          <w:szCs w:val="20"/>
          <w:color w:val="auto"/>
        </w:rPr>
      </w:pPr>
    </w:p>
    <w:p>
      <w:pPr>
        <w:ind w:left="660" w:hanging="328"/>
        <w:spacing w:after="0" w:line="24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jc w:val="both"/>
        <w:ind w:left="660" w:hanging="328"/>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our company; and</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management, with the participation of our Chief Executive Officer and Chief Financial Officer, assessed the effectiveness of our internal control over financial reporting as of December 31, 2019.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2019.</w:t>
      </w:r>
    </w:p>
    <w:p>
      <w:pPr>
        <w:spacing w:after="0" w:line="214"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This report does not include an attestation report of our independent registered public accounting firm due to a transition period established by rules of the Securities and Exchange Commission for “emerging growth companies.”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 and Remediation Efforts</w:t>
      </w: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 changes were identified to our internal control over financial reporting during the quarter ended December 31, 2019 that have materially affected, or are reasonably likely to materially affect, our internal control over financial reporting. We will continue to review and document our disclosure controls and procedures, including our internal control over financial reporting and may from time to time make changes to enhance their effectiveness and ensure that our systems evolve with our business.</w:t>
      </w:r>
    </w:p>
    <w:p>
      <w:pPr>
        <w:spacing w:after="0" w:line="16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1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4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Information responsive to this item is incorporated herein by reference to our definitive proxy statement with respect to our 2020 Annual Meeting of Stockholders to be filed with the SEC within 120 days after the end of the fiscal year covered by this report.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00" w:lineRule="exact"/>
        <w:rPr>
          <w:sz w:val="20"/>
          <w:szCs w:val="20"/>
          <w:color w:val="auto"/>
        </w:rPr>
      </w:pPr>
    </w:p>
    <w:p>
      <w:pPr>
        <w:spacing w:after="0" w:line="2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6"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See “Item 8. Financial Statements and Supplementary Data – Index to Consolidated Financial Statements” above and “Exhibit Index” below.</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9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9900" w:type="dxa"/>
            <w:vAlign w:val="bottom"/>
            <w:tcBorders>
              <w:bottom w:val="single" w:sz="8" w:color="auto"/>
            </w:tcBorders>
          </w:tcPr>
          <w:p>
            <w:pPr>
              <w:jc w:val="right"/>
              <w:ind w:right="441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tcPr>
          <w:p>
            <w:pPr>
              <w:spacing w:after="0"/>
              <w:rPr>
                <w:sz w:val="18"/>
                <w:szCs w:val="18"/>
                <w:color w:val="auto"/>
              </w:rPr>
            </w:pPr>
          </w:p>
        </w:tc>
      </w:tr>
      <w:tr>
        <w:trPr>
          <w:trHeight w:val="17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3.</w:t>
              </w:r>
              <w:r>
                <w:rPr>
                  <w:rFonts w:ascii="Arial" w:cs="Arial" w:eastAsia="Arial" w:hAnsi="Arial"/>
                  <w:sz w:val="18"/>
                  <w:szCs w:val="18"/>
                  <w:u w:val="single" w:color="auto"/>
                  <w:color w:val="0000EE"/>
                </w:rPr>
                <w:t>01</w:t>
              </w:r>
            </w:hyperlink>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Restated Certificate of Incorporation of ACM Research, Inc.</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0" w:type="dxa"/>
            <w:vAlign w:val="bottom"/>
            <w:gridSpan w:val="2"/>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3.</w:t>
              </w:r>
              <w:r>
                <w:rPr>
                  <w:rFonts w:ascii="Arial" w:cs="Arial" w:eastAsia="Arial" w:hAnsi="Arial"/>
                  <w:sz w:val="18"/>
                  <w:szCs w:val="18"/>
                  <w:u w:val="single" w:color="auto"/>
                  <w:color w:val="0000EE"/>
                </w:rPr>
                <w:t>02</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Restated Bylaws of ACM Research, Inc.</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75"/>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4.</w:t>
              </w:r>
              <w:r>
                <w:rPr>
                  <w:rFonts w:ascii="Arial" w:cs="Arial" w:eastAsia="Arial" w:hAnsi="Arial"/>
                  <w:sz w:val="18"/>
                  <w:szCs w:val="18"/>
                  <w:u w:val="single" w:color="auto"/>
                  <w:color w:val="0000EE"/>
                </w:rPr>
                <w:t>01</w:t>
              </w:r>
            </w:hyperlink>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Senior Secured Promissory Note dated March 30, 2018 issued by Shengxin (Shanghai) Management Consulting Limited Partnership to</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ACM Research (Shanghai), Inc.</w:t>
            </w:r>
          </w:p>
        </w:tc>
      </w:tr>
      <w:tr>
        <w:trPr>
          <w:trHeight w:val="176"/>
        </w:trPr>
        <w:tc>
          <w:tcPr>
            <w:tcW w:w="400" w:type="dxa"/>
            <w:vAlign w:val="bottom"/>
            <w:gridSpan w:val="2"/>
          </w:tcPr>
          <w:p>
            <w:pPr>
              <w:spacing w:after="0" w:line="176" w:lineRule="exact"/>
              <w:rPr>
                <w:rFonts w:ascii="Arial" w:cs="Arial" w:eastAsia="Arial" w:hAnsi="Arial"/>
                <w:sz w:val="18"/>
                <w:szCs w:val="18"/>
                <w:color w:val="0000EE"/>
              </w:rPr>
            </w:pPr>
            <w:hyperlink r:id="rId125">
              <w:r>
                <w:rPr>
                  <w:rFonts w:ascii="Arial" w:cs="Arial" w:eastAsia="Arial" w:hAnsi="Arial"/>
                  <w:sz w:val="18"/>
                  <w:szCs w:val="18"/>
                  <w:color w:val="0000EE"/>
                </w:rPr>
                <w:t>4.</w:t>
              </w:r>
              <w:r>
                <w:rPr>
                  <w:rFonts w:ascii="Arial" w:cs="Arial" w:eastAsia="Arial" w:hAnsi="Arial"/>
                  <w:sz w:val="18"/>
                  <w:szCs w:val="18"/>
                  <w:u w:val="single" w:color="auto"/>
                  <w:color w:val="0000EE"/>
                </w:rPr>
                <w:t>02</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Intercompany Promissory Note dated March 30, 2018 issued by ACM Research (Shanghai), Inc. to ACM Research, Inc.</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7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4.</w:t>
              </w:r>
              <w:r>
                <w:rPr>
                  <w:rFonts w:ascii="Arial" w:cs="Arial" w:eastAsia="Arial" w:hAnsi="Arial"/>
                  <w:sz w:val="18"/>
                  <w:szCs w:val="18"/>
                  <w:u w:val="single" w:color="auto"/>
                  <w:color w:val="0000EE"/>
                </w:rPr>
                <w:t>03</w:t>
              </w:r>
            </w:hyperlink>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Warrant Exercise Agreement dated March 30, 2018 by and among ACM Research, Inc., ACM Research (Shanghai), Inc., and Shengxin</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(Shanghai) Management Consulting Limited Partnership</w:t>
            </w:r>
          </w:p>
        </w:tc>
      </w:tr>
      <w:tr>
        <w:trPr>
          <w:trHeight w:val="175"/>
        </w:trPr>
        <w:tc>
          <w:tcPr>
            <w:tcW w:w="1240" w:type="dxa"/>
            <w:vAlign w:val="bottom"/>
            <w:gridSpan w:val="5"/>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01(a)</w:t>
              </w:r>
            </w:hyperlink>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Lease dated March 22, 2017 between ACM Research, Inc. and D&amp;J Construction, Inc.</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1240" w:type="dxa"/>
            <w:vAlign w:val="bottom"/>
            <w:gridSpan w:val="5"/>
            <w:shd w:val="clear" w:color="auto" w:fill="CCEEFF"/>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01(b)</w:t>
              </w:r>
            </w:hyperlink>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Lease Amendment dated February 28, 2018 between ACM Research, Inc. and D&amp;J Construction, Inc.</w:t>
            </w:r>
          </w:p>
        </w:tc>
      </w:tr>
      <w:tr>
        <w:trPr>
          <w:trHeight w:val="176"/>
        </w:trPr>
        <w:tc>
          <w:tcPr>
            <w:tcW w:w="620" w:type="dxa"/>
            <w:vAlign w:val="bottom"/>
            <w:tcBorders>
              <w:top w:val="single" w:sz="8" w:color="0000EE"/>
              <w:bottom w:val="single" w:sz="8" w:color="0000EE"/>
            </w:tcBorders>
            <w:gridSpan w:val="4"/>
          </w:tcPr>
          <w:p>
            <w:pPr>
              <w:spacing w:after="0" w:line="17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01(c)</w:t>
              </w:r>
            </w:hyperlink>
          </w:p>
        </w:tc>
        <w:tc>
          <w:tcPr>
            <w:tcW w:w="620" w:type="dxa"/>
            <w:vAlign w:val="bottom"/>
            <w:tcBorders>
              <w:top w:val="single" w:sz="8" w:color="CCEEFF"/>
            </w:tcBorders>
          </w:tcPr>
          <w:p>
            <w:pPr>
              <w:spacing w:after="0"/>
              <w:rPr>
                <w:sz w:val="15"/>
                <w:szCs w:val="15"/>
                <w:color w:val="auto"/>
              </w:rPr>
            </w:pPr>
          </w:p>
        </w:tc>
        <w:tc>
          <w:tcPr>
            <w:tcW w:w="1000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Lease Amendment dated February 4, 2019 between ACM Research, Inc. and D&amp;J Construction, Inc.</w:t>
            </w: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02</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Lease Agreement dated April 26, 2018 between ACM Research (Shanghai), Inc. and Shanghai Zhangjiang Group Co., Ltd.</w:t>
            </w:r>
          </w:p>
        </w:tc>
      </w:tr>
      <w:tr>
        <w:trPr>
          <w:trHeight w:val="176"/>
        </w:trPr>
        <w:tc>
          <w:tcPr>
            <w:tcW w:w="620" w:type="dxa"/>
            <w:vAlign w:val="bottom"/>
            <w:gridSpan w:val="4"/>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03</w:t>
              </w:r>
            </w:hyperlink>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2"/>
              </w:rPr>
              <w:t>Lease Agreement dated January 18, 2018 between ACM Research (Shanghai), Inc. and Shanghai Shengyu Culture Development Co.,</w:t>
            </w:r>
          </w:p>
        </w:tc>
      </w:tr>
      <w:tr>
        <w:trPr>
          <w:trHeight w:val="237"/>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0" w:type="dxa"/>
            <w:vAlign w:val="bottom"/>
            <w:gridSpan w:val="2"/>
          </w:tcPr>
          <w:p>
            <w:pPr>
              <w:ind w:left="100"/>
              <w:spacing w:after="0"/>
              <w:rPr>
                <w:sz w:val="20"/>
                <w:szCs w:val="20"/>
                <w:color w:val="auto"/>
              </w:rPr>
            </w:pPr>
            <w:r>
              <w:rPr>
                <w:rFonts w:ascii="Arial" w:cs="Arial" w:eastAsia="Arial" w:hAnsi="Arial"/>
                <w:sz w:val="18"/>
                <w:szCs w:val="18"/>
                <w:color w:val="auto"/>
              </w:rPr>
              <w:t>Ltd.</w:t>
            </w:r>
          </w:p>
        </w:tc>
      </w:tr>
      <w:tr>
        <w:trPr>
          <w:trHeight w:val="175"/>
        </w:trPr>
        <w:tc>
          <w:tcPr>
            <w:tcW w:w="620" w:type="dxa"/>
            <w:vAlign w:val="bottom"/>
            <w:gridSpan w:val="4"/>
            <w:shd w:val="clear" w:color="auto" w:fill="CCEEFF"/>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04</w:t>
              </w:r>
            </w:hyperlink>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Securities Purchase Agreement dated March 14, 2017 by and among ACM Research, Inc., Shengxin (Shanghai) Management Consulting</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Limited Partnership and ACM Research (Shanghai), Inc.</w:t>
            </w:r>
          </w:p>
        </w:tc>
      </w:tr>
      <w:tr>
        <w:trPr>
          <w:trHeight w:val="175"/>
        </w:trPr>
        <w:tc>
          <w:tcPr>
            <w:tcW w:w="620" w:type="dxa"/>
            <w:vAlign w:val="bottom"/>
            <w:gridSpan w:val="4"/>
          </w:tcPr>
          <w:p>
            <w:pPr>
              <w:spacing w:after="0" w:line="17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05</w:t>
              </w:r>
            </w:hyperlink>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3"/>
              </w:rPr>
              <w:t>Securities Purchase Agreement dated March 23, 2017 between ACM Research, Inc. and Shanghai Science and Technology Venture</w:t>
            </w:r>
          </w:p>
        </w:tc>
      </w:tr>
      <w:tr>
        <w:trPr>
          <w:trHeight w:val="237"/>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0" w:type="dxa"/>
            <w:vAlign w:val="bottom"/>
            <w:gridSpan w:val="2"/>
          </w:tcPr>
          <w:p>
            <w:pPr>
              <w:ind w:left="100"/>
              <w:spacing w:after="0"/>
              <w:rPr>
                <w:sz w:val="20"/>
                <w:szCs w:val="20"/>
                <w:color w:val="auto"/>
              </w:rPr>
            </w:pPr>
            <w:r>
              <w:rPr>
                <w:rFonts w:ascii="Arial" w:cs="Arial" w:eastAsia="Arial" w:hAnsi="Arial"/>
                <w:sz w:val="18"/>
                <w:szCs w:val="18"/>
                <w:color w:val="auto"/>
              </w:rPr>
              <w:t>Capital Co., Ltd., as amended</w:t>
            </w:r>
          </w:p>
        </w:tc>
      </w:tr>
      <w:tr>
        <w:trPr>
          <w:trHeight w:val="175"/>
        </w:trPr>
        <w:tc>
          <w:tcPr>
            <w:tcW w:w="620" w:type="dxa"/>
            <w:vAlign w:val="bottom"/>
            <w:gridSpan w:val="4"/>
            <w:shd w:val="clear" w:color="auto" w:fill="CCEEFF"/>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06</w:t>
              </w:r>
            </w:hyperlink>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Securities Purchase Agreement dated August 31, 2017 by and among ACM Research, Inc., Shanghai Pudong High-Tech Investment Co.,</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Ltd. and Pudong Science and Technology (Cayman) Co., Ltd.</w:t>
            </w:r>
          </w:p>
        </w:tc>
      </w:tr>
      <w:tr>
        <w:trPr>
          <w:trHeight w:val="176"/>
        </w:trPr>
        <w:tc>
          <w:tcPr>
            <w:tcW w:w="620" w:type="dxa"/>
            <w:vAlign w:val="bottom"/>
            <w:gridSpan w:val="4"/>
          </w:tcPr>
          <w:p>
            <w:pPr>
              <w:spacing w:after="0" w:line="176"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07</w:t>
              </w:r>
            </w:hyperlink>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0"/>
              </w:rPr>
              <w:t>Securities Purchase Agreement dated August 31, 2017 by and among ACM Research, Inc., Shanghai Zhangjiang Science &amp; Technology</w:t>
            </w:r>
          </w:p>
        </w:tc>
      </w:tr>
      <w:tr>
        <w:trPr>
          <w:trHeight w:val="236"/>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0" w:type="dxa"/>
            <w:vAlign w:val="bottom"/>
            <w:gridSpan w:val="2"/>
          </w:tcPr>
          <w:p>
            <w:pPr>
              <w:ind w:left="100"/>
              <w:spacing w:after="0"/>
              <w:rPr>
                <w:sz w:val="20"/>
                <w:szCs w:val="20"/>
                <w:color w:val="auto"/>
              </w:rPr>
            </w:pPr>
            <w:r>
              <w:rPr>
                <w:rFonts w:ascii="Arial" w:cs="Arial" w:eastAsia="Arial" w:hAnsi="Arial"/>
                <w:sz w:val="18"/>
                <w:szCs w:val="18"/>
                <w:color w:val="auto"/>
              </w:rPr>
              <w:t>Venture Capital Co., Ltd. and Zhangjiang AJ Company Limited</w:t>
            </w:r>
          </w:p>
        </w:tc>
      </w:tr>
      <w:tr>
        <w:trPr>
          <w:trHeight w:val="175"/>
        </w:trPr>
        <w:tc>
          <w:tcPr>
            <w:tcW w:w="620" w:type="dxa"/>
            <w:vAlign w:val="bottom"/>
            <w:gridSpan w:val="4"/>
            <w:shd w:val="clear" w:color="auto" w:fill="CCEEFF"/>
          </w:tcPr>
          <w:p>
            <w:pPr>
              <w:spacing w:after="0" w:line="176" w:lineRule="exact"/>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08</w:t>
              </w:r>
            </w:hyperlink>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Ordinary Share Purchase Agreement dated September 6, 2017 by and among ACM Research, Inc., Ninebell Co., Ltd. and Moon-Soo</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Choi</w:t>
            </w:r>
          </w:p>
        </w:tc>
      </w:tr>
      <w:tr>
        <w:trPr>
          <w:trHeight w:val="175"/>
        </w:trPr>
        <w:tc>
          <w:tcPr>
            <w:tcW w:w="620" w:type="dxa"/>
            <w:vAlign w:val="bottom"/>
            <w:gridSpan w:val="4"/>
          </w:tcPr>
          <w:p>
            <w:pPr>
              <w:spacing w:after="0" w:line="176" w:lineRule="exact"/>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09</w:t>
              </w:r>
            </w:hyperlink>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4"/>
              </w:rPr>
              <w:t>Class A Common Stock Purchase Agreement dated September 6, 2017 by and among ACM Research, Inc., Ninebell Co., Ltd. and</w:t>
            </w:r>
          </w:p>
        </w:tc>
      </w:tr>
      <w:tr>
        <w:trPr>
          <w:trHeight w:val="237"/>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0" w:type="dxa"/>
            <w:vAlign w:val="bottom"/>
            <w:gridSpan w:val="2"/>
          </w:tcPr>
          <w:p>
            <w:pPr>
              <w:ind w:left="100"/>
              <w:spacing w:after="0"/>
              <w:rPr>
                <w:sz w:val="20"/>
                <w:szCs w:val="20"/>
                <w:color w:val="auto"/>
              </w:rPr>
            </w:pPr>
            <w:r>
              <w:rPr>
                <w:rFonts w:ascii="Arial" w:cs="Arial" w:eastAsia="Arial" w:hAnsi="Arial"/>
                <w:sz w:val="18"/>
                <w:szCs w:val="18"/>
                <w:color w:val="auto"/>
              </w:rPr>
              <w:t>Moon-Soo Choi</w:t>
            </w:r>
          </w:p>
        </w:tc>
      </w:tr>
      <w:tr>
        <w:trPr>
          <w:trHeight w:val="175"/>
        </w:trPr>
        <w:tc>
          <w:tcPr>
            <w:tcW w:w="620" w:type="dxa"/>
            <w:vAlign w:val="bottom"/>
            <w:gridSpan w:val="4"/>
            <w:shd w:val="clear" w:color="auto" w:fill="CCEEFF"/>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Form of Second Amended and Restated Registration Rights Agreement to be entered into between ACM Research, Inc. and certain of its</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stockholders</w:t>
            </w:r>
          </w:p>
        </w:tc>
      </w:tr>
      <w:tr>
        <w:trPr>
          <w:trHeight w:val="176"/>
        </w:trPr>
        <w:tc>
          <w:tcPr>
            <w:tcW w:w="420" w:type="dxa"/>
            <w:vAlign w:val="bottom"/>
            <w:gridSpan w:val="3"/>
          </w:tcPr>
          <w:p>
            <w:pPr>
              <w:spacing w:after="0" w:line="17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5"/>
              </w:rPr>
              <w:t>Stock Purchase Agreement, dated October 11, 2017, by and among ACM Research, Inc., Xunxin (Shanghai) Capital Co., Limited,</w:t>
            </w:r>
          </w:p>
        </w:tc>
      </w:tr>
      <w:tr>
        <w:trPr>
          <w:trHeight w:val="236"/>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0" w:type="dxa"/>
            <w:vAlign w:val="bottom"/>
            <w:gridSpan w:val="2"/>
          </w:tcPr>
          <w:p>
            <w:pPr>
              <w:ind w:left="100"/>
              <w:spacing w:after="0"/>
              <w:rPr>
                <w:sz w:val="20"/>
                <w:szCs w:val="20"/>
                <w:color w:val="auto"/>
              </w:rPr>
            </w:pPr>
            <w:r>
              <w:rPr>
                <w:rFonts w:ascii="Arial" w:cs="Arial" w:eastAsia="Arial" w:hAnsi="Arial"/>
                <w:sz w:val="18"/>
                <w:szCs w:val="18"/>
                <w:color w:val="auto"/>
              </w:rPr>
              <w:t>Xinxin (Hongkong) Capital Co., Limited and David H. Wang</w:t>
            </w: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Stock Purchase Agreement, dated October 16, 2017, by and between ACM Research, Inc. and Victorious Way Limited</w:t>
            </w:r>
          </w:p>
        </w:tc>
      </w:tr>
      <w:tr>
        <w:trPr>
          <w:trHeight w:val="176"/>
        </w:trPr>
        <w:tc>
          <w:tcPr>
            <w:tcW w:w="620" w:type="dxa"/>
            <w:vAlign w:val="bottom"/>
            <w:gridSpan w:val="4"/>
          </w:tcPr>
          <w:p>
            <w:pPr>
              <w:spacing w:after="0" w:line="176" w:lineRule="exact"/>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4"/>
              </w:rPr>
              <w:t>Nomination and Voting Agreement, dated October 11, 2017, by and among Xinxin (Hongkong) Capital Co., Limited, ACM Research,</w:t>
            </w:r>
          </w:p>
        </w:tc>
      </w:tr>
      <w:tr>
        <w:trPr>
          <w:trHeight w:val="236"/>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0" w:type="dxa"/>
            <w:vAlign w:val="bottom"/>
            <w:gridSpan w:val="2"/>
          </w:tcPr>
          <w:p>
            <w:pPr>
              <w:ind w:left="100"/>
              <w:spacing w:after="0"/>
              <w:rPr>
                <w:sz w:val="20"/>
                <w:szCs w:val="20"/>
                <w:color w:val="auto"/>
              </w:rPr>
            </w:pPr>
            <w:r>
              <w:rPr>
                <w:rFonts w:ascii="Arial" w:cs="Arial" w:eastAsia="Arial" w:hAnsi="Arial"/>
                <w:sz w:val="18"/>
                <w:szCs w:val="18"/>
                <w:color w:val="auto"/>
              </w:rPr>
              <w:t>Inc., David H. Wang, and the individuals named therein</w:t>
            </w:r>
          </w:p>
        </w:tc>
      </w:tr>
      <w:tr>
        <w:trPr>
          <w:trHeight w:val="175"/>
        </w:trPr>
        <w:tc>
          <w:tcPr>
            <w:tcW w:w="620" w:type="dxa"/>
            <w:vAlign w:val="bottom"/>
            <w:gridSpan w:val="4"/>
            <w:shd w:val="clear" w:color="auto" w:fill="CCEEFF"/>
          </w:tcPr>
          <w:p>
            <w:pPr>
              <w:spacing w:after="0" w:line="176" w:lineRule="exact"/>
              <w:rPr>
                <w:rFonts w:ascii="Arial" w:cs="Arial" w:eastAsia="Arial" w:hAnsi="Arial"/>
                <w:sz w:val="18"/>
                <w:szCs w:val="18"/>
                <w:color w:val="0000EE"/>
              </w:rPr>
            </w:pPr>
            <w:hyperlink r:id="rId142">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62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Voting Agreement, dated March 23, 2017, by and among Shanghai Technology Venture Capital Co., Ltd. (also known as Shanghai</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Science and Technology Venture Capital Co., Ltd.) and ACM Research, Inc.</w:t>
            </w:r>
          </w:p>
        </w:tc>
      </w:tr>
      <w:tr>
        <w:trPr>
          <w:trHeight w:val="175"/>
        </w:trPr>
        <w:tc>
          <w:tcPr>
            <w:tcW w:w="620" w:type="dxa"/>
            <w:vAlign w:val="bottom"/>
            <w:gridSpan w:val="4"/>
          </w:tcPr>
          <w:p>
            <w:pPr>
              <w:spacing w:after="0" w:line="176" w:lineRule="exact"/>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620" w:type="dxa"/>
            <w:vAlign w:val="bottom"/>
          </w:tcPr>
          <w:p>
            <w:pPr>
              <w:spacing w:after="0"/>
              <w:rPr>
                <w:sz w:val="15"/>
                <w:szCs w:val="15"/>
                <w:color w:val="auto"/>
              </w:rPr>
            </w:pPr>
          </w:p>
        </w:tc>
        <w:tc>
          <w:tcPr>
            <w:tcW w:w="100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Form of Capital Increase Agreement between ACM Research, Inc. and certain investors</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1240" w:type="dxa"/>
            <w:vAlign w:val="bottom"/>
            <w:gridSpan w:val="5"/>
            <w:shd w:val="clear" w:color="auto" w:fill="CCEEFF"/>
          </w:tcPr>
          <w:p>
            <w:pPr>
              <w:spacing w:after="0" w:line="176" w:lineRule="exact"/>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15(a)</w:t>
              </w:r>
            </w:hyperlink>
          </w:p>
        </w:tc>
        <w:tc>
          <w:tcPr>
            <w:tcW w:w="10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8"/>
              </w:rPr>
              <w:t>Schedule identifying agreements substantially identical to the form of Capital Increase Agreement filed as Exhibit 10.15 hereto</w:t>
            </w:r>
          </w:p>
        </w:tc>
      </w:tr>
      <w:tr>
        <w:trPr>
          <w:trHeight w:val="175"/>
        </w:trPr>
        <w:tc>
          <w:tcPr>
            <w:tcW w:w="6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620" w:type="dxa"/>
            <w:vAlign w:val="bottom"/>
            <w:tcBorders>
              <w:top w:val="single" w:sz="8" w:color="CCEEFF"/>
            </w:tcBorders>
          </w:tcPr>
          <w:p>
            <w:pPr>
              <w:spacing w:after="0"/>
              <w:rPr>
                <w:sz w:val="15"/>
                <w:szCs w:val="15"/>
                <w:color w:val="auto"/>
              </w:rPr>
            </w:pPr>
          </w:p>
        </w:tc>
        <w:tc>
          <w:tcPr>
            <w:tcW w:w="10000" w:type="dxa"/>
            <w:vAlign w:val="bottom"/>
            <w:tcBorders>
              <w:top w:val="single" w:sz="8" w:color="CCEEFF"/>
            </w:tcBorders>
            <w:gridSpan w:val="2"/>
          </w:tcPr>
          <w:p>
            <w:pPr>
              <w:ind w:left="100"/>
              <w:spacing w:after="0" w:line="176" w:lineRule="exact"/>
              <w:rPr>
                <w:sz w:val="20"/>
                <w:szCs w:val="20"/>
                <w:color w:val="auto"/>
              </w:rPr>
            </w:pPr>
            <w:r>
              <w:rPr>
                <w:rFonts w:ascii="Arial" w:cs="Arial" w:eastAsia="Arial" w:hAnsi="Arial"/>
                <w:sz w:val="18"/>
                <w:szCs w:val="18"/>
                <w:color w:val="auto"/>
              </w:rPr>
              <w:t>Form of Agreement between ACM Research, Inc. and certain Investors</w:t>
            </w:r>
          </w:p>
        </w:tc>
      </w:tr>
      <w:tr>
        <w:trPr>
          <w:trHeight w:val="616"/>
        </w:trPr>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0" w:type="dxa"/>
            <w:vAlign w:val="bottom"/>
            <w:gridSpan w:val="2"/>
          </w:tcPr>
          <w:p>
            <w:pPr>
              <w:jc w:val="right"/>
              <w:ind w:right="5410"/>
              <w:spacing w:after="0"/>
              <w:rPr>
                <w:sz w:val="20"/>
                <w:szCs w:val="20"/>
                <w:color w:val="auto"/>
              </w:rPr>
            </w:pPr>
            <w:r>
              <w:rPr>
                <w:rFonts w:ascii="Arial" w:cs="Arial" w:eastAsia="Arial" w:hAnsi="Arial"/>
                <w:sz w:val="14"/>
                <w:szCs w:val="14"/>
                <w:color w:val="auto"/>
              </w:rPr>
              <w:t>105</w:t>
            </w:r>
          </w:p>
        </w:tc>
      </w:tr>
      <w:tr>
        <w:trPr>
          <w:trHeight w:val="46"/>
        </w:trPr>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6"/>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9900" w:type="dxa"/>
            <w:vAlign w:val="bottom"/>
          </w:tcPr>
          <w:p>
            <w:pPr>
              <w:spacing w:after="0"/>
              <w:rPr>
                <w:sz w:val="14"/>
                <w:szCs w:val="14"/>
                <w:color w:val="auto"/>
              </w:rPr>
            </w:pPr>
          </w:p>
        </w:tc>
      </w:tr>
      <w:tr>
        <w:trPr>
          <w:trHeight w:val="169"/>
        </w:trPr>
        <w:tc>
          <w:tcPr>
            <w:tcW w:w="4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00" w:type="dxa"/>
            <w:vAlign w:val="bottom"/>
          </w:tcPr>
          <w:p>
            <w:pPr>
              <w:spacing w:after="0"/>
              <w:rPr>
                <w:sz w:val="14"/>
                <w:szCs w:val="14"/>
                <w:color w:val="auto"/>
              </w:rPr>
            </w:pPr>
          </w:p>
        </w:tc>
      </w:tr>
      <w:tr>
        <w:trPr>
          <w:trHeight w:val="196"/>
        </w:trPr>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46">
              <w:r>
                <w:rPr>
                  <w:rFonts w:ascii="Arial" w:cs="Arial" w:eastAsia="Arial" w:hAnsi="Arial"/>
                  <w:sz w:val="18"/>
                  <w:szCs w:val="18"/>
                  <w:color w:val="0000EE"/>
                </w:rPr>
                <w:t>10.</w:t>
              </w:r>
              <w:r>
                <w:rPr>
                  <w:rFonts w:ascii="Arial" w:cs="Arial" w:eastAsia="Arial" w:hAnsi="Arial"/>
                  <w:sz w:val="18"/>
                  <w:szCs w:val="18"/>
                  <w:u w:val="single" w:color="auto"/>
                  <w:color w:val="0000EE"/>
                </w:rPr>
                <w:t>16(a)</w:t>
              </w:r>
            </w:hyperlink>
          </w:p>
        </w:tc>
        <w:tc>
          <w:tcPr>
            <w:tcW w:w="100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Schedule identifying agreements substantially identical to the form of Agreement filed as Exhibit 10.16 hereto</w:t>
            </w:r>
          </w:p>
        </w:tc>
      </w:tr>
      <w:tr>
        <w:trPr>
          <w:trHeight w:val="175"/>
        </w:trPr>
        <w:tc>
          <w:tcPr>
            <w:tcW w:w="5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r:id="rId147">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6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w w:val="90"/>
              </w:rPr>
              <w:t>Equity Purchase Agreement dated August 4, 2019 between ACM Research, Inc. and certain of its directors and executive officers and an</w:t>
            </w:r>
          </w:p>
        </w:tc>
      </w:tr>
      <w:tr>
        <w:trPr>
          <w:trHeight w:val="237"/>
        </w:trPr>
        <w:tc>
          <w:tcPr>
            <w:tcW w:w="4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officer affiliate</w:t>
            </w:r>
          </w:p>
        </w:tc>
      </w:tr>
      <w:tr>
        <w:trPr>
          <w:trHeight w:val="176"/>
        </w:trPr>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r:id="rId148">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7"/>
              </w:rPr>
              <w:t>Underwriting Agreement dated August 14, 2019 between ACM Research, Inc. and Stifel, Nicolaus &amp; Company, Incorporated as</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Representative of the several Underwriters</w:t>
            </w:r>
          </w:p>
        </w:tc>
      </w:tr>
      <w:tr>
        <w:trPr>
          <w:trHeight w:val="176"/>
        </w:trPr>
        <w:tc>
          <w:tcPr>
            <w:tcW w:w="520" w:type="dxa"/>
            <w:vAlign w:val="bottom"/>
            <w:gridSpan w:val="2"/>
          </w:tcPr>
          <w:p>
            <w:pPr>
              <w:spacing w:after="0" w:line="176" w:lineRule="exact"/>
              <w:rPr>
                <w:rFonts w:ascii="Arial" w:cs="Arial" w:eastAsia="Arial" w:hAnsi="Arial"/>
                <w:sz w:val="18"/>
                <w:szCs w:val="18"/>
                <w:color w:val="0000EE"/>
              </w:rPr>
            </w:pPr>
            <w:hyperlink r:id="rId149">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2"/>
              </w:rPr>
              <w:t>Partnership Agreement of Hefei Shixi Chanheng Integrated Circuit Industry Venture Capital Fund Partnership (LP) dated September 5,</w:t>
            </w:r>
          </w:p>
        </w:tc>
      </w:tr>
      <w:tr>
        <w:trPr>
          <w:trHeight w:val="222"/>
        </w:trPr>
        <w:tc>
          <w:tcPr>
            <w:tcW w:w="4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w w:val="91"/>
              </w:rPr>
              <w:t>2019 by and among Infotech National Emerging Industry Venture Investment Guidance Fund (LP), Hefei Guozheng Asset Management</w:t>
            </w: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w w:val="97"/>
              </w:rPr>
              <w:t>Co, Ltd., Hefei Economic and Technological Development Zone Industrial Investment Guidance Fund Co., Ltd., ACM Research</w:t>
            </w:r>
          </w:p>
        </w:tc>
      </w:tr>
      <w:tr>
        <w:trPr>
          <w:trHeight w:val="216"/>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w w:val="94"/>
              </w:rPr>
              <w:t>(Shanghai), Inc., Hefei Tongyi Equity Investment Partnership (LP), Shenzen Waitan Technology Development Co., Ltd., and Beijing</w:t>
            </w: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Shixi Qingliu Investment Co., Ltd.</w:t>
            </w: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20+</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2016 Omnibus Incentive Plan of ACM Research, Inc.</w:t>
            </w:r>
          </w:p>
        </w:tc>
      </w:tr>
      <w:tr>
        <w:trPr>
          <w:trHeight w:val="176"/>
        </w:trPr>
        <w:tc>
          <w:tcPr>
            <w:tcW w:w="1180" w:type="dxa"/>
            <w:vAlign w:val="bottom"/>
            <w:gridSpan w:val="6"/>
          </w:tcPr>
          <w:p>
            <w:pPr>
              <w:spacing w:after="0" w:line="176" w:lineRule="exact"/>
              <w:rPr>
                <w:rFonts w:ascii="Arial" w:cs="Arial" w:eastAsia="Arial" w:hAnsi="Arial"/>
                <w:sz w:val="18"/>
                <w:szCs w:val="18"/>
                <w:color w:val="0000EE"/>
              </w:rPr>
            </w:pPr>
            <w:hyperlink r:id="rId151">
              <w:r>
                <w:rPr>
                  <w:rFonts w:ascii="Arial" w:cs="Arial" w:eastAsia="Arial" w:hAnsi="Arial"/>
                  <w:sz w:val="18"/>
                  <w:szCs w:val="18"/>
                  <w:color w:val="0000EE"/>
                </w:rPr>
                <w:t>10.</w:t>
              </w:r>
              <w:r>
                <w:rPr>
                  <w:rFonts w:ascii="Arial" w:cs="Arial" w:eastAsia="Arial" w:hAnsi="Arial"/>
                  <w:sz w:val="18"/>
                  <w:szCs w:val="18"/>
                  <w:u w:val="single" w:color="auto"/>
                  <w:color w:val="0000EE"/>
                </w:rPr>
                <w:t>20(a)+</w:t>
              </w:r>
            </w:hyperlink>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Form of Incentive Stock Option Grant Notice and Agreement under 2016 Omnibus Incentive Plan</w:t>
            </w:r>
          </w:p>
        </w:tc>
      </w:tr>
      <w:tr>
        <w:trPr>
          <w:trHeight w:val="21"/>
        </w:trPr>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1180" w:type="dxa"/>
            <w:vAlign w:val="bottom"/>
            <w:gridSpan w:val="6"/>
            <w:shd w:val="clear" w:color="auto" w:fill="CCEEFF"/>
          </w:tcPr>
          <w:p>
            <w:pPr>
              <w:spacing w:after="0" w:line="176" w:lineRule="exact"/>
              <w:rPr>
                <w:rFonts w:ascii="Arial" w:cs="Arial" w:eastAsia="Arial" w:hAnsi="Arial"/>
                <w:sz w:val="18"/>
                <w:szCs w:val="18"/>
                <w:color w:val="0000EE"/>
              </w:rPr>
            </w:pPr>
            <w:hyperlink r:id="rId152">
              <w:r>
                <w:rPr>
                  <w:rFonts w:ascii="Arial" w:cs="Arial" w:eastAsia="Arial" w:hAnsi="Arial"/>
                  <w:sz w:val="18"/>
                  <w:szCs w:val="18"/>
                  <w:color w:val="0000EE"/>
                </w:rPr>
                <w:t>10.</w:t>
              </w:r>
              <w:r>
                <w:rPr>
                  <w:rFonts w:ascii="Arial" w:cs="Arial" w:eastAsia="Arial" w:hAnsi="Arial"/>
                  <w:sz w:val="18"/>
                  <w:szCs w:val="18"/>
                  <w:u w:val="single" w:color="auto"/>
                  <w:color w:val="0000EE"/>
                </w:rPr>
                <w:t>20(b)+</w:t>
              </w:r>
            </w:hyperlink>
          </w:p>
        </w:tc>
        <w:tc>
          <w:tcPr>
            <w:tcW w:w="100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Form of Non-qualified Stock Option Grant Notice and Agreement under 2016 Omnibus Incentive Plan</w:t>
            </w:r>
          </w:p>
        </w:tc>
      </w:tr>
      <w:tr>
        <w:trPr>
          <w:trHeight w:val="175"/>
        </w:trPr>
        <w:tc>
          <w:tcPr>
            <w:tcW w:w="720" w:type="dxa"/>
            <w:vAlign w:val="bottom"/>
            <w:tcBorders>
              <w:top w:val="single" w:sz="8" w:color="0000EE"/>
              <w:bottom w:val="single" w:sz="8" w:color="0000EE"/>
            </w:tcBorders>
            <w:gridSpan w:val="4"/>
          </w:tcPr>
          <w:p>
            <w:pPr>
              <w:spacing w:after="0" w:line="17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20(c)+</w:t>
              </w:r>
            </w:hyperlink>
          </w:p>
        </w:tc>
        <w:tc>
          <w:tcPr>
            <w:tcW w:w="460" w:type="dxa"/>
            <w:vAlign w:val="bottom"/>
            <w:tcBorders>
              <w:top w:val="single" w:sz="8" w:color="CCEEFF"/>
            </w:tcBorders>
            <w:gridSpan w:val="2"/>
          </w:tcPr>
          <w:p>
            <w:pPr>
              <w:spacing w:after="0"/>
              <w:rPr>
                <w:sz w:val="15"/>
                <w:szCs w:val="15"/>
                <w:color w:val="auto"/>
              </w:rPr>
            </w:pPr>
          </w:p>
        </w:tc>
        <w:tc>
          <w:tcPr>
            <w:tcW w:w="1006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Form of Restricted Stock Unit Grant Notice and Agreement under 2016 Omnibus Incentive Plan</w:t>
            </w:r>
          </w:p>
        </w:tc>
      </w:tr>
      <w:tr>
        <w:trPr>
          <w:trHeight w:val="21"/>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Form of Nonstatutory Stock Option Agreement of ACM Research, Inc.</w:t>
            </w:r>
          </w:p>
        </w:tc>
      </w:tr>
      <w:tr>
        <w:trPr>
          <w:trHeight w:val="176"/>
        </w:trPr>
        <w:tc>
          <w:tcPr>
            <w:tcW w:w="620" w:type="dxa"/>
            <w:vAlign w:val="bottom"/>
            <w:gridSpan w:val="3"/>
          </w:tcPr>
          <w:p>
            <w:pPr>
              <w:spacing w:after="0" w:line="176" w:lineRule="exact"/>
              <w:rPr>
                <w:rFonts w:ascii="Arial" w:cs="Arial" w:eastAsia="Arial" w:hAnsi="Arial"/>
                <w:sz w:val="18"/>
                <w:szCs w:val="18"/>
                <w:color w:val="0000EE"/>
              </w:rPr>
            </w:pPr>
            <w:hyperlink r:id="rId155">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1998 Stock Option Plan of ACM Research, Inc.</w:t>
            </w: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22(a)+</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1006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Form of Incentive Stock Option Agreement under 1998 Stock Option Plan</w:t>
            </w:r>
          </w:p>
        </w:tc>
      </w:tr>
      <w:tr>
        <w:trPr>
          <w:trHeight w:val="176"/>
        </w:trPr>
        <w:tc>
          <w:tcPr>
            <w:tcW w:w="1180" w:type="dxa"/>
            <w:vAlign w:val="bottom"/>
            <w:gridSpan w:val="6"/>
          </w:tcPr>
          <w:p>
            <w:pPr>
              <w:spacing w:after="0" w:line="176" w:lineRule="exact"/>
              <w:rPr>
                <w:rFonts w:ascii="Arial" w:cs="Arial" w:eastAsia="Arial" w:hAnsi="Arial"/>
                <w:sz w:val="18"/>
                <w:szCs w:val="18"/>
                <w:color w:val="0000EE"/>
              </w:rPr>
            </w:pPr>
            <w:hyperlink r:id="rId157">
              <w:r>
                <w:rPr>
                  <w:rFonts w:ascii="Arial" w:cs="Arial" w:eastAsia="Arial" w:hAnsi="Arial"/>
                  <w:sz w:val="18"/>
                  <w:szCs w:val="18"/>
                  <w:color w:val="0000EE"/>
                </w:rPr>
                <w:t>10.</w:t>
              </w:r>
              <w:r>
                <w:rPr>
                  <w:rFonts w:ascii="Arial" w:cs="Arial" w:eastAsia="Arial" w:hAnsi="Arial"/>
                  <w:sz w:val="18"/>
                  <w:szCs w:val="18"/>
                  <w:u w:val="single" w:color="auto"/>
                  <w:color w:val="0000EE"/>
                </w:rPr>
                <w:t>22(b)+</w:t>
              </w:r>
            </w:hyperlink>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Form of Non-statutory Stock Option Agreement under 1998 Stock Option Plan</w:t>
            </w:r>
          </w:p>
        </w:tc>
      </w:tr>
      <w:tr>
        <w:trPr>
          <w:trHeight w:val="21"/>
        </w:trPr>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Form of Indemnification Agreement entered into between ACM Research, Inc. and certain of its directors and officers</w:t>
            </w:r>
          </w:p>
        </w:tc>
      </w:tr>
      <w:tr>
        <w:trPr>
          <w:trHeight w:val="175"/>
        </w:trPr>
        <w:tc>
          <w:tcPr>
            <w:tcW w:w="620" w:type="dxa"/>
            <w:vAlign w:val="bottom"/>
            <w:gridSpan w:val="3"/>
          </w:tcPr>
          <w:p>
            <w:pPr>
              <w:spacing w:after="0" w:line="176" w:lineRule="exact"/>
              <w:rPr>
                <w:rFonts w:ascii="Arial" w:cs="Arial" w:eastAsia="Arial" w:hAnsi="Arial"/>
                <w:sz w:val="18"/>
                <w:szCs w:val="18"/>
                <w:color w:val="0000EE"/>
              </w:rPr>
            </w:pPr>
            <w:hyperlink r:id="rId159">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Advisory Board Agreement dated May 1, 2016 by and between ACM Research, Inc. and Chenming Hu</w:t>
            </w:r>
          </w:p>
        </w:tc>
      </w:tr>
      <w:tr>
        <w:trPr>
          <w:trHeight w:val="21"/>
        </w:trPr>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4"/>
                <w:shd w:val="clear" w:color="auto" w:fill="CCEEFF"/>
              </w:rPr>
              <w:t>Line of Credit Agreement dated February 25, 2019 between ACM Research (Shanghai), Inc. and Bank of Shanghai Pudong Branch</w:t>
            </w:r>
          </w:p>
        </w:tc>
      </w:tr>
      <w:tr>
        <w:trPr>
          <w:trHeight w:val="176"/>
        </w:trPr>
        <w:tc>
          <w:tcPr>
            <w:tcW w:w="520" w:type="dxa"/>
            <w:vAlign w:val="bottom"/>
            <w:gridSpan w:val="2"/>
          </w:tcPr>
          <w:p>
            <w:pPr>
              <w:spacing w:after="0" w:line="176" w:lineRule="exact"/>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4"/>
              </w:rPr>
              <w:t>Line of Credit Agreement dated February 19, 2019 between ACM Research (Shanghai), Inc. and Shanghai Rural Commercial Bank</w:t>
            </w: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76"/>
        </w:trPr>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shd w:val="clear" w:color="auto" w:fill="CCEEFF"/>
              </w:rPr>
              <w:t>Line of Credit Agreement dated January 24, 2019 between ACM Research (Shanghai), Inc. and Bank of Communications Shanghai</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Zhangjiang Branch</w:t>
            </w:r>
          </w:p>
        </w:tc>
      </w:tr>
      <w:tr>
        <w:trPr>
          <w:trHeight w:val="175"/>
        </w:trPr>
        <w:tc>
          <w:tcPr>
            <w:tcW w:w="520" w:type="dxa"/>
            <w:vAlign w:val="bottom"/>
            <w:gridSpan w:val="2"/>
          </w:tcPr>
          <w:p>
            <w:pPr>
              <w:spacing w:after="0" w:line="176" w:lineRule="exact"/>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4"/>
              </w:rPr>
              <w:t>Line of Credit Agreement dated January 24, 2019 between ACM Research (Shanghai), Inc. and Bank of Communications Shanghai</w:t>
            </w:r>
          </w:p>
        </w:tc>
      </w:tr>
      <w:tr>
        <w:trPr>
          <w:trHeight w:val="237"/>
        </w:trPr>
        <w:tc>
          <w:tcPr>
            <w:tcW w:w="4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Zhangjiang Branch</w:t>
            </w:r>
          </w:p>
        </w:tc>
      </w:tr>
      <w:tr>
        <w:trPr>
          <w:trHeight w:val="176"/>
        </w:trPr>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shd w:val="clear" w:color="auto" w:fill="CCEEFF"/>
              </w:rPr>
              <w:t>Line of Credit Agreement dated February 19, 2019 between ACM Research (Shanghai), Inc. and Bank of Communications Shanghai</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Zhangjiang Branch</w:t>
            </w:r>
          </w:p>
        </w:tc>
      </w:tr>
      <w:tr>
        <w:trPr>
          <w:trHeight w:val="176"/>
        </w:trPr>
        <w:tc>
          <w:tcPr>
            <w:tcW w:w="520" w:type="dxa"/>
            <w:vAlign w:val="bottom"/>
            <w:gridSpan w:val="2"/>
          </w:tcPr>
          <w:p>
            <w:pPr>
              <w:spacing w:after="0" w:line="176" w:lineRule="exact"/>
              <w:rPr>
                <w:rFonts w:ascii="Arial" w:cs="Arial" w:eastAsia="Arial" w:hAnsi="Arial"/>
                <w:sz w:val="18"/>
                <w:szCs w:val="18"/>
                <w:color w:val="0000EE"/>
              </w:rPr>
            </w:pPr>
            <w:hyperlink r:id="rId165">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Line of Credit Agreement dated January 30, 2019 between ACM Research (Shanghai), Inc. and China Everbright Branch</w:t>
            </w: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166">
              <w:r>
                <w:rPr>
                  <w:rFonts w:ascii="Arial" w:cs="Arial" w:eastAsia="Arial" w:hAnsi="Arial"/>
                  <w:sz w:val="18"/>
                  <w:szCs w:val="18"/>
                  <w:color w:val="0000EE"/>
                </w:rPr>
                <w:t>10.</w:t>
              </w:r>
              <w:r>
                <w:rPr>
                  <w:rFonts w:ascii="Arial" w:cs="Arial" w:eastAsia="Arial" w:hAnsi="Arial"/>
                  <w:sz w:val="18"/>
                  <w:szCs w:val="18"/>
                  <w:u w:val="single" w:color="auto"/>
                  <w:color w:val="0000EE"/>
                </w:rPr>
                <w:t>35+</w:t>
              </w:r>
            </w:hyperlink>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Letter agreement dated June 12, 2019 between ACM Research, Inc. and Mark McKechnie</w:t>
            </w:r>
          </w:p>
        </w:tc>
      </w:tr>
      <w:tr>
        <w:trPr>
          <w:trHeight w:val="175"/>
        </w:trPr>
        <w:tc>
          <w:tcPr>
            <w:tcW w:w="5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r:id="rId167">
              <w:r>
                <w:rPr>
                  <w:rFonts w:ascii="Arial" w:cs="Arial" w:eastAsia="Arial" w:hAnsi="Arial"/>
                  <w:sz w:val="18"/>
                  <w:szCs w:val="18"/>
                  <w:color w:val="0000EE"/>
                </w:rPr>
                <w:t>21.</w:t>
              </w:r>
              <w:r>
                <w:rPr>
                  <w:rFonts w:ascii="Arial" w:cs="Arial" w:eastAsia="Arial" w:hAnsi="Arial"/>
                  <w:sz w:val="18"/>
                  <w:szCs w:val="18"/>
                  <w:u w:val="single" w:color="auto"/>
                  <w:color w:val="0000EE"/>
                </w:rPr>
                <w:t>01</w:t>
              </w:r>
            </w:hyperlink>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6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List of Subsidiaries of ACM Research, Inc.</w:t>
            </w:r>
          </w:p>
        </w:tc>
      </w:tr>
      <w:tr>
        <w:trPr>
          <w:trHeight w:val="20"/>
        </w:trPr>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23.</w:t>
              </w:r>
              <w:r>
                <w:rPr>
                  <w:rFonts w:ascii="Arial" w:cs="Arial" w:eastAsia="Arial" w:hAnsi="Arial"/>
                  <w:sz w:val="18"/>
                  <w:szCs w:val="18"/>
                  <w:u w:val="single" w:color="auto"/>
                  <w:color w:val="0000EE"/>
                  <w:w w:val="88"/>
                </w:rPr>
                <w:t>01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Consent of BDO China Shu Lan Pan Certified Public Accountants LLP</w:t>
            </w:r>
          </w:p>
        </w:tc>
      </w:tr>
      <w:tr>
        <w:trPr>
          <w:trHeight w:val="175"/>
        </w:trPr>
        <w:tc>
          <w:tcPr>
            <w:tcW w:w="520" w:type="dxa"/>
            <w:vAlign w:val="bottom"/>
            <w:gridSpan w:val="2"/>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31.</w:t>
              </w:r>
              <w:r>
                <w:rPr>
                  <w:rFonts w:ascii="Arial" w:cs="Arial" w:eastAsia="Arial" w:hAnsi="Arial"/>
                  <w:sz w:val="18"/>
                  <w:szCs w:val="18"/>
                  <w:u w:val="single" w:color="auto"/>
                  <w:color w:val="0000EE"/>
                </w:rPr>
                <w:t>01</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3"/>
              </w:rPr>
              <w:t>Certification of Principal Executive Officer Pursuant to Rules 13a-14(a) and 15d-14(a) under the Securities Exchange Act of 1934, as</w:t>
            </w:r>
          </w:p>
        </w:tc>
      </w:tr>
      <w:tr>
        <w:trPr>
          <w:trHeight w:val="237"/>
        </w:trPr>
        <w:tc>
          <w:tcPr>
            <w:tcW w:w="4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5"/>
        </w:trPr>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31.</w:t>
              </w:r>
              <w:r>
                <w:rPr>
                  <w:rFonts w:ascii="Arial" w:cs="Arial" w:eastAsia="Arial" w:hAnsi="Arial"/>
                  <w:sz w:val="18"/>
                  <w:szCs w:val="18"/>
                  <w:u w:val="single" w:color="auto"/>
                  <w:color w:val="0000EE"/>
                </w:rPr>
                <w:t>02</w:t>
              </w:r>
            </w:hyperlink>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4"/>
              </w:rPr>
              <w:t>Certification of Principal Financial Officer Pursuant to Rules 13a-14(a) and 15d-14(a) under the Securities Exchange Act of 1934, as</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5"/>
        </w:trPr>
        <w:tc>
          <w:tcPr>
            <w:tcW w:w="520" w:type="dxa"/>
            <w:vAlign w:val="bottom"/>
            <w:gridSpan w:val="2"/>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32.</w:t>
              </w:r>
              <w:r>
                <w:rPr>
                  <w:rFonts w:ascii="Arial" w:cs="Arial" w:eastAsia="Arial" w:hAnsi="Arial"/>
                  <w:sz w:val="18"/>
                  <w:szCs w:val="18"/>
                  <w:u w:val="single" w:color="auto"/>
                  <w:color w:val="0000EE"/>
                </w:rPr>
                <w:t>01</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2"/>
              </w:rPr>
              <w:t>Certification of Principal Executive Officer and Principal Financial Officer Pursuant to 18 U.S.C. Section 1350, as Adopted Pursuant to</w:t>
            </w:r>
          </w:p>
        </w:tc>
      </w:tr>
      <w:tr>
        <w:trPr>
          <w:trHeight w:val="236"/>
        </w:trPr>
        <w:tc>
          <w:tcPr>
            <w:tcW w:w="4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Section 906 of the Sarbanes-Oxley Act of 2002</w:t>
            </w:r>
          </w:p>
        </w:tc>
      </w:tr>
      <w:tr>
        <w:trPr>
          <w:trHeight w:val="216"/>
        </w:trPr>
        <w:tc>
          <w:tcPr>
            <w:tcW w:w="11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XBRL Instance Document</w:t>
            </w:r>
          </w:p>
        </w:tc>
      </w:tr>
      <w:tr>
        <w:trPr>
          <w:trHeight w:val="216"/>
        </w:trPr>
        <w:tc>
          <w:tcPr>
            <w:tcW w:w="1180" w:type="dxa"/>
            <w:vAlign w:val="bottom"/>
            <w:gridSpan w:val="6"/>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80" w:type="dxa"/>
            <w:vAlign w:val="bottom"/>
            <w:gridSpan w:val="6"/>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80" w:type="dxa"/>
            <w:vAlign w:val="bottom"/>
            <w:gridSpan w:val="6"/>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4230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441"/>
        <w:spacing w:after="0" w:line="250" w:lineRule="auto"/>
        <w:rPr>
          <w:sz w:val="20"/>
          <w:szCs w:val="20"/>
          <w:color w:val="auto"/>
        </w:rPr>
      </w:pPr>
      <w:r>
        <w:rPr>
          <w:rFonts w:ascii="Arial" w:cs="Arial" w:eastAsia="Arial" w:hAnsi="Arial"/>
          <w:sz w:val="22"/>
          <w:szCs w:val="22"/>
          <w:color w:val="auto"/>
        </w:rPr>
        <w:t>Pursuant to the requirements of Section 13 or 15(d) of the Securities Act of 1934, the registrant has duly caused this report to be signed on its behalf by the undersigned, thereunto duly authorized, as of March 24, 2020.</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ACM RESEARCH,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31" w:lineRule="exact"/>
        <w:rPr>
          <w:sz w:val="20"/>
          <w:szCs w:val="20"/>
          <w:color w:val="auto"/>
        </w:rPr>
      </w:pPr>
    </w:p>
    <w:p>
      <w:pPr>
        <w:ind w:firstLine="441"/>
        <w:spacing w:after="0" w:line="250" w:lineRule="auto"/>
        <w:rPr>
          <w:sz w:val="20"/>
          <w:szCs w:val="20"/>
          <w:color w:val="auto"/>
        </w:rPr>
      </w:pPr>
      <w:r>
        <w:rPr>
          <w:rFonts w:ascii="Arial" w:cs="Arial" w:eastAsia="Arial" w:hAnsi="Arial"/>
          <w:sz w:val="22"/>
          <w:szCs w:val="22"/>
          <w:color w:val="auto"/>
        </w:rPr>
        <w:t>Pursuant to the requirements of the Securities Act of 1934, this report has been signed below by the following persons in the capacities indicated as of March 24,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5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David H. Wang</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David H. Wang</w:t>
            </w:r>
          </w:p>
        </w:tc>
        <w:tc>
          <w:tcPr>
            <w:tcW w:w="10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 Mark A. McKechnie</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Mark A. McKechnie</w:t>
            </w:r>
          </w:p>
        </w:tc>
        <w:tc>
          <w:tcPr>
            <w:tcW w:w="10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Arial" w:cs="Arial" w:eastAsia="Arial" w:hAnsi="Arial"/>
                <w:sz w:val="18"/>
                <w:szCs w:val="18"/>
                <w:color w:val="auto"/>
              </w:rPr>
              <w:t>Chief Financial Officer, Executive Vice President and Treasurer</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Haiping Dun</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4"/>
              </w:rPr>
              <w:t>Haiping Dun</w:t>
            </w:r>
          </w:p>
        </w:tc>
        <w:tc>
          <w:tcPr>
            <w:tcW w:w="100" w:type="dxa"/>
            <w:vAlign w:val="bottom"/>
          </w:tcPr>
          <w:p>
            <w:pPr>
              <w:spacing w:after="0"/>
              <w:rPr>
                <w:sz w:val="20"/>
                <w:szCs w:val="20"/>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Chenming Hu</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2"/>
              </w:rPr>
              <w:t>Chenming Hu</w:t>
            </w:r>
          </w:p>
        </w:tc>
        <w:tc>
          <w:tcPr>
            <w:tcW w:w="100" w:type="dxa"/>
            <w:vAlign w:val="bottom"/>
          </w:tcPr>
          <w:p>
            <w:pPr>
              <w:spacing w:after="0"/>
              <w:rPr>
                <w:sz w:val="20"/>
                <w:szCs w:val="20"/>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 Tracy Liu</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4"/>
              </w:rPr>
              <w:t>Tracy Liu</w:t>
            </w:r>
          </w:p>
        </w:tc>
        <w:tc>
          <w:tcPr>
            <w:tcW w:w="100" w:type="dxa"/>
            <w:vAlign w:val="bottom"/>
          </w:tcPr>
          <w:p>
            <w:pPr>
              <w:spacing w:after="0"/>
              <w:rPr>
                <w:sz w:val="20"/>
                <w:szCs w:val="20"/>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4"/>
        </w:trPr>
        <w:tc>
          <w:tcPr>
            <w:tcW w:w="552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6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3"/>
              </w:rPr>
              <w:t>Yinan Xiang</w:t>
            </w:r>
          </w:p>
        </w:tc>
        <w:tc>
          <w:tcPr>
            <w:tcW w:w="100" w:type="dxa"/>
            <w:vAlign w:val="bottom"/>
            <w:vMerge w:val="continue"/>
          </w:tcPr>
          <w:p>
            <w:pPr>
              <w:spacing w:after="0"/>
              <w:rPr>
                <w:sz w:val="20"/>
                <w:szCs w:val="20"/>
                <w:color w:val="auto"/>
              </w:rPr>
            </w:pPr>
          </w:p>
        </w:tc>
        <w:tc>
          <w:tcPr>
            <w:tcW w:w="5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552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56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4"/>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89"/>
              </w:rPr>
              <w:t>Zhengfan Yang</w:t>
            </w:r>
          </w:p>
        </w:tc>
        <w:tc>
          <w:tcPr>
            <w:tcW w:w="100" w:type="dxa"/>
            <w:vAlign w:val="bottom"/>
            <w:vMerge w:val="continue"/>
          </w:tcPr>
          <w:p>
            <w:pPr>
              <w:spacing w:after="0"/>
              <w:rPr>
                <w:sz w:val="20"/>
                <w:szCs w:val="20"/>
                <w:color w:val="auto"/>
              </w:rPr>
            </w:pPr>
          </w:p>
        </w:tc>
        <w:tc>
          <w:tcPr>
            <w:tcW w:w="5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1"/>
        </w:trPr>
        <w:tc>
          <w:tcPr>
            <w:tcW w:w="5520" w:type="dxa"/>
            <w:vAlign w:val="bottom"/>
          </w:tcPr>
          <w:p>
            <w:pPr>
              <w:spacing w:after="0"/>
              <w:rPr>
                <w:sz w:val="24"/>
                <w:szCs w:val="24"/>
                <w:color w:val="auto"/>
              </w:rPr>
            </w:pPr>
          </w:p>
        </w:tc>
        <w:tc>
          <w:tcPr>
            <w:tcW w:w="5720" w:type="dxa"/>
            <w:vAlign w:val="bottom"/>
            <w:gridSpan w:val="2"/>
          </w:tcPr>
          <w:p>
            <w:pPr>
              <w:jc w:val="right"/>
              <w:ind w:right="5410"/>
              <w:spacing w:after="0"/>
              <w:rPr>
                <w:sz w:val="20"/>
                <w:szCs w:val="20"/>
                <w:color w:val="auto"/>
              </w:rPr>
            </w:pPr>
            <w:r>
              <w:rPr>
                <w:rFonts w:ascii="Arial" w:cs="Arial" w:eastAsia="Arial" w:hAnsi="Arial"/>
                <w:sz w:val="14"/>
                <w:szCs w:val="14"/>
                <w:color w:val="auto"/>
                <w:w w:val="85"/>
              </w:rPr>
              <w:t>107</w:t>
            </w:r>
          </w:p>
        </w:tc>
        <w:tc>
          <w:tcPr>
            <w:tcW w:w="0" w:type="dxa"/>
            <w:vAlign w:val="bottom"/>
          </w:tcPr>
          <w:p>
            <w:pPr>
              <w:spacing w:after="0"/>
              <w:rPr>
                <w:sz w:val="1"/>
                <w:szCs w:val="1"/>
                <w:color w:val="auto"/>
              </w:rPr>
            </w:pPr>
          </w:p>
        </w:tc>
      </w:tr>
      <w:tr>
        <w:trPr>
          <w:trHeight w:val="100"/>
        </w:trPr>
        <w:tc>
          <w:tcPr>
            <w:tcW w:w="5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ACM Research, Inc</w:t>
      </w:r>
    </w:p>
    <w:p>
      <w:pPr>
        <w:spacing w:after="0" w:line="238" w:lineRule="auto"/>
        <w:rPr>
          <w:sz w:val="20"/>
          <w:szCs w:val="20"/>
          <w:color w:val="auto"/>
        </w:rPr>
      </w:pPr>
      <w:r>
        <w:rPr>
          <w:rFonts w:ascii="Arial" w:cs="Arial" w:eastAsia="Arial" w:hAnsi="Arial"/>
          <w:sz w:val="22"/>
          <w:szCs w:val="22"/>
          <w:color w:val="auto"/>
        </w:rPr>
        <w:t>42307 Osgood Road, Suite I</w:t>
      </w:r>
    </w:p>
    <w:p>
      <w:pPr>
        <w:spacing w:after="0" w:line="230" w:lineRule="auto"/>
        <w:rPr>
          <w:sz w:val="20"/>
          <w:szCs w:val="20"/>
          <w:color w:val="auto"/>
        </w:rPr>
      </w:pPr>
      <w:r>
        <w:rPr>
          <w:rFonts w:ascii="Arial" w:cs="Arial" w:eastAsia="Arial" w:hAnsi="Arial"/>
          <w:sz w:val="22"/>
          <w:szCs w:val="22"/>
          <w:color w:val="auto"/>
        </w:rPr>
        <w:t>Fremont, California 94539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United States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hereby consent to the incorporation by reference in the Registration Statements on Form S-3 (No. 333-228734) and Form S-8 (No. 333-222702 and 333-232780) of ACM Research, Inc. of our report dated March 24, 2020, relating to the consolidated financial statements, which appears in this Form 10-K for the year ended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BDO China Shu Lun Pan Certified Public Accountants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Shenzhen, The People’s Republic of China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March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David H. Wang, certify that:</w:t>
      </w:r>
    </w:p>
    <w:p>
      <w:pPr>
        <w:spacing w:after="0" w:line="233"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ACM Research, Inc.</w:t>
      </w:r>
    </w:p>
    <w:p>
      <w:pPr>
        <w:spacing w:after="0" w:line="233" w:lineRule="exact"/>
        <w:rPr>
          <w:rFonts w:ascii="Arial" w:cs="Arial" w:eastAsia="Arial" w:hAnsi="Arial"/>
          <w:sz w:val="22"/>
          <w:szCs w:val="22"/>
          <w:color w:val="auto"/>
        </w:rPr>
      </w:pPr>
    </w:p>
    <w:p>
      <w:pPr>
        <w:jc w:val="both"/>
        <w:ind w:right="340" w:firstLine="8"/>
        <w:spacing w:after="0"/>
        <w:tabs>
          <w:tab w:leader="none" w:pos="27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3" w:lineRule="exact"/>
        <w:rPr>
          <w:rFonts w:ascii="Arial" w:cs="Arial" w:eastAsia="Arial" w:hAnsi="Arial"/>
          <w:sz w:val="22"/>
          <w:szCs w:val="22"/>
          <w:color w:val="auto"/>
        </w:rPr>
      </w:pPr>
    </w:p>
    <w:p>
      <w:pPr>
        <w:ind w:right="20" w:firstLine="8"/>
        <w:spacing w:after="0"/>
        <w:tabs>
          <w:tab w:leader="none" w:pos="27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7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660" w:right="20" w:hanging="4"/>
        <w:spacing w:after="0" w:line="297" w:lineRule="auto"/>
        <w:tabs>
          <w:tab w:leader="none" w:pos="1008" w:val="left"/>
        </w:tabs>
        <w:numPr>
          <w:ilvl w:val="1"/>
          <w:numId w:val="6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660" w:right="260" w:hanging="4"/>
        <w:spacing w:after="0" w:line="297" w:lineRule="auto"/>
        <w:tabs>
          <w:tab w:leader="none" w:pos="966" w:val="left"/>
        </w:tabs>
        <w:numPr>
          <w:ilvl w:val="1"/>
          <w:numId w:val="6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w:t>
      </w:r>
    </w:p>
    <w:p>
      <w:pPr>
        <w:spacing w:after="0" w:line="42" w:lineRule="exact"/>
        <w:rPr>
          <w:rFonts w:ascii="Arial" w:cs="Arial" w:eastAsia="Arial" w:hAnsi="Arial"/>
          <w:sz w:val="19"/>
          <w:szCs w:val="19"/>
          <w:color w:val="auto"/>
        </w:rPr>
      </w:pPr>
    </w:p>
    <w:p>
      <w:pPr>
        <w:ind w:left="660" w:right="200"/>
        <w:spacing w:after="0" w:line="236" w:lineRule="auto"/>
        <w:rPr>
          <w:rFonts w:ascii="Arial" w:cs="Arial" w:eastAsia="Arial" w:hAnsi="Arial"/>
          <w:sz w:val="19"/>
          <w:szCs w:val="19"/>
          <w:color w:val="auto"/>
        </w:rPr>
      </w:pPr>
      <w:r>
        <w:rPr>
          <w:rFonts w:ascii="Arial" w:cs="Arial" w:eastAsia="Arial" w:hAnsi="Arial"/>
          <w:sz w:val="22"/>
          <w:szCs w:val="22"/>
          <w:color w:val="auto"/>
        </w:rPr>
        <w:t>conclusions about the effectiveness of the disclosure controls and procedures, as of the end of the period covered by this report based on such evaluation; and</w:t>
      </w:r>
    </w:p>
    <w:p>
      <w:pPr>
        <w:spacing w:after="0" w:line="214" w:lineRule="exact"/>
        <w:rPr>
          <w:sz w:val="20"/>
          <w:szCs w:val="20"/>
          <w:color w:val="auto"/>
        </w:rPr>
      </w:pPr>
    </w:p>
    <w:p>
      <w:pPr>
        <w:ind w:left="660" w:right="100" w:hanging="4"/>
        <w:spacing w:after="0" w:line="297" w:lineRule="auto"/>
        <w:tabs>
          <w:tab w:leader="none" w:pos="1008" w:val="left"/>
        </w:tabs>
        <w:numPr>
          <w:ilvl w:val="1"/>
          <w:numId w:val="7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520" w:firstLine="8"/>
        <w:spacing w:after="0"/>
        <w:tabs>
          <w:tab w:leader="none" w:pos="27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1008" w:val="left"/>
        </w:tabs>
        <w:numPr>
          <w:ilvl w:val="1"/>
          <w:numId w:val="71"/>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260" w:hanging="4"/>
        <w:spacing w:after="0" w:line="250" w:lineRule="auto"/>
        <w:tabs>
          <w:tab w:leader="none" w:pos="1020" w:val="left"/>
        </w:tabs>
        <w:numPr>
          <w:ilvl w:val="1"/>
          <w:numId w:val="71"/>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24, 2020</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A. McKechnie, certify that:</w:t>
      </w:r>
    </w:p>
    <w:p>
      <w:pPr>
        <w:spacing w:after="0" w:line="233" w:lineRule="exact"/>
        <w:rPr>
          <w:sz w:val="20"/>
          <w:szCs w:val="20"/>
          <w:color w:val="auto"/>
        </w:rPr>
      </w:pPr>
    </w:p>
    <w:p>
      <w:pPr>
        <w:ind w:left="280" w:hanging="272"/>
        <w:spacing w:after="0"/>
        <w:tabs>
          <w:tab w:leader="none" w:pos="2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ACM Research, Inc.</w:t>
      </w:r>
    </w:p>
    <w:p>
      <w:pPr>
        <w:spacing w:after="0" w:line="233" w:lineRule="exact"/>
        <w:rPr>
          <w:rFonts w:ascii="Arial" w:cs="Arial" w:eastAsia="Arial" w:hAnsi="Arial"/>
          <w:sz w:val="22"/>
          <w:szCs w:val="22"/>
          <w:color w:val="auto"/>
        </w:rPr>
      </w:pPr>
    </w:p>
    <w:p>
      <w:pPr>
        <w:jc w:val="both"/>
        <w:ind w:right="340" w:firstLine="8"/>
        <w:spacing w:after="0"/>
        <w:tabs>
          <w:tab w:leader="none" w:pos="270" w:val="left"/>
        </w:tabs>
        <w:numPr>
          <w:ilvl w:val="0"/>
          <w:numId w:val="7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3" w:lineRule="exact"/>
        <w:rPr>
          <w:rFonts w:ascii="Arial" w:cs="Arial" w:eastAsia="Arial" w:hAnsi="Arial"/>
          <w:sz w:val="22"/>
          <w:szCs w:val="22"/>
          <w:color w:val="auto"/>
        </w:rPr>
      </w:pPr>
    </w:p>
    <w:p>
      <w:pPr>
        <w:ind w:right="20" w:firstLine="8"/>
        <w:spacing w:after="0"/>
        <w:tabs>
          <w:tab w:leader="none" w:pos="270" w:val="left"/>
        </w:tabs>
        <w:numPr>
          <w:ilvl w:val="0"/>
          <w:numId w:val="7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7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660" w:right="20" w:hanging="4"/>
        <w:spacing w:after="0" w:line="297" w:lineRule="auto"/>
        <w:tabs>
          <w:tab w:leader="none" w:pos="1008" w:val="left"/>
        </w:tabs>
        <w:numPr>
          <w:ilvl w:val="1"/>
          <w:numId w:val="7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660" w:right="200" w:hanging="4"/>
        <w:spacing w:after="0" w:line="297" w:lineRule="auto"/>
        <w:tabs>
          <w:tab w:leader="none" w:pos="1020" w:val="left"/>
        </w:tabs>
        <w:numPr>
          <w:ilvl w:val="1"/>
          <w:numId w:val="7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w:t>
      </w:r>
    </w:p>
    <w:p>
      <w:pPr>
        <w:spacing w:after="0" w:line="42" w:lineRule="exact"/>
        <w:rPr>
          <w:rFonts w:ascii="Arial" w:cs="Arial" w:eastAsia="Arial" w:hAnsi="Arial"/>
          <w:sz w:val="19"/>
          <w:szCs w:val="19"/>
          <w:color w:val="auto"/>
        </w:rPr>
      </w:pPr>
    </w:p>
    <w:p>
      <w:pPr>
        <w:ind w:left="660" w:right="200"/>
        <w:spacing w:after="0" w:line="236" w:lineRule="auto"/>
        <w:rPr>
          <w:rFonts w:ascii="Arial" w:cs="Arial" w:eastAsia="Arial" w:hAnsi="Arial"/>
          <w:sz w:val="19"/>
          <w:szCs w:val="19"/>
          <w:color w:val="auto"/>
        </w:rPr>
      </w:pPr>
      <w:r>
        <w:rPr>
          <w:rFonts w:ascii="Arial" w:cs="Arial" w:eastAsia="Arial" w:hAnsi="Arial"/>
          <w:sz w:val="22"/>
          <w:szCs w:val="22"/>
          <w:color w:val="auto"/>
        </w:rPr>
        <w:t>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9"/>
          <w:szCs w:val="19"/>
          <w:color w:val="auto"/>
        </w:rPr>
      </w:pPr>
    </w:p>
    <w:p>
      <w:pPr>
        <w:ind w:left="660" w:right="80" w:hanging="4"/>
        <w:spacing w:after="0" w:line="297" w:lineRule="auto"/>
        <w:tabs>
          <w:tab w:leader="none" w:pos="1020" w:val="left"/>
        </w:tabs>
        <w:numPr>
          <w:ilvl w:val="1"/>
          <w:numId w:val="7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260" w:firstLine="8"/>
        <w:spacing w:after="0"/>
        <w:tabs>
          <w:tab w:leader="none" w:pos="27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1008" w:val="left"/>
        </w:tabs>
        <w:numPr>
          <w:ilvl w:val="1"/>
          <w:numId w:val="7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260" w:hanging="4"/>
        <w:spacing w:after="0" w:line="250" w:lineRule="auto"/>
        <w:tabs>
          <w:tab w:leader="none" w:pos="102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24, 2020</w:t>
      </w:r>
      <w:r>
        <w:rPr>
          <w:sz w:val="20"/>
          <w:szCs w:val="20"/>
          <w:color w:val="auto"/>
        </w:rPr>
        <w:tab/>
      </w:r>
      <w:r>
        <w:rPr>
          <w:rFonts w:ascii="Arial" w:cs="Arial" w:eastAsia="Arial" w:hAnsi="Arial"/>
          <w:sz w:val="16"/>
          <w:szCs w:val="16"/>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A. McKechnie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connection with the Annual Report on Form 10-K of ACM Research, Inc. for the year ended December 31, 2019,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212" w:lineRule="exact"/>
        <w:rPr>
          <w:sz w:val="20"/>
          <w:szCs w:val="20"/>
          <w:color w:val="auto"/>
        </w:rPr>
      </w:pPr>
    </w:p>
    <w:p>
      <w:pPr>
        <w:ind w:left="280" w:hanging="272"/>
        <w:spacing w:after="0"/>
        <w:tabs>
          <w:tab w:leader="none" w:pos="2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and</w:t>
      </w:r>
    </w:p>
    <w:p>
      <w:pPr>
        <w:spacing w:after="0" w:line="244" w:lineRule="exact"/>
        <w:rPr>
          <w:rFonts w:ascii="Arial" w:cs="Arial" w:eastAsia="Arial" w:hAnsi="Arial"/>
          <w:sz w:val="21"/>
          <w:szCs w:val="21"/>
          <w:color w:val="auto"/>
        </w:rPr>
      </w:pPr>
    </w:p>
    <w:p>
      <w:pPr>
        <w:ind w:right="940" w:firstLine="8"/>
        <w:spacing w:after="0" w:line="250" w:lineRule="auto"/>
        <w:tabs>
          <w:tab w:leader="none" w:pos="27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ACM Research, Inc. for the period presented therein.</w:t>
      </w:r>
    </w:p>
    <w:p>
      <w:pPr>
        <w:spacing w:after="0" w:line="209"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24, 2020</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24, 2020</w:t>
      </w:r>
      <w:r>
        <w:rPr>
          <w:sz w:val="20"/>
          <w:szCs w:val="20"/>
          <w:color w:val="auto"/>
        </w:rPr>
        <w:tab/>
      </w:r>
      <w:r>
        <w:rPr>
          <w:rFonts w:ascii="Arial" w:cs="Arial" w:eastAsia="Arial" w:hAnsi="Arial"/>
          <w:sz w:val="16"/>
          <w:szCs w:val="16"/>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A. McKechnie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Chief Financial Officer, Executive Vice President and Treasurer</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31"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lvl w:ilvl="1">
      <w:lvlJc w:val="left"/>
      <w:lvlText w:val="(%2)"/>
      <w:numFmt w:val="lowerLetter"/>
      <w:start w:val="2"/>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lowerLetter"/>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1)"/>
      <w:numFmt w:val="lowerLetter"/>
      <w:start w:val="2"/>
    </w:lvl>
  </w:abstractNum>
  <w:abstractNum w:abstractNumId="63">
    <w:nsid w:val="100F8FCA"/>
    <w:multiLevelType w:val="hybridMultilevel"/>
    <w:lvl w:ilvl="0">
      <w:lvlJc w:val="left"/>
      <w:lvlText w:val="%1."/>
      <w:numFmt w:val="decimal"/>
      <w:start w:val="740"/>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1."/>
      <w:numFmt w:val="decimal"/>
      <w:start w:val="1"/>
    </w:lvl>
    <w:lvl w:ilvl="1">
      <w:lvlJc w:val="left"/>
      <w:lvlText w:val="(%2)"/>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5"/>
    </w:lvl>
  </w:abstractNum>
  <w:abstractNum w:abstractNumId="70">
    <w:nsid w:val="42C296BD"/>
    <w:multiLevelType w:val="hybridMultilevel"/>
    <w:lvl w:ilvl="0">
      <w:lvlJc w:val="left"/>
      <w:lvlText w:val="%1."/>
      <w:numFmt w:val="decimal"/>
      <w:start w:val="5"/>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22" Type="http://schemas.openxmlformats.org/officeDocument/2006/relationships/hyperlink" Target="http://www.sec.gov/Archives/edgar/data/1680062/000119312517342650/d407541dex301.htm" TargetMode="External"/><Relationship Id="rId123" Type="http://schemas.openxmlformats.org/officeDocument/2006/relationships/hyperlink" Target="http://www.sec.gov/Archives/edgar/data/1680062/000119312517342650/d407541dex302.htm" TargetMode="External"/><Relationship Id="rId124" Type="http://schemas.openxmlformats.org/officeDocument/2006/relationships/hyperlink" Target="http://www.sec.gov/Archives/edgar/data/1680062/000165495418005164/acm_ex10-03.htm" TargetMode="External"/><Relationship Id="rId125" Type="http://schemas.openxmlformats.org/officeDocument/2006/relationships/hyperlink" Target="http://www.sec.gov/Archives/edgar/data/1680062/000165495418005164/acm_ex10-04.htm" TargetMode="External"/><Relationship Id="rId126" Type="http://schemas.openxmlformats.org/officeDocument/2006/relationships/hyperlink" Target="http://www.sec.gov/Archives/edgar/data/1680062/000165495418005164/acm_ex10-02.htm" TargetMode="External"/><Relationship Id="rId127" Type="http://schemas.openxmlformats.org/officeDocument/2006/relationships/hyperlink" Target="http://www.sec.gov/Archives/edgar/data/1680062/000119312517283955/d311227dex1001.htm" TargetMode="External"/><Relationship Id="rId128" Type="http://schemas.openxmlformats.org/officeDocument/2006/relationships/hyperlink" Target="http://www.sec.gov/Archives/edgar/data/1680062/000165495418011153/acmr_ex1006.htm" TargetMode="External"/><Relationship Id="rId129" Type="http://schemas.openxmlformats.org/officeDocument/2006/relationships/hyperlink" Target="http://www.sec.gov/Archives/edgar/data/1680062/000165495419001232/acm_ex10-1.htm" TargetMode="External"/><Relationship Id="rId130" Type="http://schemas.openxmlformats.org/officeDocument/2006/relationships/hyperlink" Target="http://www.sec.gov/Archives/edgar/data/1680062/000165495418011154/acmr_ex1001.htm" TargetMode="External"/><Relationship Id="rId131" Type="http://schemas.openxmlformats.org/officeDocument/2006/relationships/hyperlink" Target="http://www.sec.gov/Archives/edgar/data/1680062/000165495418011153/acmr_ex1005.htm" TargetMode="External"/><Relationship Id="rId132" Type="http://schemas.openxmlformats.org/officeDocument/2006/relationships/hyperlink" Target="http://www.sec.gov/Archives/edgar/data/1680062/000119312517283955/d311227dex1003.htm" TargetMode="External"/><Relationship Id="rId133" Type="http://schemas.openxmlformats.org/officeDocument/2006/relationships/hyperlink" Target="http://www.sec.gov/Archives/edgar/data/1680062/000119312517312780/d311227dex1004.htm" TargetMode="External"/><Relationship Id="rId134" Type="http://schemas.openxmlformats.org/officeDocument/2006/relationships/hyperlink" Target="http://www.sec.gov/Archives/edgar/data/1680062/000119312517283955/d311227dex1005.htm" TargetMode="External"/><Relationship Id="rId135" Type="http://schemas.openxmlformats.org/officeDocument/2006/relationships/hyperlink" Target="http://www.sec.gov/Archives/edgar/data/1680062/000119312517283955/d311227dex1006.htm" TargetMode="External"/><Relationship Id="rId136" Type="http://schemas.openxmlformats.org/officeDocument/2006/relationships/hyperlink" Target="http://www.sec.gov/Archives/edgar/data/1680062/000119312517312780/d311227dex1007.htm" TargetMode="External"/><Relationship Id="rId137" Type="http://schemas.openxmlformats.org/officeDocument/2006/relationships/hyperlink" Target="http://www.sec.gov/Archives/edgar/data/1680062/000119312517312780/d311227dex1008.htm" TargetMode="External"/><Relationship Id="rId138" Type="http://schemas.openxmlformats.org/officeDocument/2006/relationships/hyperlink" Target="http://www.sec.gov/Archives/edgar/data/1680062/000119312517312780/d311227dex1009.htm" TargetMode="External"/><Relationship Id="rId139" Type="http://schemas.openxmlformats.org/officeDocument/2006/relationships/hyperlink" Target="http://www.sec.gov/Archives/edgar/data/1680062/000119312517312780/d311227dex1010.htm" TargetMode="External"/><Relationship Id="rId140" Type="http://schemas.openxmlformats.org/officeDocument/2006/relationships/hyperlink" Target="http://www.sec.gov/Archives/edgar/data/1680062/000119312517312780/d311227dex1011.htm" TargetMode="External"/><Relationship Id="rId141" Type="http://schemas.openxmlformats.org/officeDocument/2006/relationships/hyperlink" Target="http://www.sec.gov/Archives/edgar/data/1680062/000119312517312780/d311227dex1012.htm" TargetMode="External"/><Relationship Id="rId142" Type="http://schemas.openxmlformats.org/officeDocument/2006/relationships/hyperlink" Target="http://www.sec.gov/Archives/edgar/data/1680062/000119312517312780/d311227dex1013.htm" TargetMode="External"/><Relationship Id="rId143" Type="http://schemas.openxmlformats.org/officeDocument/2006/relationships/hyperlink" Target="http://www.sec.gov/Archives/edgar/data/1680062/000165495419009210/acm_ex10-01.htm" TargetMode="External"/><Relationship Id="rId144" Type="http://schemas.openxmlformats.org/officeDocument/2006/relationships/hyperlink" Target="http://www.sec.gov/Archives/edgar/data/1680062/000165495419009210/acm_ex10-01a.htm" TargetMode="External"/><Relationship Id="rId145" Type="http://schemas.openxmlformats.org/officeDocument/2006/relationships/hyperlink" Target="http://www.sec.gov/Archives/edgar/data/1680062/000165495419009210/acm_ex10-02.htm" TargetMode="External"/><Relationship Id="rId146" Type="http://schemas.openxmlformats.org/officeDocument/2006/relationships/hyperlink" Target="http://www.sec.gov/Archives/edgar/data/1680062/000165495419009210/acm_ex10-02a.htm" TargetMode="External"/><Relationship Id="rId147" Type="http://schemas.openxmlformats.org/officeDocument/2006/relationships/hyperlink" Target="http://www.sec.gov/Archives/edgar/data/1680062/000114036119014943/nc10003786x1_ex10-01.htm" TargetMode="External"/><Relationship Id="rId148" Type="http://schemas.openxmlformats.org/officeDocument/2006/relationships/hyperlink" Target="http://www.sec.gov/Archives/edgar/data/1680062/000114036119015176/nc10003786x2_ex1-01.htm" TargetMode="External"/><Relationship Id="rId149" Type="http://schemas.openxmlformats.org/officeDocument/2006/relationships/hyperlink" Target="http://www.sec.gov/Archives/edgar/data/1680062/000114036119020461/ex10_03.htm" TargetMode="External"/><Relationship Id="rId150" Type="http://schemas.openxmlformats.org/officeDocument/2006/relationships/hyperlink" Target="http://www.sec.gov/Archives/edgar/data/1680062/000119312517364926/d481028dex1001.htm" TargetMode="External"/><Relationship Id="rId151" Type="http://schemas.openxmlformats.org/officeDocument/2006/relationships/hyperlink" Target="http://www.sec.gov/Archives/edgar/data/1680062/000119312517283955/d311227dex1010a.htm" TargetMode="External"/><Relationship Id="rId152" Type="http://schemas.openxmlformats.org/officeDocument/2006/relationships/hyperlink" Target="http://www.sec.gov/Archives/edgar/data/1680062/000119312517283955/d311227dex1010b.htm" TargetMode="External"/><Relationship Id="rId153" Type="http://schemas.openxmlformats.org/officeDocument/2006/relationships/hyperlink" Target="http://www.sec.gov/Archives/edgar/data/1680062/000119312517283955/d311227dex1010c.htm" TargetMode="External"/><Relationship Id="rId154" Type="http://schemas.openxmlformats.org/officeDocument/2006/relationships/hyperlink" Target="http://www.sec.gov/Archives/edgar/data/1680062/000119312517283955/d311227dex1011.htm" TargetMode="External"/><Relationship Id="rId155" Type="http://schemas.openxmlformats.org/officeDocument/2006/relationships/hyperlink" Target="http://www.sec.gov/Archives/edgar/data/1680062/000119312517283955/d311227dex1012.htm" TargetMode="External"/><Relationship Id="rId156" Type="http://schemas.openxmlformats.org/officeDocument/2006/relationships/hyperlink" Target="http://www.sec.gov/Archives/edgar/data/1680062/000119312517283955/d311227dex1012a.htm" TargetMode="External"/><Relationship Id="rId157" Type="http://schemas.openxmlformats.org/officeDocument/2006/relationships/hyperlink" Target="http://www.sec.gov/Archives/edgar/data/1680062/000119312517283955/d311227dex1012b.htm" TargetMode="External"/><Relationship Id="rId158" Type="http://schemas.openxmlformats.org/officeDocument/2006/relationships/hyperlink" Target="http://www.sec.gov/Archives/edgar/data/1680062/000119312517283955/d311227dex1013.htm" TargetMode="External"/><Relationship Id="rId159" Type="http://schemas.openxmlformats.org/officeDocument/2006/relationships/hyperlink" Target="http://www.sec.gov/Archives/edgar/data/1680062/000165495418005164/acm_ex10-01.htm" TargetMode="External"/><Relationship Id="rId160" Type="http://schemas.openxmlformats.org/officeDocument/2006/relationships/hyperlink" Target="http://www.sec.gov/Archives/edgar/data/1680062/000165495419005926/acm_ex1001.htm" TargetMode="External"/><Relationship Id="rId161" Type="http://schemas.openxmlformats.org/officeDocument/2006/relationships/hyperlink" Target="http://www.sec.gov/Archives/edgar/data/1680062/000165495419005926/acm_ex1002.htm" TargetMode="External"/><Relationship Id="rId162" Type="http://schemas.openxmlformats.org/officeDocument/2006/relationships/hyperlink" Target="http://www.sec.gov/Archives/edgar/data/1680062/000165495419005926/acm_ex1003.htm" TargetMode="External"/><Relationship Id="rId163" Type="http://schemas.openxmlformats.org/officeDocument/2006/relationships/hyperlink" Target="http://www.sec.gov/Archives/edgar/data/1680062/000165495419005926/acm_ex1004.htm" TargetMode="External"/><Relationship Id="rId164" Type="http://schemas.openxmlformats.org/officeDocument/2006/relationships/hyperlink" Target="http://www.sec.gov/Archives/edgar/data/1680062/000165495419005926/acm_ex1005.htm" TargetMode="External"/><Relationship Id="rId165" Type="http://schemas.openxmlformats.org/officeDocument/2006/relationships/hyperlink" Target="http://www.sec.gov/Archives/edgar/data/1680062/000165495419005926/acm_ex1006.htm" TargetMode="External"/><Relationship Id="rId166" Type="http://schemas.openxmlformats.org/officeDocument/2006/relationships/hyperlink" Target="http://www.sec.gov/Archives/edgar/data/1680062/000114036119014943/nc10003786x1_ex10-02.htm" TargetMode="External"/><Relationship Id="rId167" Type="http://schemas.openxmlformats.org/officeDocument/2006/relationships/hyperlink" Target="http://www.sec.gov/Archives/edgar/data/1680062/000165495418002950/acmr_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2020-03-24T16:30:31Z</dcterms:created>
  <dcterms:modified xsi:type="dcterms:W3CDTF">2020-03-24T16:30:31Z</dcterms:modified>
</cp:coreProperties>
</file>