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281940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ind w:left="480" w:right="1800" w:hanging="474"/>
        <w:spacing w:after="0" w:line="247" w:lineRule="auto"/>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 w:lineRule="exact"/>
        <w:rPr>
          <w:sz w:val="24"/>
          <w:szCs w:val="24"/>
          <w:color w:val="auto"/>
        </w:rPr>
      </w:pPr>
    </w:p>
    <w:p>
      <w:pPr>
        <w:ind w:left="480" w:right="1780" w:hanging="474"/>
        <w:spacing w:after="0" w:line="255" w:lineRule="auto"/>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3314700</wp:posOffset>
            </wp:positionH>
            <wp:positionV relativeFrom="paragraph">
              <wp:posOffset>149225</wp:posOffset>
            </wp:positionV>
            <wp:extent cx="512445" cy="3194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2445" cy="319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7" w:lineRule="exact"/>
        <w:rPr>
          <w:sz w:val="24"/>
          <w:szCs w:val="24"/>
          <w:color w:val="auto"/>
        </w:rPr>
      </w:pPr>
    </w:p>
    <w:tbl>
      <w:tblPr>
        <w:tblLayout w:type="fixed"/>
        <w:tblInd w:w="560" w:type="dxa"/>
        <w:tblCellMar>
          <w:top w:w="0" w:type="dxa"/>
          <w:left w:w="0" w:type="dxa"/>
          <w:bottom w:w="0" w:type="dxa"/>
          <w:right w:w="0" w:type="dxa"/>
        </w:tblCellMar>
      </w:tblPr>
      <w:tr>
        <w:trPr>
          <w:trHeight w:val="218"/>
        </w:trPr>
        <w:tc>
          <w:tcPr>
            <w:tcW w:w="5540" w:type="dxa"/>
            <w:vAlign w:val="bottom"/>
          </w:tcPr>
          <w:p>
            <w:pPr>
              <w:jc w:val="center"/>
              <w:ind w:right="1052"/>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752"/>
              <w:spacing w:after="0"/>
              <w:rPr>
                <w:sz w:val="20"/>
                <w:szCs w:val="20"/>
                <w:color w:val="auto"/>
              </w:rPr>
            </w:pPr>
            <w:r>
              <w:rPr>
                <w:rFonts w:ascii="Arial" w:cs="Arial" w:eastAsia="Arial" w:hAnsi="Arial"/>
                <w:sz w:val="18"/>
                <w:szCs w:val="18"/>
                <w:b w:val="1"/>
                <w:bCs w:val="1"/>
                <w:color w:val="auto"/>
              </w:rPr>
              <w:t>94-3290283</w:t>
            </w:r>
          </w:p>
        </w:tc>
      </w:tr>
      <w:tr>
        <w:trPr>
          <w:trHeight w:val="223"/>
        </w:trPr>
        <w:tc>
          <w:tcPr>
            <w:tcW w:w="5540" w:type="dxa"/>
            <w:vAlign w:val="bottom"/>
          </w:tcPr>
          <w:p>
            <w:pPr>
              <w:jc w:val="center"/>
              <w:ind w:right="1052"/>
              <w:spacing w:after="0"/>
              <w:rPr>
                <w:sz w:val="20"/>
                <w:szCs w:val="20"/>
                <w:color w:val="auto"/>
              </w:rPr>
            </w:pPr>
            <w:r>
              <w:rPr>
                <w:rFonts w:ascii="Arial" w:cs="Arial" w:eastAsia="Arial" w:hAnsi="Arial"/>
                <w:sz w:val="18"/>
                <w:szCs w:val="18"/>
                <w:i w:val="1"/>
                <w:iCs w:val="1"/>
                <w:color w:val="auto"/>
                <w:w w:val="92"/>
              </w:rPr>
              <w:t>(State or Other Jurisdiction of Incorporation or Organization)</w:t>
            </w:r>
          </w:p>
        </w:tc>
        <w:tc>
          <w:tcPr>
            <w:tcW w:w="3660" w:type="dxa"/>
            <w:vAlign w:val="bottom"/>
          </w:tcPr>
          <w:p>
            <w:pPr>
              <w:jc w:val="center"/>
              <w:ind w:left="1032"/>
              <w:spacing w:after="0"/>
              <w:rPr>
                <w:sz w:val="20"/>
                <w:szCs w:val="20"/>
                <w:color w:val="auto"/>
              </w:rPr>
            </w:pPr>
            <w:r>
              <w:rPr>
                <w:rFonts w:ascii="Arial" w:cs="Arial" w:eastAsia="Arial" w:hAnsi="Arial"/>
                <w:sz w:val="18"/>
                <w:szCs w:val="18"/>
                <w:i w:val="1"/>
                <w:iCs w:val="1"/>
                <w:color w:val="auto"/>
                <w:w w:val="91"/>
              </w:rPr>
              <w:t>(I.R.S. Employer Identification No.)</w:t>
            </w:r>
          </w:p>
        </w:tc>
      </w:tr>
      <w:tr>
        <w:trPr>
          <w:trHeight w:val="406"/>
        </w:trPr>
        <w:tc>
          <w:tcPr>
            <w:tcW w:w="5540" w:type="dxa"/>
            <w:vAlign w:val="bottom"/>
          </w:tcPr>
          <w:p>
            <w:pPr>
              <w:jc w:val="center"/>
              <w:ind w:right="1052"/>
              <w:spacing w:after="0"/>
              <w:rPr>
                <w:sz w:val="20"/>
                <w:szCs w:val="20"/>
                <w:color w:val="auto"/>
              </w:rPr>
            </w:pPr>
            <w:r>
              <w:rPr>
                <w:rFonts w:ascii="Arial" w:cs="Arial" w:eastAsia="Arial" w:hAnsi="Arial"/>
                <w:sz w:val="18"/>
                <w:szCs w:val="18"/>
                <w:b w:val="1"/>
                <w:bCs w:val="1"/>
                <w:color w:val="auto"/>
                <w:w w:val="87"/>
              </w:rPr>
              <w:t>42307 Osgood Road, Suite I</w:t>
            </w:r>
          </w:p>
        </w:tc>
        <w:tc>
          <w:tcPr>
            <w:tcW w:w="3660" w:type="dxa"/>
            <w:vAlign w:val="bottom"/>
          </w:tcPr>
          <w:p>
            <w:pPr>
              <w:spacing w:after="0"/>
              <w:rPr>
                <w:sz w:val="24"/>
                <w:szCs w:val="24"/>
                <w:color w:val="auto"/>
              </w:rPr>
            </w:pPr>
          </w:p>
        </w:tc>
      </w:tr>
      <w:tr>
        <w:trPr>
          <w:trHeight w:val="218"/>
        </w:trPr>
        <w:tc>
          <w:tcPr>
            <w:tcW w:w="5540" w:type="dxa"/>
            <w:vAlign w:val="bottom"/>
          </w:tcPr>
          <w:p>
            <w:pPr>
              <w:jc w:val="center"/>
              <w:ind w:right="1052"/>
              <w:spacing w:after="0"/>
              <w:rPr>
                <w:sz w:val="20"/>
                <w:szCs w:val="20"/>
                <w:color w:val="auto"/>
              </w:rPr>
            </w:pPr>
            <w:r>
              <w:rPr>
                <w:rFonts w:ascii="Arial" w:cs="Arial" w:eastAsia="Arial" w:hAnsi="Arial"/>
                <w:sz w:val="18"/>
                <w:szCs w:val="18"/>
                <w:b w:val="1"/>
                <w:bCs w:val="1"/>
                <w:color w:val="auto"/>
                <w:w w:val="92"/>
              </w:rPr>
              <w:t>Fremont, California</w:t>
            </w:r>
          </w:p>
        </w:tc>
        <w:tc>
          <w:tcPr>
            <w:tcW w:w="3660" w:type="dxa"/>
            <w:vAlign w:val="bottom"/>
          </w:tcPr>
          <w:p>
            <w:pPr>
              <w:jc w:val="right"/>
              <w:ind w:right="972"/>
              <w:spacing w:after="0"/>
              <w:rPr>
                <w:sz w:val="20"/>
                <w:szCs w:val="20"/>
                <w:color w:val="auto"/>
              </w:rPr>
            </w:pPr>
            <w:r>
              <w:rPr>
                <w:rFonts w:ascii="Arial" w:cs="Arial" w:eastAsia="Arial" w:hAnsi="Arial"/>
                <w:sz w:val="18"/>
                <w:szCs w:val="18"/>
                <w:b w:val="1"/>
                <w:bCs w:val="1"/>
                <w:color w:val="auto"/>
              </w:rPr>
              <w:t>94539</w:t>
            </w:r>
          </w:p>
        </w:tc>
      </w:tr>
      <w:tr>
        <w:trPr>
          <w:trHeight w:val="223"/>
        </w:trPr>
        <w:tc>
          <w:tcPr>
            <w:tcW w:w="5540" w:type="dxa"/>
            <w:vAlign w:val="bottom"/>
          </w:tcPr>
          <w:p>
            <w:pPr>
              <w:jc w:val="center"/>
              <w:ind w:right="105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3660" w:type="dxa"/>
            <w:vAlign w:val="bottom"/>
          </w:tcPr>
          <w:p>
            <w:pPr>
              <w:jc w:val="center"/>
              <w:ind w:left="1032"/>
              <w:spacing w:after="0"/>
              <w:rPr>
                <w:sz w:val="20"/>
                <w:szCs w:val="20"/>
                <w:color w:val="auto"/>
              </w:rPr>
            </w:pPr>
            <w:r>
              <w:rPr>
                <w:rFonts w:ascii="Arial" w:cs="Arial" w:eastAsia="Arial" w:hAnsi="Arial"/>
                <w:sz w:val="18"/>
                <w:szCs w:val="18"/>
                <w:i w:val="1"/>
                <w:iCs w:val="1"/>
                <w:color w:val="auto"/>
                <w:w w:val="91"/>
              </w:rPr>
              <w:t>(Zip Code)</w:t>
            </w:r>
          </w:p>
        </w:tc>
      </w:tr>
    </w:tbl>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20" w:type="dxa"/>
            <w:vAlign w:val="bottom"/>
            <w:gridSpan w:val="3"/>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31"/>
        </w:trPr>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3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Trading Symbol</w:t>
            </w:r>
          </w:p>
        </w:tc>
        <w:tc>
          <w:tcPr>
            <w:tcW w:w="4220" w:type="dxa"/>
            <w:vAlign w:val="bottom"/>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29"/>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$0.0001 par value</w:t>
            </w:r>
          </w:p>
        </w:tc>
        <w:tc>
          <w:tcPr>
            <w:tcW w:w="1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ACMR</w:t>
            </w:r>
          </w:p>
        </w:tc>
        <w:tc>
          <w:tcPr>
            <w:tcW w:w="10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2"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5" w:lineRule="exact"/>
        <w:rPr>
          <w:sz w:val="24"/>
          <w:szCs w:val="24"/>
          <w:color w:val="auto"/>
        </w:rPr>
      </w:pPr>
    </w:p>
    <w:tbl>
      <w:tblPr>
        <w:tblLayout w:type="fixed"/>
        <w:tblInd w:w="580" w:type="dxa"/>
        <w:tblCellMar>
          <w:top w:w="0" w:type="dxa"/>
          <w:left w:w="0" w:type="dxa"/>
          <w:bottom w:w="0" w:type="dxa"/>
          <w:right w:w="0" w:type="dxa"/>
        </w:tblCellMar>
      </w:tblPr>
      <w:tr>
        <w:trPr>
          <w:trHeight w:val="212"/>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29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2"/>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29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6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2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Number of Shares Outstanding</w:t>
            </w:r>
          </w:p>
        </w:tc>
        <w:tc>
          <w:tcPr>
            <w:tcW w:w="1620" w:type="dxa"/>
            <w:vAlign w:val="bottom"/>
          </w:tcPr>
          <w:p>
            <w:pPr>
              <w:spacing w:after="0"/>
              <w:rPr>
                <w:sz w:val="18"/>
                <w:szCs w:val="18"/>
                <w:color w:val="auto"/>
              </w:rPr>
            </w:pPr>
          </w:p>
        </w:tc>
      </w:tr>
      <w:tr>
        <w:trPr>
          <w:trHeight w:val="219"/>
        </w:trPr>
        <w:tc>
          <w:tcPr>
            <w:tcW w:w="542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Class A Common Stock, $0.0001 par value</w:t>
            </w:r>
          </w:p>
        </w:tc>
        <w:tc>
          <w:tcPr>
            <w:tcW w:w="5820" w:type="dxa"/>
            <w:vAlign w:val="bottom"/>
            <w:gridSpan w:val="3"/>
          </w:tcPr>
          <w:p>
            <w:pPr>
              <w:jc w:val="center"/>
              <w:ind w:left="132"/>
              <w:spacing w:after="0"/>
              <w:rPr>
                <w:sz w:val="20"/>
                <w:szCs w:val="20"/>
                <w:color w:val="auto"/>
              </w:rPr>
            </w:pPr>
            <w:r>
              <w:rPr>
                <w:rFonts w:ascii="Arial" w:cs="Arial" w:eastAsia="Arial" w:hAnsi="Arial"/>
                <w:sz w:val="18"/>
                <w:szCs w:val="18"/>
                <w:color w:val="auto"/>
                <w:w w:val="87"/>
              </w:rPr>
              <w:t>54,373,515 shares outstanding as of November 2, 2022</w:t>
            </w:r>
          </w:p>
        </w:tc>
      </w:tr>
      <w:tr>
        <w:trPr>
          <w:trHeight w:val="223"/>
        </w:trPr>
        <w:tc>
          <w:tcPr>
            <w:tcW w:w="542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Class B Common Stock, $0.0001 par value</w:t>
            </w:r>
          </w:p>
        </w:tc>
        <w:tc>
          <w:tcPr>
            <w:tcW w:w="5820" w:type="dxa"/>
            <w:vAlign w:val="bottom"/>
            <w:gridSpan w:val="3"/>
          </w:tcPr>
          <w:p>
            <w:pPr>
              <w:jc w:val="center"/>
              <w:ind w:left="132"/>
              <w:spacing w:after="0"/>
              <w:rPr>
                <w:sz w:val="20"/>
                <w:szCs w:val="20"/>
                <w:color w:val="auto"/>
              </w:rPr>
            </w:pPr>
            <w:r>
              <w:rPr>
                <w:rFonts w:ascii="Arial" w:cs="Arial" w:eastAsia="Arial" w:hAnsi="Arial"/>
                <w:sz w:val="18"/>
                <w:szCs w:val="18"/>
                <w:color w:val="auto"/>
                <w:w w:val="87"/>
              </w:rPr>
              <w:t>5,086,812 shares outstanding as of November 2, 2022</w:t>
            </w:r>
          </w:p>
        </w:tc>
      </w:tr>
      <w:tr>
        <w:trPr>
          <w:trHeight w:val="292"/>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59"/>
        </w:trPr>
        <w:tc>
          <w:tcPr>
            <w:tcW w:w="2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92"/>
        </w:trPr>
        <w:tc>
          <w:tcPr>
            <w:tcW w:w="2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566"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40" w:type="dxa"/>
            <w:vAlign w:val="bottom"/>
            <w:gridSpan w:val="9"/>
          </w:tcPr>
          <w:p>
            <w:pPr>
              <w:ind w:left="14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vMerge w:val="restart"/>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 w:type="dxa"/>
            <w:vAlign w:val="bottom"/>
            <w:tcBorders>
              <w:bottom w:val="single" w:sz="8" w:color="CCEEFF"/>
            </w:tcBorders>
            <w:gridSpan w:val="2"/>
            <w:shd w:val="clear" w:color="auto" w:fill="CCEEFF"/>
          </w:tcPr>
          <w:p>
            <w:pPr>
              <w:spacing w:after="0" w:line="172" w:lineRule="exact"/>
              <w:rPr>
                <w:sz w:val="20"/>
                <w:szCs w:val="20"/>
                <w:color w:val="auto"/>
              </w:rPr>
            </w:pPr>
            <w:r>
              <w:rPr>
                <w:rFonts w:ascii="Arial" w:cs="Arial" w:eastAsia="Arial" w:hAnsi="Arial"/>
                <w:sz w:val="18"/>
                <w:szCs w:val="18"/>
                <w:color w:val="auto"/>
              </w:rPr>
              <w:t>PART I.</w:t>
            </w:r>
          </w:p>
        </w:tc>
        <w:tc>
          <w:tcPr>
            <w:tcW w:w="2220" w:type="dxa"/>
            <w:vAlign w:val="bottom"/>
            <w:tcBorders>
              <w:bottom w:val="single" w:sz="8" w:color="0000EE"/>
            </w:tcBorders>
            <w:gridSpan w:val="6"/>
            <w:shd w:val="clear" w:color="auto" w:fill="CCEEFF"/>
          </w:tcPr>
          <w:p>
            <w:pPr>
              <w:spacing w:after="0" w:line="172" w:lineRule="exact"/>
              <w:rPr>
                <w:sz w:val="20"/>
                <w:szCs w:val="20"/>
                <w:color w:val="auto"/>
              </w:rPr>
            </w:pPr>
            <w:r>
              <w:rPr>
                <w:rFonts w:ascii="Arial" w:cs="Arial" w:eastAsia="Arial" w:hAnsi="Arial"/>
                <w:sz w:val="18"/>
                <w:szCs w:val="18"/>
                <w:color w:val="0000EE"/>
                <w:w w:val="97"/>
              </w:rPr>
              <w:t>FINANCIAL INFORMATION</w:t>
            </w:r>
          </w:p>
        </w:tc>
        <w:tc>
          <w:tcPr>
            <w:tcW w:w="7760" w:type="dxa"/>
            <w:vAlign w:val="bottom"/>
            <w:tcBorders>
              <w:bottom w:val="single" w:sz="8" w:color="CCEEFF"/>
            </w:tcBorders>
            <w:gridSpan w:val="10"/>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line="172"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gridSpan w:val="2"/>
          </w:tcPr>
          <w:p>
            <w:pPr>
              <w:ind w:left="220"/>
              <w:spacing w:after="0" w:line="172" w:lineRule="exact"/>
              <w:rPr>
                <w:sz w:val="20"/>
                <w:szCs w:val="20"/>
                <w:color w:val="auto"/>
              </w:rPr>
            </w:pPr>
            <w:r>
              <w:rPr>
                <w:rFonts w:ascii="Arial" w:cs="Arial" w:eastAsia="Arial" w:hAnsi="Arial"/>
                <w:sz w:val="18"/>
                <w:szCs w:val="18"/>
                <w:color w:val="auto"/>
              </w:rPr>
              <w:t>Item 1.</w:t>
            </w:r>
          </w:p>
        </w:tc>
        <w:tc>
          <w:tcPr>
            <w:tcW w:w="2340" w:type="dxa"/>
            <w:vAlign w:val="bottom"/>
            <w:tcBorders>
              <w:bottom w:val="single" w:sz="8" w:color="0000EE"/>
            </w:tcBorders>
            <w:gridSpan w:val="7"/>
          </w:tcPr>
          <w:p>
            <w:pPr>
              <w:spacing w:after="0" w:line="172" w:lineRule="exact"/>
              <w:rPr>
                <w:sz w:val="20"/>
                <w:szCs w:val="20"/>
                <w:color w:val="auto"/>
              </w:rPr>
            </w:pPr>
            <w:r>
              <w:rPr>
                <w:rFonts w:ascii="Arial" w:cs="Arial" w:eastAsia="Arial" w:hAnsi="Arial"/>
                <w:sz w:val="18"/>
                <w:szCs w:val="18"/>
                <w:color w:val="0000EE"/>
                <w:w w:val="87"/>
              </w:rPr>
              <w:t>Financial Statements (unaudited)</w:t>
            </w:r>
          </w:p>
        </w:tc>
        <w:tc>
          <w:tcPr>
            <w:tcW w:w="7640" w:type="dxa"/>
            <w:vAlign w:val="bottom"/>
            <w:gridSpan w:val="9"/>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0000EE"/>
            </w:tcBorders>
            <w:gridSpan w:val="12"/>
            <w:shd w:val="clear" w:color="auto" w:fill="CCEEFF"/>
          </w:tcPr>
          <w:p>
            <w:pPr>
              <w:spacing w:after="0" w:line="192" w:lineRule="exact"/>
              <w:rPr>
                <w:sz w:val="20"/>
                <w:szCs w:val="20"/>
                <w:color w:val="auto"/>
              </w:rPr>
            </w:pPr>
            <w:r>
              <w:rPr>
                <w:rFonts w:ascii="Arial" w:cs="Arial" w:eastAsia="Arial" w:hAnsi="Arial"/>
                <w:sz w:val="18"/>
                <w:szCs w:val="18"/>
                <w:color w:val="0000EE"/>
                <w:w w:val="86"/>
              </w:rPr>
              <w:t>Condensed Consolidated Balance Sheets as of September 30, 2022 and December 31, 2021</w:t>
            </w:r>
          </w:p>
        </w:tc>
        <w:tc>
          <w:tcPr>
            <w:tcW w:w="3520" w:type="dxa"/>
            <w:vAlign w:val="bottom"/>
            <w:tcBorders>
              <w:bottom w:val="single" w:sz="8" w:color="CCEEFF"/>
            </w:tcBorders>
            <w:gridSpan w:val="4"/>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80" w:type="dxa"/>
            <w:vAlign w:val="bottom"/>
            <w:gridSpan w:val="16"/>
          </w:tcPr>
          <w:p>
            <w:pPr>
              <w:spacing w:after="0" w:line="172" w:lineRule="exact"/>
              <w:rPr>
                <w:sz w:val="20"/>
                <w:szCs w:val="20"/>
                <w:color w:val="auto"/>
              </w:rPr>
            </w:pPr>
            <w:r>
              <w:rPr>
                <w:rFonts w:ascii="Arial" w:cs="Arial" w:eastAsia="Arial" w:hAnsi="Arial"/>
                <w:sz w:val="18"/>
                <w:szCs w:val="18"/>
                <w:color w:val="0000EE"/>
                <w:w w:val="90"/>
              </w:rPr>
              <w:t>Condensed Consolidated Statements of Operations and Comprehensive Income (Loss) for the Three and Nine Months Ended September</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top w:val="single" w:sz="8" w:color="0000EE"/>
              <w:bottom w:val="single" w:sz="8" w:color="0000EE"/>
            </w:tcBorders>
            <w:gridSpan w:val="3"/>
          </w:tcPr>
          <w:p>
            <w:pPr>
              <w:spacing w:after="0" w:line="192" w:lineRule="exact"/>
              <w:rPr>
                <w:sz w:val="20"/>
                <w:szCs w:val="20"/>
                <w:color w:val="auto"/>
              </w:rPr>
            </w:pPr>
            <w:r>
              <w:rPr>
                <w:rFonts w:ascii="Arial" w:cs="Arial" w:eastAsia="Arial" w:hAnsi="Arial"/>
                <w:sz w:val="18"/>
                <w:szCs w:val="18"/>
                <w:color w:val="0000EE"/>
                <w:w w:val="86"/>
              </w:rPr>
              <w:t>30, 2022 and 2021</w:t>
            </w:r>
          </w:p>
        </w:tc>
        <w:tc>
          <w:tcPr>
            <w:tcW w:w="8460" w:type="dxa"/>
            <w:vAlign w:val="bottom"/>
            <w:tcBorders>
              <w:top w:val="single" w:sz="8" w:color="0000EE"/>
            </w:tcBorders>
            <w:gridSpan w:val="12"/>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980" w:type="dxa"/>
            <w:vAlign w:val="bottom"/>
            <w:gridSpan w:val="16"/>
            <w:shd w:val="clear" w:color="auto" w:fill="CCEEFF"/>
          </w:tcPr>
          <w:p>
            <w:pPr>
              <w:spacing w:after="0" w:line="192" w:lineRule="exact"/>
              <w:rPr>
                <w:sz w:val="20"/>
                <w:szCs w:val="20"/>
                <w:color w:val="auto"/>
              </w:rPr>
            </w:pPr>
            <w:r>
              <w:rPr>
                <w:rFonts w:ascii="Arial" w:cs="Arial" w:eastAsia="Arial" w:hAnsi="Arial"/>
                <w:sz w:val="18"/>
                <w:szCs w:val="18"/>
                <w:color w:val="0000EE"/>
                <w:w w:val="97"/>
              </w:rPr>
              <w:t>Condensed Consolidated Statements of Changes in Equity for the Three and Nine Months Ended September 30, 2022 and 2021</w:t>
            </w:r>
          </w:p>
        </w:tc>
        <w:tc>
          <w:tcPr>
            <w:tcW w:w="3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780" w:type="dxa"/>
            <w:vAlign w:val="bottom"/>
            <w:tcBorders>
              <w:top w:val="single" w:sz="8" w:color="0000EE"/>
              <w:bottom w:val="single" w:sz="8" w:color="0000EE"/>
            </w:tcBorders>
            <w:gridSpan w:val="13"/>
          </w:tcPr>
          <w:p>
            <w:pPr>
              <w:spacing w:after="0" w:line="172" w:lineRule="exact"/>
              <w:rPr>
                <w:sz w:val="20"/>
                <w:szCs w:val="20"/>
                <w:color w:val="auto"/>
              </w:rPr>
            </w:pPr>
            <w:r>
              <w:rPr>
                <w:rFonts w:ascii="Arial" w:cs="Arial" w:eastAsia="Arial" w:hAnsi="Arial"/>
                <w:sz w:val="18"/>
                <w:szCs w:val="18"/>
                <w:color w:val="0000EE"/>
                <w:w w:val="87"/>
              </w:rPr>
              <w:t>Condensed Consolidated Statements of Cash Flows for the Nine Months Ended September 30, 2022 and 2021</w:t>
            </w:r>
          </w:p>
        </w:tc>
        <w:tc>
          <w:tcPr>
            <w:tcW w:w="1220" w:type="dxa"/>
            <w:vAlign w:val="bottom"/>
            <w:tcBorders>
              <w:top w:val="single" w:sz="8" w:color="0000EE"/>
            </w:tcBorders>
          </w:tcPr>
          <w:p>
            <w:pPr>
              <w:spacing w:after="0"/>
              <w:rPr>
                <w:sz w:val="14"/>
                <w:szCs w:val="14"/>
                <w:color w:val="auto"/>
              </w:rPr>
            </w:pPr>
          </w:p>
        </w:tc>
        <w:tc>
          <w:tcPr>
            <w:tcW w:w="980" w:type="dxa"/>
            <w:vAlign w:val="bottom"/>
            <w:tcBorders>
              <w:top w:val="single" w:sz="8" w:color="CCEEFF"/>
            </w:tcBorders>
            <w:gridSpan w:val="2"/>
          </w:tcPr>
          <w:p>
            <w:pPr>
              <w:spacing w:after="0"/>
              <w:rPr>
                <w:sz w:val="14"/>
                <w:szCs w:val="14"/>
                <w:color w:val="auto"/>
              </w:rPr>
            </w:pPr>
          </w:p>
        </w:tc>
        <w:tc>
          <w:tcPr>
            <w:tcW w:w="36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0000EE"/>
            </w:tcBorders>
            <w:gridSpan w:val="8"/>
            <w:shd w:val="clear" w:color="auto" w:fill="CCEEFF"/>
          </w:tcPr>
          <w:p>
            <w:pPr>
              <w:spacing w:after="0" w:line="192" w:lineRule="exact"/>
              <w:rPr>
                <w:sz w:val="20"/>
                <w:szCs w:val="20"/>
                <w:color w:val="auto"/>
              </w:rPr>
            </w:pPr>
            <w:r>
              <w:rPr>
                <w:rFonts w:ascii="Arial" w:cs="Arial" w:eastAsia="Arial" w:hAnsi="Arial"/>
                <w:sz w:val="18"/>
                <w:szCs w:val="18"/>
                <w:color w:val="0000EE"/>
                <w:w w:val="87"/>
              </w:rPr>
              <w:t>Notes to the Condensed Consolidated Financial Statements</w:t>
            </w:r>
          </w:p>
        </w:tc>
        <w:tc>
          <w:tcPr>
            <w:tcW w:w="5800" w:type="dxa"/>
            <w:vAlign w:val="bottom"/>
            <w:tcBorders>
              <w:bottom w:val="single" w:sz="8" w:color="CCEEFF"/>
            </w:tcBorders>
            <w:gridSpan w:val="8"/>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gridSpan w:val="2"/>
          </w:tcPr>
          <w:p>
            <w:pPr>
              <w:ind w:left="220"/>
              <w:spacing w:after="0" w:line="172" w:lineRule="exact"/>
              <w:rPr>
                <w:sz w:val="20"/>
                <w:szCs w:val="20"/>
                <w:color w:val="auto"/>
              </w:rPr>
            </w:pPr>
            <w:r>
              <w:rPr>
                <w:rFonts w:ascii="Arial" w:cs="Arial" w:eastAsia="Arial" w:hAnsi="Arial"/>
                <w:sz w:val="18"/>
                <w:szCs w:val="18"/>
                <w:color w:val="auto"/>
              </w:rPr>
              <w:t>Item 2.</w:t>
            </w:r>
          </w:p>
        </w:tc>
        <w:tc>
          <w:tcPr>
            <w:tcW w:w="6340" w:type="dxa"/>
            <w:vAlign w:val="bottom"/>
            <w:tcBorders>
              <w:bottom w:val="single" w:sz="8" w:color="0000EE"/>
            </w:tcBorders>
            <w:gridSpan w:val="11"/>
          </w:tcPr>
          <w:p>
            <w:pPr>
              <w:spacing w:after="0" w:line="172" w:lineRule="exact"/>
              <w:rPr>
                <w:sz w:val="20"/>
                <w:szCs w:val="20"/>
                <w:color w:val="auto"/>
              </w:rPr>
            </w:pPr>
            <w:r>
              <w:rPr>
                <w:rFonts w:ascii="Arial" w:cs="Arial" w:eastAsia="Arial" w:hAnsi="Arial"/>
                <w:sz w:val="18"/>
                <w:szCs w:val="18"/>
                <w:color w:val="0000EE"/>
                <w:w w:val="89"/>
              </w:rPr>
              <w:t>Management’s Discussion and Analysis of Financial Condition and Results of Operations</w:t>
            </w:r>
          </w:p>
        </w:tc>
        <w:tc>
          <w:tcPr>
            <w:tcW w:w="3640" w:type="dxa"/>
            <w:vAlign w:val="bottom"/>
            <w:gridSpan w:val="5"/>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220"/>
              <w:spacing w:after="0" w:line="192" w:lineRule="exact"/>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0"/>
            <w:shd w:val="clear" w:color="auto" w:fill="CCEEFF"/>
          </w:tcPr>
          <w:p>
            <w:pPr>
              <w:spacing w:after="0" w:line="192" w:lineRule="exact"/>
              <w:rPr>
                <w:sz w:val="20"/>
                <w:szCs w:val="20"/>
                <w:color w:val="auto"/>
              </w:rPr>
            </w:pPr>
            <w:r>
              <w:rPr>
                <w:rFonts w:ascii="Arial" w:cs="Arial" w:eastAsia="Arial" w:hAnsi="Arial"/>
                <w:sz w:val="18"/>
                <w:szCs w:val="18"/>
                <w:color w:val="0000EE"/>
                <w:w w:val="89"/>
              </w:rPr>
              <w:t>Quantitative and Qualitative Disclosures about Market Risks</w:t>
            </w:r>
          </w:p>
        </w:tc>
        <w:tc>
          <w:tcPr>
            <w:tcW w:w="5680" w:type="dxa"/>
            <w:vAlign w:val="bottom"/>
            <w:tcBorders>
              <w:bottom w:val="single" w:sz="8" w:color="CCEEFF"/>
            </w:tcBorders>
            <w:gridSpan w:val="6"/>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gridSpan w:val="2"/>
          </w:tcPr>
          <w:p>
            <w:pPr>
              <w:ind w:left="220"/>
              <w:spacing w:after="0" w:line="172"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4"/>
          </w:tcPr>
          <w:p>
            <w:pPr>
              <w:spacing w:after="0" w:line="172" w:lineRule="exact"/>
              <w:rPr>
                <w:sz w:val="20"/>
                <w:szCs w:val="20"/>
                <w:color w:val="auto"/>
              </w:rPr>
            </w:pPr>
            <w:r>
              <w:rPr>
                <w:rFonts w:ascii="Arial" w:cs="Arial" w:eastAsia="Arial" w:hAnsi="Arial"/>
                <w:sz w:val="18"/>
                <w:szCs w:val="18"/>
                <w:color w:val="0000EE"/>
                <w:w w:val="86"/>
              </w:rPr>
              <w:t>Controls and Procedures</w:t>
            </w:r>
          </w:p>
        </w:tc>
        <w:tc>
          <w:tcPr>
            <w:tcW w:w="8240" w:type="dxa"/>
            <w:vAlign w:val="bottom"/>
            <w:gridSpan w:val="12"/>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rPr>
              <w:t>PART II.</w:t>
            </w:r>
          </w:p>
        </w:tc>
        <w:tc>
          <w:tcPr>
            <w:tcW w:w="1860" w:type="dxa"/>
            <w:vAlign w:val="bottom"/>
            <w:tcBorders>
              <w:bottom w:val="single" w:sz="8" w:color="0000EE"/>
            </w:tcBorders>
            <w:gridSpan w:val="5"/>
            <w:shd w:val="clear" w:color="auto" w:fill="CCEEFF"/>
          </w:tcPr>
          <w:p>
            <w:pPr>
              <w:spacing w:after="0" w:line="192" w:lineRule="exact"/>
              <w:rPr>
                <w:sz w:val="20"/>
                <w:szCs w:val="20"/>
                <w:color w:val="auto"/>
              </w:rPr>
            </w:pPr>
            <w:r>
              <w:rPr>
                <w:rFonts w:ascii="Arial" w:cs="Arial" w:eastAsia="Arial" w:hAnsi="Arial"/>
                <w:sz w:val="18"/>
                <w:szCs w:val="18"/>
                <w:color w:val="0000EE"/>
                <w:w w:val="94"/>
              </w:rPr>
              <w:t>OTHER INFORMATION</w:t>
            </w:r>
          </w:p>
        </w:tc>
        <w:tc>
          <w:tcPr>
            <w:tcW w:w="8120" w:type="dxa"/>
            <w:vAlign w:val="bottom"/>
            <w:tcBorders>
              <w:bottom w:val="single" w:sz="8" w:color="CCEEFF"/>
            </w:tcBorders>
            <w:gridSpan w:val="11"/>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gridSpan w:val="2"/>
          </w:tcPr>
          <w:p>
            <w:pPr>
              <w:ind w:left="220"/>
              <w:spacing w:after="0" w:line="172" w:lineRule="exact"/>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3"/>
          </w:tcPr>
          <w:p>
            <w:pPr>
              <w:spacing w:after="0" w:line="172" w:lineRule="exact"/>
              <w:rPr>
                <w:sz w:val="20"/>
                <w:szCs w:val="20"/>
                <w:color w:val="auto"/>
              </w:rPr>
            </w:pPr>
            <w:r>
              <w:rPr>
                <w:rFonts w:ascii="Arial" w:cs="Arial" w:eastAsia="Arial" w:hAnsi="Arial"/>
                <w:sz w:val="18"/>
                <w:szCs w:val="18"/>
                <w:color w:val="0000EE"/>
                <w:w w:val="87"/>
              </w:rPr>
              <w:t>Legal Proceedings</w:t>
            </w:r>
          </w:p>
        </w:tc>
        <w:tc>
          <w:tcPr>
            <w:tcW w:w="8660" w:type="dxa"/>
            <w:vAlign w:val="bottom"/>
            <w:gridSpan w:val="13"/>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220"/>
              <w:spacing w:after="0" w:line="192" w:lineRule="exact"/>
              <w:rPr>
                <w:sz w:val="20"/>
                <w:szCs w:val="20"/>
                <w:color w:val="auto"/>
              </w:rPr>
            </w:pPr>
            <w:r>
              <w:rPr>
                <w:rFonts w:ascii="Arial" w:cs="Arial" w:eastAsia="Arial" w:hAnsi="Arial"/>
                <w:sz w:val="18"/>
                <w:szCs w:val="18"/>
                <w:color w:val="auto"/>
                <w:w w:val="95"/>
              </w:rPr>
              <w:t>Item 1A.</w:t>
            </w:r>
          </w:p>
        </w:tc>
        <w:tc>
          <w:tcPr>
            <w:tcW w:w="900" w:type="dxa"/>
            <w:vAlign w:val="bottom"/>
            <w:tcBorders>
              <w:bottom w:val="single" w:sz="8" w:color="0000EE"/>
            </w:tcBorders>
            <w:gridSpan w:val="2"/>
            <w:shd w:val="clear" w:color="auto" w:fill="CCEEFF"/>
          </w:tcPr>
          <w:p>
            <w:pPr>
              <w:spacing w:after="0" w:line="192" w:lineRule="exact"/>
              <w:rPr>
                <w:sz w:val="20"/>
                <w:szCs w:val="20"/>
                <w:color w:val="auto"/>
              </w:rPr>
            </w:pPr>
            <w:r>
              <w:rPr>
                <w:rFonts w:ascii="Arial" w:cs="Arial" w:eastAsia="Arial" w:hAnsi="Arial"/>
                <w:sz w:val="18"/>
                <w:szCs w:val="18"/>
                <w:color w:val="0000EE"/>
                <w:w w:val="87"/>
              </w:rPr>
              <w:t>Risk Factors</w:t>
            </w:r>
          </w:p>
        </w:tc>
        <w:tc>
          <w:tcPr>
            <w:tcW w:w="9080" w:type="dxa"/>
            <w:vAlign w:val="bottom"/>
            <w:tcBorders>
              <w:bottom w:val="single" w:sz="8" w:color="CCEEFF"/>
            </w:tcBorders>
            <w:gridSpan w:val="14"/>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gridSpan w:val="2"/>
          </w:tcPr>
          <w:p>
            <w:pPr>
              <w:ind w:left="220"/>
              <w:spacing w:after="0" w:line="172" w:lineRule="exact"/>
              <w:rPr>
                <w:sz w:val="20"/>
                <w:szCs w:val="20"/>
                <w:color w:val="auto"/>
              </w:rPr>
            </w:pPr>
            <w:r>
              <w:rPr>
                <w:rFonts w:ascii="Arial" w:cs="Arial" w:eastAsia="Arial" w:hAnsi="Arial"/>
                <w:sz w:val="18"/>
                <w:szCs w:val="18"/>
                <w:color w:val="auto"/>
              </w:rPr>
              <w:t>Item 2.</w:t>
            </w:r>
          </w:p>
        </w:tc>
        <w:tc>
          <w:tcPr>
            <w:tcW w:w="9980" w:type="dxa"/>
            <w:vAlign w:val="bottom"/>
            <w:gridSpan w:val="16"/>
          </w:tcPr>
          <w:p>
            <w:pPr>
              <w:spacing w:after="0" w:line="172" w:lineRule="exact"/>
              <w:rPr>
                <w:sz w:val="20"/>
                <w:szCs w:val="20"/>
                <w:color w:val="auto"/>
              </w:rPr>
            </w:pPr>
            <w:r>
              <w:rPr>
                <w:rFonts w:ascii="Arial" w:cs="Arial" w:eastAsia="Arial" w:hAnsi="Arial"/>
                <w:sz w:val="18"/>
                <w:szCs w:val="18"/>
                <w:color w:val="0000EE"/>
              </w:rPr>
              <w:t>Unregistered Sales of Equity Securities and Use of Proceeds</w:t>
            </w:r>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gridSpan w:val="2"/>
            <w:shd w:val="clear" w:color="auto" w:fill="CCEEFF"/>
          </w:tcPr>
          <w:p>
            <w:pPr>
              <w:ind w:left="220"/>
              <w:spacing w:after="0" w:line="192" w:lineRule="exact"/>
              <w:rPr>
                <w:sz w:val="20"/>
                <w:szCs w:val="20"/>
                <w:color w:val="auto"/>
              </w:rPr>
            </w:pPr>
            <w:r>
              <w:rPr>
                <w:rFonts w:ascii="Arial" w:cs="Arial" w:eastAsia="Arial" w:hAnsi="Arial"/>
                <w:sz w:val="18"/>
                <w:szCs w:val="18"/>
                <w:color w:val="auto"/>
              </w:rPr>
              <w:t>Item 6.</w:t>
            </w:r>
          </w:p>
        </w:tc>
        <w:tc>
          <w:tcPr>
            <w:tcW w:w="4260" w:type="dxa"/>
            <w:vAlign w:val="bottom"/>
            <w:tcBorders>
              <w:top w:val="single" w:sz="8" w:color="0000EE"/>
            </w:tcBorders>
            <w:gridSpan w:val="9"/>
            <w:shd w:val="clear" w:color="auto" w:fill="CCEEFF"/>
          </w:tcPr>
          <w:p>
            <w:pPr>
              <w:spacing w:after="0" w:line="192" w:lineRule="exact"/>
              <w:rPr>
                <w:sz w:val="20"/>
                <w:szCs w:val="20"/>
                <w:color w:val="auto"/>
              </w:rPr>
            </w:pPr>
            <w:r>
              <w:rPr>
                <w:rFonts w:ascii="Arial" w:cs="Arial" w:eastAsia="Arial" w:hAnsi="Arial"/>
                <w:sz w:val="18"/>
                <w:szCs w:val="18"/>
                <w:color w:val="0000EE"/>
              </w:rPr>
              <w:t>Exhibits</w:t>
            </w:r>
          </w:p>
        </w:tc>
        <w:tc>
          <w:tcPr>
            <w:tcW w:w="5720" w:type="dxa"/>
            <w:vAlign w:val="bottom"/>
            <w:gridSpan w:val="7"/>
            <w:shd w:val="clear" w:color="auto" w:fill="CCEEFF"/>
          </w:tcPr>
          <w:p>
            <w:pPr>
              <w:spacing w:after="0"/>
              <w:rPr>
                <w:sz w:val="18"/>
                <w:szCs w:val="18"/>
                <w:color w:val="auto"/>
              </w:rPr>
            </w:pPr>
          </w:p>
        </w:tc>
        <w:tc>
          <w:tcPr>
            <w:tcW w:w="3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0000EE"/>
            </w:tcBorders>
          </w:tcPr>
          <w:p>
            <w:pPr>
              <w:spacing w:after="0"/>
              <w:rPr>
                <w:sz w:val="14"/>
                <w:szCs w:val="14"/>
                <w:color w:val="auto"/>
              </w:rPr>
            </w:pPr>
          </w:p>
        </w:tc>
        <w:tc>
          <w:tcPr>
            <w:tcW w:w="740" w:type="dxa"/>
            <w:vAlign w:val="bottom"/>
            <w:tcBorders>
              <w:top w:val="single" w:sz="8" w:color="CCEEFF"/>
              <w:bottom w:val="single" w:sz="8" w:color="0000EE"/>
            </w:tcBorders>
          </w:tcPr>
          <w:p>
            <w:pPr>
              <w:spacing w:after="0" w:line="172" w:lineRule="exact"/>
              <w:rPr>
                <w:sz w:val="20"/>
                <w:szCs w:val="20"/>
                <w:color w:val="auto"/>
              </w:rPr>
            </w:pPr>
            <w:r>
              <w:rPr>
                <w:rFonts w:ascii="Arial" w:cs="Arial" w:eastAsia="Arial" w:hAnsi="Arial"/>
                <w:sz w:val="18"/>
                <w:szCs w:val="18"/>
                <w:color w:val="0000EE"/>
                <w:w w:val="83"/>
              </w:rPr>
              <w:t>Signatures</w:t>
            </w: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jc w:val="right"/>
              <w:spacing w:after="0" w:line="172"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the PRC, in 2005. Unless the context requires otherwise, references in this report to “our company,” “our,” “us,” “we” and similar terms refer to ACM Research, Inc. and its subsidiaries, including ACM Shanghai, collectively.</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principal corporate office is located in Fremont, California. We conduct a substantial majority of our product development, manufacturing, support and services in the PRC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 ACM Research is not a PRC operating company, and we do not conduct our operations in the PRC through the use of a variable interest entity, or VIE, or any other structure designed for the purpose of avoiding PRC legal restrictions on direct foreign investments in PRC-based companies. ACM Research has a direct ownership interest in ACM Shanghai as the result of its holding 82.5%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PRC central government authority in order to continue to list shares of Class A common stock of ACM Research on the Nasdaq Global Select Market. This determination was based on the facts aforementioned and the PRC Company Law, PRC Securities Law, cybersecurity regulations and other relevant laws, regulations and regulatory requirements in the PRC currently in effect. However, if this determination proves to be incorrect, then it could have a material adverse effect on ACM Research. See “Part II. Item IA, Risk Factors— 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in the ordinary course of business, ACM Shanghai is required to obtain certain operating permits and licenses necessary for it to operate in the PRC,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PRC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PRC regulatory authorities, and it could have a material adverse effect on our business, financial condition, results of operations, reputation and prospects and on the trading price of ACM Research Class A common stock.</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Cash amounts held by ACM Shanghai at PRC banks in mainland China are subject to a series of risk control regulatory standards from PRC bank regulatory authorities. ACM Shanghai is required to obtain approval from the State Administration of Foreign Exchange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ACM Research (CA), Inc. (“ACM California”) periodically procures goods and services on behalf of ACM Shanghai. For these transactions, ACM Shanghai makes cash payments to ACM California in accordance with applicable transfer pricing arrangements. ACM California periodically borrows funds for working capital advances from its direct parent, CleanChip Technologies Limited (“CleanChip”). ACM California repays these intercompany loans in accordance with their terms. For sales through CleanChip and ACM Research, a certain amount of sales proceeds is repatriated back to ACM Shanghai in accordance with applicable transfer pricing arrangements in the ordinary course of business. Subsequent to June 30, 2020, with the exception of sales and services-related transfer-pricing payments in the ordinary course of business, no cash transfers, dividends or other payments or distributions have been made between the ACM Research and ACM Shanghai. We intend to retain any future earnings to finance the operations and expenses of our business, and we do not expect to distribute earnings or declare or pay any dividends in the foreseeable future.</w:t>
      </w:r>
    </w:p>
    <w:p>
      <w:pPr>
        <w:spacing w:after="0" w:line="18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U.S. Holding Foreign Companies Accountable Act (the “HFCA Act”) requires that the Public Company Accounting Oversight Board (the “PCAOB”) determine whether it is unable to inspect or investigate completely registered public accounting firms located in a non-U.S. jurisdiction because of a position taken by one or more authorities in that jurisdiction. BDO China Shu Lun Pan Certified Public Accountants LLP (“BDO China”) had been our independent registered public accounting firm in recent years, including for the year ended December 31, 2021.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“Part II. Item 1A, Risk Factors— We could be adversely affected if we are unable to comply with recent and proposed legislation and regulations regarding improved access to audit and other information and audit inspections of accounting firms operating in the PRC” of this report for more information. Under current regulations, if ACM Research were to be included on this list three consecutive times due to our independent auditor being located in a jurisdiction that does not allow for PCAOB inspections, the SEC could prohibit trading in our securities and cause our securities to be delisted in the U.S., and their value may significantly decline or become worthless. Further, the “Accelerating HFCAA” could reduce the applicable threshold from three consecutive appearances to two consecutive appearances on the list. However, on June 30, 2022, stockholders of ACM Research ratified the appointment of Armanino LLP as our independent auditor for the fiscal year ending December 31, 2022. Armanino LLP is neither headquartered in the PRC or Hong Kong nor is it subject to the determinations announced by the PCAOB, and, subsequent to the filing of our 2022 annual report, we do not believe ACM Research will appear on the “Conclusive” list for a second time.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addition to the matters discussed above, we are also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to significantly decline in value or become worthless. Please carefully read the information included in “Part II. Item 1A – Risk Factors” of this report and our Annual Report on Form 10-K for the year ended December 31, 2021 and our Quarterly Report on Form 10-Q for the quarter ended June 30, 2022, in particular the risk factors addressing the following issues:</w:t>
      </w:r>
    </w:p>
    <w:p>
      <w:pPr>
        <w:spacing w:after="0" w:line="202" w:lineRule="exact"/>
        <w:rPr>
          <w:sz w:val="20"/>
          <w:szCs w:val="20"/>
          <w:color w:val="auto"/>
        </w:rPr>
      </w:pPr>
    </w:p>
    <w:p>
      <w:pPr>
        <w:jc w:val="both"/>
        <w:ind w:left="480" w:hanging="474"/>
        <w:spacing w:after="0" w:line="265"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24" w:lineRule="exact"/>
        <w:rPr>
          <w:rFonts w:ascii="Arial" w:cs="Arial" w:eastAsia="Arial" w:hAnsi="Arial"/>
          <w:sz w:val="17"/>
          <w:szCs w:val="17"/>
          <w:color w:val="auto"/>
        </w:rPr>
      </w:pPr>
    </w:p>
    <w:p>
      <w:pPr>
        <w:ind w:left="480" w:hanging="474"/>
        <w:spacing w:after="0" w:line="26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21" w:lineRule="exact"/>
        <w:rPr>
          <w:rFonts w:ascii="Arial" w:cs="Arial" w:eastAsia="Arial" w:hAnsi="Arial"/>
          <w:sz w:val="18"/>
          <w:szCs w:val="18"/>
          <w:color w:val="auto"/>
        </w:rPr>
      </w:pPr>
    </w:p>
    <w:p>
      <w:pPr>
        <w:jc w:val="both"/>
        <w:ind w:left="480" w:hanging="474"/>
        <w:spacing w:after="0" w:line="25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PRC central government may determine to exert additional control over offerings conducted overseas or foreign investment in PRC-based issuers, which could result in a material change in operations of ACM Shanghai and cause significant declines in the value of ACM Research Class A common stock, or make them worthless.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Recent statements and regulatory actions by PRC central government authorities with respect to the use of VIEs and to data security and anti-monopoly concerns have not affected our ability to conduct our business operations in China. For further information, see “Part II. Item 1A – Risk Factors – Risks Related to International Aspects of Our Business” of our Quarterly Report on Form 10-Q for the quarter ended June 30, 2022 and in this report for more information.</w:t>
      </w:r>
    </w:p>
    <w:p>
      <w:pPr>
        <w:spacing w:after="0" w:line="19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11" w:lineRule="exact"/>
        <w:rPr>
          <w:sz w:val="20"/>
          <w:szCs w:val="20"/>
          <w:color w:val="auto"/>
        </w:rPr>
      </w:pPr>
    </w:p>
    <w:p>
      <w:pPr>
        <w:jc w:val="both"/>
        <w:spacing w:after="0" w:line="329" w:lineRule="auto"/>
        <w:rPr>
          <w:sz w:val="20"/>
          <w:szCs w:val="20"/>
          <w:color w:val="auto"/>
        </w:rPr>
      </w:pPr>
      <w:r>
        <w:rPr>
          <w:rFonts w:ascii="Arial" w:cs="Arial" w:eastAsia="Arial" w:hAnsi="Arial"/>
          <w:sz w:val="15"/>
          <w:szCs w:val="15"/>
          <w:i w:val="1"/>
          <w:iCs w:val="1"/>
          <w:color w:val="auto"/>
        </w:rPr>
        <w:t>SAPS, TEBO, ULTRA C and ULTRA FURNACE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223" w:lineRule="exact"/>
        <w:rPr>
          <w:sz w:val="20"/>
          <w:szCs w:val="20"/>
          <w:color w:val="auto"/>
        </w:rPr>
      </w:pPr>
    </w:p>
    <w:p>
      <w:pPr>
        <w:jc w:val="both"/>
        <w:spacing w:after="0" w:line="218" w:lineRule="exact"/>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uncertainties surrounding the COVID</w:t>
      </w:r>
      <w:r>
        <w:rPr>
          <w:rFonts w:ascii="MS PGothic" w:cs="MS PGothic" w:eastAsia="MS PGothic" w:hAnsi="MS PGothic"/>
          <w:sz w:val="15"/>
          <w:szCs w:val="15"/>
          <w:color w:val="auto"/>
        </w:rPr>
        <w:t>‑</w:t>
      </w:r>
      <w:r>
        <w:rPr>
          <w:rFonts w:ascii="Arial" w:cs="Arial" w:eastAsia="Arial" w:hAnsi="Arial"/>
          <w:sz w:val="15"/>
          <w:szCs w:val="15"/>
          <w:color w:val="auto"/>
        </w:rPr>
        <w:t>19 pandemic (including effects of related PRC restrictions) and other factors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37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4Q21 Update” (December 2021),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880" w:type="dxa"/>
            <w:vAlign w:val="bottom"/>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80" w:type="dxa"/>
            <w:vAlign w:val="bottom"/>
          </w:tcPr>
          <w:p>
            <w:pPr>
              <w:jc w:val="center"/>
              <w:ind w:left="1692"/>
              <w:spacing w:after="0"/>
              <w:rPr>
                <w:sz w:val="20"/>
                <w:szCs w:val="20"/>
                <w:color w:val="auto"/>
              </w:rPr>
            </w:pPr>
            <w:r>
              <w:rPr>
                <w:rFonts w:ascii="Arial" w:cs="Arial" w:eastAsia="Arial" w:hAnsi="Arial"/>
                <w:sz w:val="18"/>
                <w:szCs w:val="18"/>
                <w:b w:val="1"/>
                <w:bCs w:val="1"/>
                <w:color w:val="auto"/>
                <w:w w:val="98"/>
              </w:rPr>
              <w:t>ACM RESEARCH,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80" w:type="dxa"/>
            <w:vAlign w:val="bottom"/>
          </w:tcPr>
          <w:p>
            <w:pPr>
              <w:jc w:val="center"/>
              <w:ind w:left="167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80" w:type="dxa"/>
            <w:vAlign w:val="bottom"/>
          </w:tcPr>
          <w:p>
            <w:pPr>
              <w:jc w:val="center"/>
              <w:ind w:left="1672"/>
              <w:spacing w:after="0"/>
              <w:rPr>
                <w:sz w:val="20"/>
                <w:szCs w:val="20"/>
                <w:color w:val="auto"/>
              </w:rPr>
            </w:pPr>
            <w:r>
              <w:rPr>
                <w:rFonts w:ascii="Arial" w:cs="Arial" w:eastAsia="Arial" w:hAnsi="Arial"/>
                <w:sz w:val="18"/>
                <w:szCs w:val="18"/>
                <w:i w:val="1"/>
                <w:iCs w:val="1"/>
                <w:color w:val="auto"/>
                <w:w w:val="88"/>
              </w:rPr>
              <w:t>(In thousands, except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80" w:type="dxa"/>
            <w:vAlign w:val="bottom"/>
          </w:tcPr>
          <w:p>
            <w:pPr>
              <w:jc w:val="center"/>
              <w:ind w:left="1692"/>
              <w:spacing w:after="0"/>
              <w:rPr>
                <w:sz w:val="20"/>
                <w:szCs w:val="20"/>
                <w:color w:val="auto"/>
              </w:rPr>
            </w:pPr>
            <w:r>
              <w:rPr>
                <w:rFonts w:ascii="Arial" w:cs="Arial" w:eastAsia="Arial" w:hAnsi="Arial"/>
                <w:sz w:val="18"/>
                <w:szCs w:val="18"/>
                <w:i w:val="1"/>
                <w:iCs w:val="1"/>
                <w:color w:val="auto"/>
                <w:w w:val="91"/>
              </w:rPr>
              <w:t>(Unaudited)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80" w:type="dxa"/>
            <w:vAlign w:val="bottom"/>
          </w:tcPr>
          <w:p>
            <w:pPr>
              <w:jc w:val="center"/>
              <w:ind w:right="832"/>
              <w:spacing w:after="0" w:line="200" w:lineRule="exact"/>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562,548</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time deposits (note 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66,176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Trading securities (note 15)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29,498</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(note 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105,553</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18,979</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Inventories (note 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327,792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218,116</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Advances to related party (note 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w:t>
            </w:r>
          </w:p>
        </w:tc>
      </w:tr>
      <w:tr>
        <w:trPr>
          <w:trHeight w:val="218"/>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14,256</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971,242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952,934</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Property, plant and equipment, net (note 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66,470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14,042</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use right, net (note 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9,667</w:t>
            </w:r>
          </w:p>
        </w:tc>
      </w:tr>
      <w:tr>
        <w:trPr>
          <w:trHeight w:val="212"/>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Operating lease right-of-use assets, net (note 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4,182</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r>
      <w:tr>
        <w:trPr>
          <w:trHeight w:val="212"/>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Long-term time deposits (note 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70,400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(note 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13,166</w:t>
            </w:r>
          </w:p>
        </w:tc>
      </w:tr>
      <w:tr>
        <w:trPr>
          <w:trHeight w:val="212"/>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Long-term investments (note 14)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12,694</w:t>
            </w: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(note 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45,017</w:t>
            </w:r>
          </w:p>
        </w:tc>
      </w:tr>
      <w:tr>
        <w:trPr>
          <w:trHeight w:val="212"/>
        </w:trPr>
        <w:tc>
          <w:tcPr>
            <w:tcW w:w="20" w:type="dxa"/>
            <w:vAlign w:val="bottom"/>
          </w:tcPr>
          <w:p>
            <w:pPr>
              <w:spacing w:after="0"/>
              <w:rPr>
                <w:sz w:val="18"/>
                <w:szCs w:val="18"/>
                <w:color w:val="auto"/>
              </w:rPr>
            </w:pPr>
          </w:p>
        </w:tc>
        <w:tc>
          <w:tcPr>
            <w:tcW w:w="8660" w:type="dxa"/>
            <w:vAlign w:val="bottom"/>
            <w:tcBorders>
              <w:top w:val="single" w:sz="8" w:color="CCEEFF"/>
            </w:tcBorders>
            <w:gridSpan w:val="2"/>
          </w:tcPr>
          <w:p>
            <w:pPr>
              <w:ind w:left="4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1,147,666</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1,052,179</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80" w:type="dxa"/>
            <w:vAlign w:val="bottom"/>
            <w:shd w:val="clear" w:color="auto" w:fill="CCEEFF"/>
          </w:tcPr>
          <w:p>
            <w:pPr>
              <w:jc w:val="center"/>
              <w:ind w:right="832"/>
              <w:spacing w:after="0" w:line="205" w:lineRule="exact"/>
              <w:rPr>
                <w:sz w:val="20"/>
                <w:szCs w:val="20"/>
                <w:color w:val="auto"/>
              </w:rPr>
            </w:pPr>
            <w:r>
              <w:rPr>
                <w:rFonts w:ascii="Arial" w:cs="Arial" w:eastAsia="Arial" w:hAnsi="Arial"/>
                <w:sz w:val="18"/>
                <w:szCs w:val="18"/>
                <w:b w:val="1"/>
                <w:bCs w:val="1"/>
                <w:color w:val="auto"/>
                <w:w w:val="91"/>
              </w:rPr>
              <w:t>Liabilities and Equity</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borrowings (note 9)</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50,688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borrowings (note 12)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Related party accounts payable (note 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7,899</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92,325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93,451</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Advances from customers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52,824</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3,180</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 payable (note 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FIN-48 payable (note 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2,282</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payables and accrued expenses (note 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31,735</w:t>
            </w:r>
          </w:p>
        </w:tc>
      </w:tr>
      <w:tr>
        <w:trPr>
          <w:trHeight w:val="218"/>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liability (note 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345,602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205,939</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Long-term borrowings (note 12)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18,810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22,957</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liability (note 11)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r>
      <w:tr>
        <w:trPr>
          <w:trHeight w:val="212"/>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Deferred tax liability (note19)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 (note 13)</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373,568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240,514</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20)</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7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Class A Common stock (1) (note 17)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Class B Common stock (1) (note 17)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601,431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595,045</w:t>
            </w:r>
          </w:p>
        </w:tc>
      </w:tr>
      <w:tr>
        <w:trPr>
          <w:trHeight w:val="212"/>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63,732</w:t>
            </w:r>
          </w:p>
        </w:tc>
      </w:tr>
      <w:tr>
        <w:trPr>
          <w:trHeight w:val="212"/>
        </w:trPr>
        <w:tc>
          <w:tcPr>
            <w:tcW w:w="20" w:type="dxa"/>
            <w:vAlign w:val="bottom"/>
          </w:tcPr>
          <w:p>
            <w:pPr>
              <w:spacing w:after="0"/>
              <w:rPr>
                <w:sz w:val="18"/>
                <w:szCs w:val="18"/>
                <w:color w:val="auto"/>
              </w:rPr>
            </w:pP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Statutory surplus reserve (note 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8,312</w:t>
            </w: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9,109</w:t>
            </w:r>
          </w:p>
        </w:tc>
      </w:tr>
      <w:tr>
        <w:trPr>
          <w:trHeight w:val="212"/>
        </w:trPr>
        <w:tc>
          <w:tcPr>
            <w:tcW w:w="20" w:type="dxa"/>
            <w:vAlign w:val="bottom"/>
          </w:tcPr>
          <w:p>
            <w:pPr>
              <w:spacing w:after="0"/>
              <w:rPr>
                <w:sz w:val="18"/>
                <w:szCs w:val="18"/>
                <w:color w:val="auto"/>
              </w:rPr>
            </w:pPr>
          </w:p>
        </w:tc>
        <w:tc>
          <w:tcPr>
            <w:tcW w:w="866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b w:val="1"/>
                <w:bCs w:val="1"/>
                <w:color w:val="auto"/>
              </w:rPr>
              <w:t>Total ACM Research, Inc. stockholders’ equity</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643,015</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676,204</w:t>
            </w:r>
          </w:p>
        </w:tc>
        <w:tc>
          <w:tcPr>
            <w:tcW w:w="100" w:type="dxa"/>
            <w:vAlign w:val="bottom"/>
            <w:tcBorders>
              <w:top w:val="single" w:sz="8" w:color="CCEEFF"/>
            </w:tcBorders>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equity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774,098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811,665</w:t>
            </w:r>
          </w:p>
        </w:tc>
      </w:tr>
      <w:tr>
        <w:trPr>
          <w:trHeight w:val="252"/>
        </w:trPr>
        <w:tc>
          <w:tcPr>
            <w:tcW w:w="20" w:type="dxa"/>
            <w:vAlign w:val="bottom"/>
          </w:tcPr>
          <w:p>
            <w:pPr>
              <w:spacing w:after="0"/>
              <w:rPr>
                <w:sz w:val="21"/>
                <w:szCs w:val="21"/>
                <w:color w:val="auto"/>
              </w:rPr>
            </w:pPr>
          </w:p>
        </w:tc>
        <w:tc>
          <w:tcPr>
            <w:tcW w:w="8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1,147,666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ind w:left="320" w:right="480" w:hanging="314"/>
        <w:spacing w:after="0" w:line="26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period results have been adjusted to reflect the three-for-one stock split effected in the form of a stock dividend in March 2022. See Note 1 for details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322"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322"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 (note 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37,328</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150,480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95,199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65,967</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27,494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15,678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44,391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15,560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17,890</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87,445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31,636</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42,365</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5,965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Realized gain from sale of trading securities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trading securities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9,949</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10,884</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50,519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(note 19)</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(14,138)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36,381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b w:val="1"/>
                <w:bCs w:val="1"/>
                <w:color w:val="auto"/>
              </w:rPr>
              <w:t>Net income attributable to ACM Research,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21,004</w:t>
            </w:r>
          </w:p>
        </w:tc>
        <w:tc>
          <w:tcPr>
            <w:tcW w:w="2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27,454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22,192</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5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36,381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 net of tax</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(42,416)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(80,334)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(15,340)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10,741</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(43,953)</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Comprehensive income (loss) attributable to non-controlling interests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b w:val="1"/>
                <w:bCs w:val="1"/>
                <w:color w:val="auto"/>
                <w:w w:val="94"/>
              </w:rPr>
              <w:t>Comprehensive income (loss) attributable to ACM Research,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(14,283)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9,984</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(39,575)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23,094</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2"/>
              </w:rPr>
              <w:t>Net income attributable to ACM Research, Inc. per common share (note 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580" w:type="dxa"/>
            <w:vAlign w:val="bottom"/>
          </w:tcPr>
          <w:p>
            <w:pPr>
              <w:ind w:left="120"/>
              <w:spacing w:after="0" w:line="205" w:lineRule="exact"/>
              <w:rPr>
                <w:sz w:val="20"/>
                <w:szCs w:val="20"/>
                <w:color w:val="auto"/>
              </w:rPr>
            </w:pPr>
            <w:r>
              <w:rPr>
                <w:rFonts w:ascii="Arial" w:cs="Arial" w:eastAsia="Arial" w:hAnsi="Arial"/>
                <w:sz w:val="18"/>
                <w:szCs w:val="18"/>
                <w:color w:val="auto"/>
              </w:rPr>
              <w:t>Diluted</w:t>
            </w:r>
          </w:p>
        </w:tc>
        <w:tc>
          <w:tcPr>
            <w:tcW w:w="26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0.32</w:t>
            </w:r>
          </w:p>
        </w:tc>
        <w:tc>
          <w:tcPr>
            <w:tcW w:w="24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0.15</w:t>
            </w:r>
          </w:p>
        </w:tc>
        <w:tc>
          <w:tcPr>
            <w:tcW w:w="2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0.41</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580" w:type="dxa"/>
            <w:vAlign w:val="bottom"/>
          </w:tcPr>
          <w:p>
            <w:pPr>
              <w:spacing w:after="0" w:line="200" w:lineRule="exact"/>
              <w:rPr>
                <w:sz w:val="20"/>
                <w:szCs w:val="20"/>
                <w:color w:val="auto"/>
              </w:rPr>
            </w:pPr>
            <w:r>
              <w:rPr>
                <w:rFonts w:ascii="Arial" w:cs="Arial" w:eastAsia="Arial" w:hAnsi="Arial"/>
                <w:sz w:val="18"/>
                <w:szCs w:val="18"/>
                <w:color w:val="auto"/>
                <w:w w:val="91"/>
              </w:rPr>
              <w:t>Weighted average common shares outstanding used in computing per share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amounts (note 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(1)</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59,360,790</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58,267,638</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59,123,895</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580" w:type="dxa"/>
            <w:vAlign w:val="bottom"/>
          </w:tcPr>
          <w:p>
            <w:pPr>
              <w:ind w:left="120"/>
              <w:spacing w:after="0" w:line="205" w:lineRule="exact"/>
              <w:rPr>
                <w:sz w:val="20"/>
                <w:szCs w:val="20"/>
                <w:color w:val="auto"/>
              </w:rPr>
            </w:pPr>
            <w:r>
              <w:rPr>
                <w:rFonts w:ascii="Arial" w:cs="Arial" w:eastAsia="Arial" w:hAnsi="Arial"/>
                <w:sz w:val="18"/>
                <w:szCs w:val="18"/>
                <w:color w:val="auto"/>
              </w:rPr>
              <w:t>Diluted (1)</w:t>
            </w:r>
          </w:p>
        </w:tc>
        <w:tc>
          <w:tcPr>
            <w:tcW w:w="26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65,612,665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66,127,548</w:t>
            </w:r>
          </w:p>
        </w:tc>
        <w:tc>
          <w:tcPr>
            <w:tcW w:w="240" w:type="dxa"/>
            <w:vAlign w:val="bottom"/>
          </w:tcPr>
          <w:p>
            <w:pPr>
              <w:spacing w:after="0"/>
              <w:rPr>
                <w:sz w:val="17"/>
                <w:szCs w:val="17"/>
                <w:color w:val="auto"/>
              </w:rPr>
            </w:pPr>
          </w:p>
        </w:tc>
        <w:tc>
          <w:tcPr>
            <w:tcW w:w="118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65,629,273</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65,191,020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right="480" w:hanging="314"/>
        <w:spacing w:after="0" w:line="264"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period results have been adjusted to reflect the three-for-one stock split effected in the form of a stock dividend in March 2022. See Note 1 for details.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gridSpan w:val="3"/>
          </w:tcPr>
          <w:p>
            <w:pPr>
              <w:jc w:val="center"/>
              <w:ind w:left="112"/>
              <w:spacing w:after="0"/>
              <w:rPr>
                <w:sz w:val="20"/>
                <w:szCs w:val="20"/>
                <w:color w:val="auto"/>
              </w:rPr>
            </w:pPr>
            <w:r>
              <w:rPr>
                <w:rFonts w:ascii="Arial" w:cs="Arial" w:eastAsia="Arial" w:hAnsi="Arial"/>
                <w:sz w:val="18"/>
                <w:szCs w:val="18"/>
                <w:b w:val="1"/>
                <w:bCs w:val="1"/>
                <w:color w:val="auto"/>
                <w:w w:val="89"/>
              </w:rPr>
              <w:t>Common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89"/>
              </w:rPr>
              <w:t>Common</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Borders>
              <w:bottom w:val="single" w:sz="8" w:color="auto"/>
            </w:tcBorders>
            <w:gridSpan w:val="3"/>
          </w:tcPr>
          <w:p>
            <w:pPr>
              <w:jc w:val="center"/>
              <w:ind w:left="132"/>
              <w:spacing w:after="0"/>
              <w:rPr>
                <w:sz w:val="20"/>
                <w:szCs w:val="20"/>
                <w:color w:val="auto"/>
              </w:rPr>
            </w:pPr>
            <w:r>
              <w:rPr>
                <w:rFonts w:ascii="Arial" w:cs="Arial" w:eastAsia="Arial" w:hAnsi="Arial"/>
                <w:sz w:val="18"/>
                <w:szCs w:val="18"/>
                <w:b w:val="1"/>
                <w:bCs w:val="1"/>
                <w:color w:val="auto"/>
                <w:w w:val="86"/>
              </w:rPr>
              <w:t>Stock Class A</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8"/>
                <w:szCs w:val="18"/>
                <w:b w:val="1"/>
                <w:bCs w:val="1"/>
                <w:color w:val="auto"/>
                <w:w w:val="86"/>
              </w:rPr>
              <w:t>Stock Class B</w:t>
            </w:r>
          </w:p>
        </w:tc>
        <w:tc>
          <w:tcPr>
            <w:tcW w:w="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2"/>
              <w:spacing w:after="0" w:line="194" w:lineRule="exact"/>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Statutory</w:t>
            </w:r>
          </w:p>
        </w:tc>
        <w:tc>
          <w:tcPr>
            <w:tcW w:w="20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4"/>
              </w:rPr>
              <w:t>Additional Paid-</w:t>
            </w:r>
          </w:p>
        </w:tc>
        <w:tc>
          <w:tcPr>
            <w:tcW w:w="4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w w:val="99"/>
              </w:rPr>
              <w:t>Retained</w:t>
            </w:r>
          </w:p>
        </w:tc>
        <w:tc>
          <w:tcPr>
            <w:tcW w:w="840" w:type="dxa"/>
            <w:vAlign w:val="bottom"/>
            <w:gridSpan w:val="3"/>
          </w:tcPr>
          <w:p>
            <w:pPr>
              <w:ind w:left="60"/>
              <w:spacing w:after="0"/>
              <w:rPr>
                <w:sz w:val="20"/>
                <w:szCs w:val="20"/>
                <w:color w:val="auto"/>
              </w:rPr>
            </w:pPr>
            <w:r>
              <w:rPr>
                <w:rFonts w:ascii="Arial" w:cs="Arial" w:eastAsia="Arial" w:hAnsi="Arial"/>
                <w:sz w:val="18"/>
                <w:szCs w:val="18"/>
                <w:b w:val="1"/>
                <w:bCs w:val="1"/>
                <w:color w:val="auto"/>
              </w:rPr>
              <w:t>Surplus</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Comprehensive</w:t>
            </w: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Non-controlling</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29"/>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Shares (1)</w:t>
            </w:r>
          </w:p>
        </w:tc>
        <w:tc>
          <w:tcPr>
            <w:tcW w:w="12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Shares (1)</w:t>
            </w: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in Capital</w:t>
            </w:r>
          </w:p>
        </w:tc>
        <w:tc>
          <w:tcPr>
            <w:tcW w:w="4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840" w:type="dxa"/>
            <w:vAlign w:val="bottom"/>
            <w:gridSpan w:val="3"/>
          </w:tcPr>
          <w:p>
            <w:pPr>
              <w:ind w:left="60"/>
              <w:spacing w:after="0"/>
              <w:rPr>
                <w:sz w:val="20"/>
                <w:szCs w:val="20"/>
                <w:color w:val="auto"/>
              </w:rPr>
            </w:pPr>
            <w:r>
              <w:rPr>
                <w:rFonts w:ascii="Arial" w:cs="Arial" w:eastAsia="Arial" w:hAnsi="Arial"/>
                <w:sz w:val="18"/>
                <w:szCs w:val="18"/>
                <w:b w:val="1"/>
                <w:bCs w:val="1"/>
                <w:color w:val="auto"/>
              </w:rPr>
              <w:t>Reserve</w:t>
            </w:r>
          </w:p>
        </w:tc>
        <w:tc>
          <w:tcPr>
            <w:tcW w:w="200" w:type="dxa"/>
            <w:vAlign w:val="bottom"/>
          </w:tcPr>
          <w:p>
            <w:pPr>
              <w:spacing w:after="0"/>
              <w:rPr>
                <w:sz w:val="19"/>
                <w:szCs w:val="19"/>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b w:val="1"/>
                <w:bCs w:val="1"/>
                <w:color w:val="auto"/>
                <w:w w:val="85"/>
              </w:rPr>
              <w:t>Income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interests</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r>
      <w:tr>
        <w:trPr>
          <w:trHeight w:val="194"/>
        </w:trPr>
        <w:tc>
          <w:tcPr>
            <w:tcW w:w="20" w:type="dxa"/>
            <w:vAlign w:val="bottom"/>
          </w:tcPr>
          <w:p>
            <w:pPr>
              <w:spacing w:after="0"/>
              <w:rPr>
                <w:sz w:val="16"/>
                <w:szCs w:val="16"/>
                <w:color w:val="auto"/>
              </w:rPr>
            </w:pPr>
          </w:p>
        </w:tc>
        <w:tc>
          <w:tcPr>
            <w:tcW w:w="136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50,690,079</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5,407,818</w:t>
            </w: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29,899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4,388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4,857</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67,020</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$ 208,170</w:t>
            </w: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22,192</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2,114</w:t>
            </w:r>
          </w:p>
        </w:tc>
        <w:tc>
          <w:tcPr>
            <w:tcW w:w="760" w:type="dxa"/>
            <w:vAlign w:val="bottom"/>
          </w:tcPr>
          <w:p>
            <w:pPr>
              <w:jc w:val="right"/>
              <w:spacing w:after="0"/>
              <w:rPr>
                <w:sz w:val="20"/>
                <w:szCs w:val="20"/>
                <w:color w:val="auto"/>
              </w:rPr>
            </w:pPr>
            <w:r>
              <w:rPr>
                <w:rFonts w:ascii="Arial" w:cs="Arial" w:eastAsia="Arial" w:hAnsi="Arial"/>
                <w:sz w:val="18"/>
                <w:szCs w:val="18"/>
                <w:color w:val="auto"/>
              </w:rPr>
              <w:t>24,306</w:t>
            </w:r>
          </w:p>
        </w:tc>
      </w:tr>
      <w:tr>
        <w:trPr>
          <w:trHeight w:val="199"/>
        </w:trPr>
        <w:tc>
          <w:tcPr>
            <w:tcW w:w="20" w:type="dxa"/>
            <w:vAlign w:val="bottom"/>
          </w:tcPr>
          <w:p>
            <w:pPr>
              <w:spacing w:after="0"/>
              <w:rPr>
                <w:sz w:val="17"/>
                <w:szCs w:val="17"/>
                <w:color w:val="auto"/>
              </w:rPr>
            </w:pPr>
          </w:p>
        </w:tc>
        <w:tc>
          <w:tcPr>
            <w:tcW w:w="1360" w:type="dxa"/>
            <w:vAlign w:val="bottom"/>
            <w:tcBorders>
              <w:right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w w:val="97"/>
              </w:rPr>
              <w:t>Foreign currency</w:t>
            </w: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translation</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199"/>
        </w:trPr>
        <w:tc>
          <w:tcPr>
            <w:tcW w:w="20" w:type="dxa"/>
            <w:vAlign w:val="bottom"/>
          </w:tcPr>
          <w:p>
            <w:pPr>
              <w:spacing w:after="0"/>
              <w:rPr>
                <w:sz w:val="17"/>
                <w:szCs w:val="17"/>
                <w:color w:val="auto"/>
              </w:rPr>
            </w:pPr>
          </w:p>
        </w:tc>
        <w:tc>
          <w:tcPr>
            <w:tcW w:w="1360" w:type="dxa"/>
            <w:vAlign w:val="bottom"/>
          </w:tcPr>
          <w:p>
            <w:pPr>
              <w:spacing w:after="0" w:line="200" w:lineRule="exact"/>
              <w:rPr>
                <w:sz w:val="20"/>
                <w:szCs w:val="20"/>
                <w:color w:val="auto"/>
              </w:rPr>
            </w:pPr>
            <w:r>
              <w:rPr>
                <w:rFonts w:ascii="Arial" w:cs="Arial" w:eastAsia="Arial" w:hAnsi="Arial"/>
                <w:sz w:val="18"/>
                <w:szCs w:val="18"/>
                <w:color w:val="auto"/>
                <w:w w:val="96"/>
              </w:rPr>
              <w:t>Exercise of stock</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1,693,095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00"/>
        </w:trPr>
        <w:tc>
          <w:tcPr>
            <w:tcW w:w="20" w:type="dxa"/>
            <w:vAlign w:val="bottom"/>
          </w:tcPr>
          <w:p>
            <w:pPr>
              <w:spacing w:after="0"/>
              <w:rPr>
                <w:sz w:val="17"/>
                <w:szCs w:val="17"/>
                <w:color w:val="auto"/>
              </w:rPr>
            </w:pPr>
          </w:p>
        </w:tc>
        <w:tc>
          <w:tcPr>
            <w:tcW w:w="13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r>
      <w:tr>
        <w:trPr>
          <w:trHeight w:val="199"/>
        </w:trPr>
        <w:tc>
          <w:tcPr>
            <w:tcW w:w="20" w:type="dxa"/>
            <w:vAlign w:val="bottom"/>
          </w:tcPr>
          <w:p>
            <w:pPr>
              <w:spacing w:after="0"/>
              <w:rPr>
                <w:sz w:val="17"/>
                <w:szCs w:val="17"/>
                <w:color w:val="auto"/>
              </w:rPr>
            </w:pPr>
          </w:p>
        </w:tc>
        <w:tc>
          <w:tcPr>
            <w:tcW w:w="1360" w:type="dxa"/>
            <w:vAlign w:val="bottom"/>
          </w:tcPr>
          <w:p>
            <w:pPr>
              <w:spacing w:after="0" w:line="200" w:lineRule="exact"/>
              <w:rPr>
                <w:sz w:val="20"/>
                <w:szCs w:val="20"/>
                <w:color w:val="auto"/>
              </w:rPr>
            </w:pPr>
            <w:r>
              <w:rPr>
                <w:rFonts w:ascii="Arial" w:cs="Arial" w:eastAsia="Arial" w:hAnsi="Arial"/>
                <w:sz w:val="18"/>
                <w:szCs w:val="18"/>
                <w:color w:val="auto"/>
                <w:w w:val="96"/>
              </w:rPr>
              <w:t>Exercise of stock</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warrants</w:t>
            </w:r>
          </w:p>
        </w:tc>
        <w:tc>
          <w:tcPr>
            <w:tcW w:w="880" w:type="dxa"/>
            <w:vAlign w:val="bottom"/>
          </w:tcPr>
          <w:p>
            <w:pPr>
              <w:jc w:val="right"/>
              <w:spacing w:after="0"/>
              <w:rPr>
                <w:sz w:val="20"/>
                <w:szCs w:val="20"/>
                <w:color w:val="auto"/>
              </w:rPr>
            </w:pPr>
            <w:r>
              <w:rPr>
                <w:rFonts w:ascii="Arial" w:cs="Arial" w:eastAsia="Arial" w:hAnsi="Arial"/>
                <w:sz w:val="18"/>
                <w:szCs w:val="18"/>
                <w:color w:val="auto"/>
              </w:rPr>
              <w:t>728,043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00"/>
        </w:trPr>
        <w:tc>
          <w:tcPr>
            <w:tcW w:w="20" w:type="dxa"/>
            <w:vAlign w:val="bottom"/>
          </w:tcPr>
          <w:p>
            <w:pPr>
              <w:spacing w:after="0"/>
              <w:rPr>
                <w:sz w:val="17"/>
                <w:szCs w:val="17"/>
                <w:color w:val="auto"/>
              </w:rPr>
            </w:pPr>
          </w:p>
        </w:tc>
        <w:tc>
          <w:tcPr>
            <w:tcW w:w="13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Class B</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Class A</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285,003</w:t>
            </w:r>
          </w:p>
        </w:tc>
        <w:tc>
          <w:tcPr>
            <w:tcW w:w="12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(285,003)</w:t>
            </w:r>
          </w:p>
        </w:tc>
        <w:tc>
          <w:tcPr>
            <w:tcW w:w="4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20" w:type="dxa"/>
            <w:vAlign w:val="bottom"/>
          </w:tcPr>
          <w:p>
            <w:pPr>
              <w:spacing w:after="0"/>
              <w:rPr>
                <w:sz w:val="16"/>
                <w:szCs w:val="16"/>
                <w:color w:val="auto"/>
              </w:rPr>
            </w:pPr>
          </w:p>
        </w:tc>
        <w:tc>
          <w:tcPr>
            <w:tcW w:w="136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b w:val="1"/>
                <w:bCs w:val="1"/>
                <w:color w:val="auto"/>
                <w:w w:val="95"/>
              </w:rPr>
              <w:t>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53,396,220</w:t>
            </w:r>
          </w:p>
        </w:tc>
        <w:tc>
          <w:tcPr>
            <w:tcW w:w="54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5,122,815</w:t>
            </w:r>
          </w:p>
        </w:tc>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110,772</w:t>
            </w:r>
          </w:p>
        </w:tc>
        <w:tc>
          <w:tcPr>
            <w:tcW w:w="1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52,091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4,388</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5,759</w:t>
            </w:r>
          </w:p>
        </w:tc>
        <w:tc>
          <w:tcPr>
            <w:tcW w:w="2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69,491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4"/>
              </w:rPr>
              <w:t>$ 242,507</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gridSpan w:val="3"/>
          </w:tcPr>
          <w:p>
            <w:pPr>
              <w:jc w:val="center"/>
              <w:ind w:left="32"/>
              <w:spacing w:after="0"/>
              <w:rPr>
                <w:sz w:val="20"/>
                <w:szCs w:val="20"/>
                <w:color w:val="auto"/>
              </w:rPr>
            </w:pPr>
            <w:r>
              <w:rPr>
                <w:rFonts w:ascii="Arial" w:cs="Arial" w:eastAsia="Arial" w:hAnsi="Arial"/>
                <w:sz w:val="18"/>
                <w:szCs w:val="18"/>
                <w:b w:val="1"/>
                <w:bCs w:val="1"/>
                <w:color w:val="auto"/>
                <w:w w:val="89"/>
              </w:rPr>
              <w:t>Common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89"/>
              </w:rPr>
              <w:t>Common</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8"/>
                <w:szCs w:val="18"/>
                <w:b w:val="1"/>
                <w:bCs w:val="1"/>
                <w:color w:val="auto"/>
                <w:w w:val="86"/>
              </w:rPr>
              <w:t>Stock Class A</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gridSpan w:val="3"/>
          </w:tcPr>
          <w:p>
            <w:pPr>
              <w:jc w:val="center"/>
              <w:ind w:left="32"/>
              <w:spacing w:after="0"/>
              <w:rPr>
                <w:sz w:val="20"/>
                <w:szCs w:val="20"/>
                <w:color w:val="auto"/>
              </w:rPr>
            </w:pPr>
            <w:r>
              <w:rPr>
                <w:rFonts w:ascii="Arial" w:cs="Arial" w:eastAsia="Arial" w:hAnsi="Arial"/>
                <w:sz w:val="18"/>
                <w:szCs w:val="18"/>
                <w:b w:val="1"/>
                <w:bCs w:val="1"/>
                <w:color w:val="auto"/>
                <w:w w:val="86"/>
              </w:rPr>
              <w:t>Stock Class B</w:t>
            </w:r>
          </w:p>
        </w:tc>
        <w:tc>
          <w:tcPr>
            <w:tcW w:w="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52"/>
              <w:spacing w:after="0" w:line="194"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Statutory</w:t>
            </w:r>
          </w:p>
        </w:tc>
        <w:tc>
          <w:tcPr>
            <w:tcW w:w="20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7"/>
              </w:rPr>
              <w:t>Additional Paid-</w:t>
            </w: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Retained</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Surplus</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Comprehensive</w:t>
            </w: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w w:val="98"/>
              </w:rPr>
              <w:t>Non-controlling</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29"/>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Shares (1)</w:t>
            </w:r>
          </w:p>
        </w:tc>
        <w:tc>
          <w:tcPr>
            <w:tcW w:w="12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2"/>
              </w:rPr>
              <w:t>Shares (1)</w:t>
            </w: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Arial" w:cs="Arial" w:eastAsia="Arial" w:hAnsi="Arial"/>
                <w:sz w:val="18"/>
                <w:szCs w:val="18"/>
                <w:b w:val="1"/>
                <w:bCs w:val="1"/>
                <w:color w:val="auto"/>
                <w:w w:val="98"/>
              </w:rPr>
              <w:t>in Capital</w:t>
            </w: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earnings</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Reserve</w:t>
            </w: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Income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interests</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r>
      <w:tr>
        <w:trPr>
          <w:trHeight w:val="194"/>
        </w:trPr>
        <w:tc>
          <w:tcPr>
            <w:tcW w:w="20" w:type="dxa"/>
            <w:vAlign w:val="bottom"/>
          </w:tcPr>
          <w:p>
            <w:pPr>
              <w:spacing w:after="0"/>
              <w:rPr>
                <w:sz w:val="16"/>
                <w:szCs w:val="16"/>
                <w:color w:val="auto"/>
              </w:rPr>
            </w:pPr>
          </w:p>
        </w:tc>
        <w:tc>
          <w:tcPr>
            <w:tcW w:w="136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53,608,929</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5,087,814</w:t>
            </w:r>
          </w:p>
        </w:tc>
        <w:tc>
          <w:tcPr>
            <w:tcW w:w="14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595,045</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63,732</w:t>
            </w: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8,312</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9,109</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135,461</w:t>
            </w: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$ 811,665</w:t>
            </w:r>
          </w:p>
        </w:tc>
      </w:tr>
      <w:tr>
        <w:trPr>
          <w:trHeight w:val="212"/>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27,454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36,381</w:t>
            </w:r>
          </w:p>
        </w:tc>
      </w:tr>
      <w:tr>
        <w:trPr>
          <w:trHeight w:val="199"/>
        </w:trPr>
        <w:tc>
          <w:tcPr>
            <w:tcW w:w="20" w:type="dxa"/>
            <w:vAlign w:val="bottom"/>
          </w:tcPr>
          <w:p>
            <w:pPr>
              <w:spacing w:after="0"/>
              <w:rPr>
                <w:sz w:val="17"/>
                <w:szCs w:val="17"/>
                <w:color w:val="auto"/>
              </w:rPr>
            </w:pPr>
          </w:p>
        </w:tc>
        <w:tc>
          <w:tcPr>
            <w:tcW w:w="1360" w:type="dxa"/>
            <w:vAlign w:val="bottom"/>
            <w:tcBorders>
              <w:right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w w:val="97"/>
              </w:rPr>
              <w:t>Foreign currency</w:t>
            </w: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translation</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(67,029)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(13,305)</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(80,334)</w:t>
            </w:r>
          </w:p>
        </w:tc>
      </w:tr>
      <w:tr>
        <w:trPr>
          <w:trHeight w:val="199"/>
        </w:trPr>
        <w:tc>
          <w:tcPr>
            <w:tcW w:w="20" w:type="dxa"/>
            <w:vAlign w:val="bottom"/>
          </w:tcPr>
          <w:p>
            <w:pPr>
              <w:spacing w:after="0"/>
              <w:rPr>
                <w:sz w:val="17"/>
                <w:szCs w:val="17"/>
                <w:color w:val="auto"/>
              </w:rPr>
            </w:pPr>
          </w:p>
        </w:tc>
        <w:tc>
          <w:tcPr>
            <w:tcW w:w="1360" w:type="dxa"/>
            <w:vAlign w:val="bottom"/>
          </w:tcPr>
          <w:p>
            <w:pPr>
              <w:spacing w:after="0" w:line="200" w:lineRule="exact"/>
              <w:rPr>
                <w:sz w:val="20"/>
                <w:szCs w:val="20"/>
                <w:color w:val="auto"/>
              </w:rPr>
            </w:pPr>
            <w:r>
              <w:rPr>
                <w:rFonts w:ascii="Arial" w:cs="Arial" w:eastAsia="Arial" w:hAnsi="Arial"/>
                <w:sz w:val="18"/>
                <w:szCs w:val="18"/>
                <w:color w:val="auto"/>
                <w:w w:val="96"/>
              </w:rPr>
              <w:t>Exercise of stock</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763,584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00"/>
        </w:trPr>
        <w:tc>
          <w:tcPr>
            <w:tcW w:w="20" w:type="dxa"/>
            <w:vAlign w:val="bottom"/>
          </w:tcPr>
          <w:p>
            <w:pPr>
              <w:spacing w:after="0"/>
              <w:rPr>
                <w:sz w:val="17"/>
                <w:szCs w:val="17"/>
                <w:color w:val="auto"/>
              </w:rPr>
            </w:pPr>
          </w:p>
        </w:tc>
        <w:tc>
          <w:tcPr>
            <w:tcW w:w="13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8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r>
      <w:tr>
        <w:trPr>
          <w:trHeight w:val="199"/>
        </w:trPr>
        <w:tc>
          <w:tcPr>
            <w:tcW w:w="20" w:type="dxa"/>
            <w:vAlign w:val="bottom"/>
          </w:tcPr>
          <w:p>
            <w:pPr>
              <w:spacing w:after="0"/>
              <w:rPr>
                <w:sz w:val="17"/>
                <w:szCs w:val="17"/>
                <w:color w:val="auto"/>
              </w:rPr>
            </w:pPr>
          </w:p>
        </w:tc>
        <w:tc>
          <w:tcPr>
            <w:tcW w:w="1360" w:type="dxa"/>
            <w:vAlign w:val="bottom"/>
          </w:tcPr>
          <w:p>
            <w:pPr>
              <w:spacing w:after="0" w:line="200" w:lineRule="exact"/>
              <w:rPr>
                <w:sz w:val="20"/>
                <w:szCs w:val="20"/>
                <w:color w:val="auto"/>
              </w:rPr>
            </w:pPr>
            <w:r>
              <w:rPr>
                <w:rFonts w:ascii="Arial" w:cs="Arial" w:eastAsia="Arial" w:hAnsi="Arial"/>
                <w:sz w:val="18"/>
                <w:szCs w:val="18"/>
                <w:color w:val="auto"/>
              </w:rPr>
              <w:t>Conversion of</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Class B</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to Class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A common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360" w:type="dxa"/>
            <w:vAlign w:val="bottom"/>
          </w:tcPr>
          <w:p>
            <w:pPr>
              <w:ind w:left="300"/>
              <w:spacing w:after="0"/>
              <w:rPr>
                <w:sz w:val="20"/>
                <w:szCs w:val="20"/>
                <w:color w:val="auto"/>
              </w:rPr>
            </w:pPr>
            <w:r>
              <w:rPr>
                <w:rFonts w:ascii="Arial" w:cs="Arial" w:eastAsia="Arial" w:hAnsi="Arial"/>
                <w:sz w:val="18"/>
                <w:szCs w:val="18"/>
                <w:color w:val="auto"/>
              </w:rPr>
              <w:t>stock</w:t>
            </w:r>
          </w:p>
        </w:tc>
        <w:tc>
          <w:tcPr>
            <w:tcW w:w="88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440" w:type="dxa"/>
            <w:vAlign w:val="bottom"/>
          </w:tcPr>
          <w:p>
            <w:pPr>
              <w:spacing w:after="0"/>
              <w:rPr>
                <w:sz w:val="20"/>
                <w:szCs w:val="20"/>
                <w:color w:val="auto"/>
              </w:rPr>
            </w:pP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20" w:type="dxa"/>
            <w:vAlign w:val="bottom"/>
          </w:tcPr>
          <w:p>
            <w:pPr>
              <w:spacing w:after="0"/>
              <w:rPr>
                <w:sz w:val="16"/>
                <w:szCs w:val="16"/>
                <w:color w:val="auto"/>
              </w:rPr>
            </w:pPr>
          </w:p>
        </w:tc>
        <w:tc>
          <w:tcPr>
            <w:tcW w:w="136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95"/>
              </w:rPr>
              <w:t>September 30,</w:t>
            </w:r>
          </w:p>
        </w:tc>
        <w:tc>
          <w:tcPr>
            <w:tcW w:w="8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54,373,515</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5,086,812</w:t>
            </w:r>
          </w:p>
        </w:tc>
        <w:tc>
          <w:tcPr>
            <w:tcW w:w="14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601,431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91,186</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(57,920)</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131,083</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$ 774,098</w:t>
            </w: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99" w:lineRule="exact"/>
        <w:rPr>
          <w:sz w:val="20"/>
          <w:szCs w:val="20"/>
          <w:color w:val="auto"/>
        </w:rPr>
      </w:pPr>
    </w:p>
    <w:p>
      <w:pPr>
        <w:ind w:left="320" w:right="480" w:hanging="314"/>
        <w:spacing w:after="0" w:line="264"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period results have been adjusted to reflect the three-for-one stock split effected in the form of a stock dividend in March 2022. See Note 1 for details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ACM RESEARCH,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Three Months Ended September 30, 2022 and 2021</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left="72"/>
              <w:spacing w:after="0"/>
              <w:rPr>
                <w:sz w:val="20"/>
                <w:szCs w:val="20"/>
                <w:color w:val="auto"/>
              </w:rPr>
            </w:pPr>
            <w:r>
              <w:rPr>
                <w:rFonts w:ascii="Arial" w:cs="Arial" w:eastAsia="Arial" w:hAnsi="Arial"/>
                <w:sz w:val="18"/>
                <w:szCs w:val="18"/>
                <w:b w:val="1"/>
                <w:bCs w:val="1"/>
                <w:color w:val="auto"/>
                <w:w w:val="87"/>
              </w:rPr>
              <w:t>Common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Borders>
              <w:bottom w:val="single" w:sz="8" w:color="auto"/>
            </w:tcBorders>
            <w:gridSpan w:val="4"/>
          </w:tcPr>
          <w:p>
            <w:pPr>
              <w:jc w:val="center"/>
              <w:ind w:left="92"/>
              <w:spacing w:after="0"/>
              <w:rPr>
                <w:sz w:val="20"/>
                <w:szCs w:val="20"/>
                <w:color w:val="auto"/>
              </w:rPr>
            </w:pPr>
            <w:r>
              <w:rPr>
                <w:rFonts w:ascii="Arial" w:cs="Arial" w:eastAsia="Arial" w:hAnsi="Arial"/>
                <w:sz w:val="18"/>
                <w:szCs w:val="18"/>
                <w:b w:val="1"/>
                <w:bCs w:val="1"/>
                <w:color w:val="auto"/>
                <w:w w:val="86"/>
              </w:rPr>
              <w:t>Stock Class A</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8"/>
                <w:szCs w:val="18"/>
                <w:b w:val="1"/>
                <w:bCs w:val="1"/>
                <w:color w:val="auto"/>
                <w:w w:val="86"/>
              </w:rPr>
              <w:t>Stock Class B</w:t>
            </w: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center"/>
              <w:ind w:right="80"/>
              <w:spacing w:after="0" w:line="194" w:lineRule="exact"/>
              <w:rPr>
                <w:sz w:val="20"/>
                <w:szCs w:val="20"/>
                <w:color w:val="auto"/>
              </w:rPr>
            </w:pPr>
            <w:r>
              <w:rPr>
                <w:rFonts w:ascii="Arial" w:cs="Arial" w:eastAsia="Arial" w:hAnsi="Arial"/>
                <w:sz w:val="18"/>
                <w:szCs w:val="18"/>
                <w:b w:val="1"/>
                <w:bCs w:val="1"/>
                <w:color w:val="auto"/>
                <w:w w:val="88"/>
              </w:rPr>
              <w:t>Accumulated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Additional Paid-</w:t>
            </w: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w w:val="92"/>
              </w:rPr>
              <w:t>Retained</w:t>
            </w:r>
          </w:p>
        </w:tc>
        <w:tc>
          <w:tcPr>
            <w:tcW w:w="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1"/>
              </w:rPr>
              <w:t>Statutory Surplus</w:t>
            </w: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Comprehensive</w:t>
            </w: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Non-controlling</w:t>
            </w:r>
          </w:p>
        </w:tc>
        <w:tc>
          <w:tcPr>
            <w:tcW w:w="2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Total</w:t>
            </w: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Shares (1)</w:t>
            </w:r>
          </w:p>
        </w:tc>
        <w:tc>
          <w:tcPr>
            <w:tcW w:w="800" w:type="dxa"/>
            <w:vAlign w:val="bottom"/>
            <w:gridSpan w:val="4"/>
          </w:tcPr>
          <w:p>
            <w:pPr>
              <w:ind w:left="80"/>
              <w:spacing w:after="0"/>
              <w:rPr>
                <w:sz w:val="20"/>
                <w:szCs w:val="20"/>
                <w:color w:val="auto"/>
              </w:rPr>
            </w:pPr>
            <w:r>
              <w:rPr>
                <w:rFonts w:ascii="Arial" w:cs="Arial" w:eastAsia="Arial" w:hAnsi="Arial"/>
                <w:sz w:val="18"/>
                <w:szCs w:val="18"/>
                <w:b w:val="1"/>
                <w:bCs w:val="1"/>
                <w:color w:val="auto"/>
              </w:rPr>
              <w:t>Amount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Shares (1)</w:t>
            </w:r>
          </w:p>
        </w:tc>
        <w:tc>
          <w:tcPr>
            <w:tcW w:w="660" w:type="dxa"/>
            <w:vAlign w:val="bottom"/>
            <w:gridSpan w:val="3"/>
          </w:tcPr>
          <w:p>
            <w:pPr>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in Capital</w:t>
            </w:r>
          </w:p>
        </w:tc>
        <w:tc>
          <w:tcPr>
            <w:tcW w:w="72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Reserve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interests</w:t>
            </w:r>
          </w:p>
        </w:tc>
        <w:tc>
          <w:tcPr>
            <w:tcW w:w="2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Equity</w:t>
            </w:r>
          </w:p>
        </w:tc>
      </w:tr>
      <w:tr>
        <w:trPr>
          <w:trHeight w:val="194"/>
        </w:trPr>
        <w:tc>
          <w:tcPr>
            <w:tcW w:w="20" w:type="dxa"/>
            <w:vAlign w:val="bottom"/>
          </w:tcPr>
          <w:p>
            <w:pPr>
              <w:spacing w:after="0"/>
              <w:rPr>
                <w:sz w:val="16"/>
                <w:szCs w:val="16"/>
                <w:color w:val="auto"/>
              </w:rPr>
            </w:pPr>
          </w:p>
        </w:tc>
        <w:tc>
          <w:tcPr>
            <w:tcW w:w="11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June 30,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53,005,227</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5,122,815</w:t>
            </w: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108,562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41,936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4,388</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5,931</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68,733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229,556</w:t>
            </w:r>
          </w:p>
        </w:tc>
        <w:tc>
          <w:tcPr>
            <w:tcW w:w="6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10,155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11,150</w:t>
            </w:r>
          </w:p>
        </w:tc>
        <w:tc>
          <w:tcPr>
            <w:tcW w:w="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199"/>
        </w:trPr>
        <w:tc>
          <w:tcPr>
            <w:tcW w:w="20" w:type="dxa"/>
            <w:vAlign w:val="bottom"/>
          </w:tcPr>
          <w:p>
            <w:pPr>
              <w:spacing w:after="0"/>
              <w:rPr>
                <w:sz w:val="17"/>
                <w:szCs w:val="17"/>
                <w:color w:val="auto"/>
              </w:rPr>
            </w:pPr>
          </w:p>
        </w:tc>
        <w:tc>
          <w:tcPr>
            <w:tcW w:w="1160" w:type="dxa"/>
            <w:vAlign w:val="bottom"/>
          </w:tcPr>
          <w:p>
            <w:pPr>
              <w:spacing w:after="0" w:line="200" w:lineRule="exact"/>
              <w:rPr>
                <w:sz w:val="20"/>
                <w:szCs w:val="20"/>
                <w:color w:val="auto"/>
              </w:rPr>
            </w:pPr>
            <w:r>
              <w:rPr>
                <w:rFonts w:ascii="Arial" w:cs="Arial" w:eastAsia="Arial" w:hAnsi="Arial"/>
                <w:sz w:val="18"/>
                <w:szCs w:val="18"/>
                <w:color w:val="auto"/>
              </w:rPr>
              <w:t>Exercise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w w:val="97"/>
              </w:rPr>
              <w:t>stock options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390,993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932</w:t>
            </w:r>
          </w:p>
        </w:tc>
      </w:tr>
      <w:tr>
        <w:trPr>
          <w:trHeight w:val="200"/>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compensation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60" w:type="dxa"/>
            <w:vAlign w:val="bottom"/>
            <w:shd w:val="clear" w:color="auto" w:fill="CCEEFF"/>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116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September</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30, 2021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53,396,220</w:t>
            </w:r>
          </w:p>
        </w:tc>
        <w:tc>
          <w:tcPr>
            <w:tcW w:w="8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5,122,815</w:t>
            </w:r>
          </w:p>
        </w:tc>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110,772</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52,091</w:t>
            </w:r>
          </w:p>
        </w:tc>
        <w:tc>
          <w:tcPr>
            <w:tcW w:w="28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4,388</w:t>
            </w: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5,759</w:t>
            </w: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69,491</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242,507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ind w:left="72"/>
              <w:spacing w:after="0"/>
              <w:rPr>
                <w:sz w:val="20"/>
                <w:szCs w:val="20"/>
                <w:color w:val="auto"/>
              </w:rPr>
            </w:pPr>
            <w:r>
              <w:rPr>
                <w:rFonts w:ascii="Arial" w:cs="Arial" w:eastAsia="Arial" w:hAnsi="Arial"/>
                <w:sz w:val="18"/>
                <w:szCs w:val="18"/>
                <w:b w:val="1"/>
                <w:bCs w:val="1"/>
                <w:color w:val="auto"/>
                <w:w w:val="87"/>
              </w:rPr>
              <w:t>Common</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Borders>
              <w:bottom w:val="single" w:sz="8" w:color="auto"/>
            </w:tcBorders>
            <w:gridSpan w:val="4"/>
          </w:tcPr>
          <w:p>
            <w:pPr>
              <w:jc w:val="center"/>
              <w:ind w:left="92"/>
              <w:spacing w:after="0"/>
              <w:rPr>
                <w:sz w:val="20"/>
                <w:szCs w:val="20"/>
                <w:color w:val="auto"/>
              </w:rPr>
            </w:pPr>
            <w:r>
              <w:rPr>
                <w:rFonts w:ascii="Arial" w:cs="Arial" w:eastAsia="Arial" w:hAnsi="Arial"/>
                <w:sz w:val="18"/>
                <w:szCs w:val="18"/>
                <w:b w:val="1"/>
                <w:bCs w:val="1"/>
                <w:color w:val="auto"/>
                <w:w w:val="86"/>
              </w:rPr>
              <w:t>Stock Class A</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8"/>
                <w:szCs w:val="18"/>
                <w:b w:val="1"/>
                <w:bCs w:val="1"/>
                <w:color w:val="auto"/>
                <w:w w:val="86"/>
              </w:rPr>
              <w:t>Stock Class B</w:t>
            </w: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center"/>
              <w:ind w:right="80"/>
              <w:spacing w:after="0" w:line="194" w:lineRule="exact"/>
              <w:rPr>
                <w:sz w:val="20"/>
                <w:szCs w:val="20"/>
                <w:color w:val="auto"/>
              </w:rPr>
            </w:pPr>
            <w:r>
              <w:rPr>
                <w:rFonts w:ascii="Arial" w:cs="Arial" w:eastAsia="Arial" w:hAnsi="Arial"/>
                <w:sz w:val="18"/>
                <w:szCs w:val="18"/>
                <w:b w:val="1"/>
                <w:bCs w:val="1"/>
                <w:color w:val="auto"/>
                <w:w w:val="88"/>
              </w:rPr>
              <w:t>Accumulated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Additional Paid-</w:t>
            </w: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w w:val="92"/>
              </w:rPr>
              <w:t>Retained</w:t>
            </w:r>
          </w:p>
        </w:tc>
        <w:tc>
          <w:tcPr>
            <w:tcW w:w="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1"/>
              </w:rPr>
              <w:t>Statutory Surplus</w:t>
            </w: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Comprehensive</w:t>
            </w: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Non-controlling</w:t>
            </w:r>
          </w:p>
        </w:tc>
        <w:tc>
          <w:tcPr>
            <w:tcW w:w="20" w:type="dxa"/>
            <w:vAlign w:val="bottom"/>
          </w:tcPr>
          <w:p>
            <w:pPr>
              <w:spacing w:after="0"/>
              <w:rPr>
                <w:sz w:val="18"/>
                <w:szCs w:val="18"/>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Total</w:t>
            </w: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3"/>
              </w:rPr>
              <w:t>Shares</w:t>
            </w:r>
          </w:p>
        </w:tc>
        <w:tc>
          <w:tcPr>
            <w:tcW w:w="800" w:type="dxa"/>
            <w:vAlign w:val="bottom"/>
            <w:gridSpan w:val="4"/>
          </w:tcPr>
          <w:p>
            <w:pPr>
              <w:ind w:left="80"/>
              <w:spacing w:after="0"/>
              <w:rPr>
                <w:sz w:val="20"/>
                <w:szCs w:val="20"/>
                <w:color w:val="auto"/>
              </w:rPr>
            </w:pPr>
            <w:r>
              <w:rPr>
                <w:rFonts w:ascii="Arial" w:cs="Arial" w:eastAsia="Arial" w:hAnsi="Arial"/>
                <w:sz w:val="18"/>
                <w:szCs w:val="18"/>
                <w:b w:val="1"/>
                <w:bCs w:val="1"/>
                <w:color w:val="auto"/>
              </w:rPr>
              <w:t>Amount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660" w:type="dxa"/>
            <w:vAlign w:val="bottom"/>
            <w:gridSpan w:val="3"/>
          </w:tcPr>
          <w:p>
            <w:pPr>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in Capital</w:t>
            </w:r>
          </w:p>
        </w:tc>
        <w:tc>
          <w:tcPr>
            <w:tcW w:w="72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Reserve</w:t>
            </w:r>
          </w:p>
        </w:tc>
        <w:tc>
          <w:tcPr>
            <w:tcW w:w="6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Income (Loss)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interests</w:t>
            </w:r>
          </w:p>
        </w:tc>
        <w:tc>
          <w:tcPr>
            <w:tcW w:w="2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Equity</w:t>
            </w:r>
          </w:p>
        </w:tc>
      </w:tr>
      <w:tr>
        <w:trPr>
          <w:trHeight w:val="194"/>
        </w:trPr>
        <w:tc>
          <w:tcPr>
            <w:tcW w:w="20" w:type="dxa"/>
            <w:vAlign w:val="bottom"/>
          </w:tcPr>
          <w:p>
            <w:pPr>
              <w:spacing w:after="0"/>
              <w:rPr>
                <w:sz w:val="16"/>
                <w:szCs w:val="16"/>
                <w:color w:val="auto"/>
              </w:rPr>
            </w:pPr>
          </w:p>
        </w:tc>
        <w:tc>
          <w:tcPr>
            <w:tcW w:w="11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June 30,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2022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54,141,805</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5,086,812</w:t>
            </w: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599,138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70,182</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8,312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(22,633)</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132,140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$787,145</w:t>
            </w:r>
          </w:p>
        </w:tc>
        <w:tc>
          <w:tcPr>
            <w:tcW w:w="6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21,004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6,072</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27,076</w:t>
            </w: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currency</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(35,287)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(42,416)</w:t>
            </w:r>
          </w:p>
        </w:tc>
      </w:tr>
      <w:tr>
        <w:trPr>
          <w:trHeight w:val="199"/>
        </w:trPr>
        <w:tc>
          <w:tcPr>
            <w:tcW w:w="20" w:type="dxa"/>
            <w:vAlign w:val="bottom"/>
          </w:tcPr>
          <w:p>
            <w:pPr>
              <w:spacing w:after="0"/>
              <w:rPr>
                <w:sz w:val="17"/>
                <w:szCs w:val="17"/>
                <w:color w:val="auto"/>
              </w:rPr>
            </w:pPr>
          </w:p>
        </w:tc>
        <w:tc>
          <w:tcPr>
            <w:tcW w:w="1160" w:type="dxa"/>
            <w:vAlign w:val="bottom"/>
          </w:tcPr>
          <w:p>
            <w:pPr>
              <w:spacing w:after="0" w:line="200" w:lineRule="exact"/>
              <w:rPr>
                <w:sz w:val="20"/>
                <w:szCs w:val="20"/>
                <w:color w:val="auto"/>
              </w:rPr>
            </w:pPr>
            <w:r>
              <w:rPr>
                <w:rFonts w:ascii="Arial" w:cs="Arial" w:eastAsia="Arial" w:hAnsi="Arial"/>
                <w:sz w:val="18"/>
                <w:szCs w:val="18"/>
                <w:color w:val="auto"/>
              </w:rPr>
              <w:t>Exercise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w w:val="97"/>
              </w:rPr>
              <w:t>stock options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231,710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400</w:t>
            </w:r>
          </w:p>
        </w:tc>
      </w:tr>
      <w:tr>
        <w:trPr>
          <w:trHeight w:val="200"/>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compensation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60" w:type="dxa"/>
            <w:vAlign w:val="bottom"/>
            <w:shd w:val="clear" w:color="auto" w:fill="CCEEFF"/>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116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September</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30, 2022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54,373,515</w:t>
            </w:r>
          </w:p>
        </w:tc>
        <w:tc>
          <w:tcPr>
            <w:tcW w:w="5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5,086,812</w:t>
            </w:r>
          </w:p>
        </w:tc>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601,431</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91,186</w:t>
            </w:r>
          </w:p>
        </w:tc>
        <w:tc>
          <w:tcPr>
            <w:tcW w:w="28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8,312</w:t>
            </w: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(57,920)</w:t>
            </w: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131,083</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774,098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right="580" w:hanging="314"/>
        <w:spacing w:after="0" w:line="264"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period results have been adjusted to reflect the three-for-one stock split effected in the form of a stock dividend in March 2022. See Note 1 for details</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520" w:type="dxa"/>
            <w:vAlign w:val="bottom"/>
            <w:gridSpan w:val="3"/>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7520" w:type="dxa"/>
            <w:vAlign w:val="bottom"/>
          </w:tcPr>
          <w:p>
            <w:pPr>
              <w:jc w:val="center"/>
              <w:ind w:left="1652"/>
              <w:spacing w:after="0"/>
              <w:rPr>
                <w:sz w:val="20"/>
                <w:szCs w:val="20"/>
                <w:color w:val="auto"/>
              </w:rPr>
            </w:pPr>
            <w:r>
              <w:rPr>
                <w:rFonts w:ascii="Arial" w:cs="Arial" w:eastAsia="Arial" w:hAnsi="Arial"/>
                <w:sz w:val="18"/>
                <w:szCs w:val="18"/>
                <w:b w:val="1"/>
                <w:bCs w:val="1"/>
                <w:color w:val="auto"/>
                <w:w w:val="98"/>
              </w:rPr>
              <w:t>ACM RESEARCH, INC.</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20" w:type="dxa"/>
            <w:vAlign w:val="bottom"/>
          </w:tcPr>
          <w:p>
            <w:pPr>
              <w:jc w:val="center"/>
              <w:ind w:left="1632"/>
              <w:spacing w:after="0"/>
              <w:rPr>
                <w:sz w:val="20"/>
                <w:szCs w:val="20"/>
                <w:color w:val="auto"/>
              </w:rPr>
            </w:pPr>
            <w:r>
              <w:rPr>
                <w:rFonts w:ascii="Arial" w:cs="Arial" w:eastAsia="Arial" w:hAnsi="Arial"/>
                <w:sz w:val="18"/>
                <w:szCs w:val="18"/>
                <w:b w:val="1"/>
                <w:bCs w:val="1"/>
                <w:color w:val="auto"/>
                <w:w w:val="86"/>
              </w:rPr>
              <w:t>Condensed Consolidated Statements of Cash Flows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20" w:type="dxa"/>
            <w:vAlign w:val="bottom"/>
          </w:tcPr>
          <w:p>
            <w:pPr>
              <w:ind w:left="41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20" w:type="dxa"/>
            <w:vAlign w:val="bottom"/>
          </w:tcPr>
          <w:p>
            <w:pPr>
              <w:jc w:val="center"/>
              <w:ind w:left="1652"/>
              <w:spacing w:after="0"/>
              <w:rPr>
                <w:sz w:val="20"/>
                <w:szCs w:val="20"/>
                <w:color w:val="auto"/>
              </w:rPr>
            </w:pPr>
            <w:r>
              <w:rPr>
                <w:rFonts w:ascii="Arial" w:cs="Arial" w:eastAsia="Arial" w:hAnsi="Arial"/>
                <w:sz w:val="18"/>
                <w:szCs w:val="18"/>
                <w:i w:val="1"/>
                <w:iCs w:val="1"/>
                <w:color w:val="auto"/>
                <w:w w:val="91"/>
              </w:rPr>
              <w:t>(Unaudited)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from operations to net cash used in operating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Realized gain on trading securities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income in net income of affiliates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Arial" w:cs="Arial" w:eastAsia="Arial" w:hAnsi="Arial"/>
                <w:sz w:val="18"/>
                <w:szCs w:val="18"/>
                <w:color w:val="auto"/>
              </w:rPr>
              <w:t>Unrealized loss (gain) on trading securities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(96,840)</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(132,037)</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(87,613)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Advances to related party (note 16)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(6,387)</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Related party accounts payable (note 16)</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(1,310)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Advances from customers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FIN-48 payable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gridSpan w:val="2"/>
          </w:tcPr>
          <w:p>
            <w:pPr>
              <w:ind w:left="460"/>
              <w:spacing w:after="0"/>
              <w:rPr>
                <w:sz w:val="20"/>
                <w:szCs w:val="20"/>
                <w:color w:val="auto"/>
              </w:rPr>
            </w:pPr>
            <w:r>
              <w:rPr>
                <w:rFonts w:ascii="Arial" w:cs="Arial" w:eastAsia="Arial" w:hAnsi="Arial"/>
                <w:sz w:val="18"/>
                <w:szCs w:val="18"/>
                <w:b w:val="1"/>
                <w:bCs w:val="1"/>
                <w:color w:val="auto"/>
              </w:rPr>
              <w:t>Net cash flow used in operating activities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(63,530)</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(18,417)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(1,079)</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of short-term time deposits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(66,176)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Increase of long-term time deposits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(70,400)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selling trading securities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long term investment (Note 14)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gridSpan w:val="2"/>
          </w:tcPr>
          <w:p>
            <w:pPr>
              <w:ind w:left="46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(156,780)</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Repayments of short-term borrowings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(13,694)</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(28,988)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long-term borrowings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Repayments of long-term borrowings</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(1,708)</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Proceeds from warrant exercise to common stock</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(42,551)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8500" w:type="dxa"/>
            <w:vAlign w:val="bottom"/>
            <w:gridSpan w:val="2"/>
          </w:tcPr>
          <w:p>
            <w:pPr>
              <w:spacing w:after="0" w:line="205" w:lineRule="exact"/>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(226,425)</w:t>
            </w:r>
          </w:p>
        </w:tc>
        <w:tc>
          <w:tcPr>
            <w:tcW w:w="260" w:type="dxa"/>
            <w:vAlign w:val="bottom"/>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563,067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71,766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336,642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Interest paid, net of capitalized interest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300"/>
              <w:spacing w:after="0" w:line="205" w:lineRule="exact"/>
              <w:rPr>
                <w:sz w:val="20"/>
                <w:szCs w:val="20"/>
                <w:color w:val="auto"/>
              </w:rPr>
            </w:pPr>
            <w:r>
              <w:rPr>
                <w:rFonts w:ascii="Arial" w:cs="Arial" w:eastAsia="Arial" w:hAnsi="Arial"/>
                <w:sz w:val="18"/>
                <w:szCs w:val="18"/>
                <w:color w:val="auto"/>
              </w:rPr>
              <w:t>Cash paid for income taxes</w:t>
            </w:r>
          </w:p>
        </w:tc>
        <w:tc>
          <w:tcPr>
            <w:tcW w:w="24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Reconciliation of cash, cash equivalents and restricted cash in condensed consolidated statements of cash flows: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336,275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64,517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336,642</w:t>
            </w:r>
          </w:p>
        </w:tc>
        <w:tc>
          <w:tcPr>
            <w:tcW w:w="24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65,036</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Non-cash financing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Conversion of Class B common stock to Class A common stock</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00" w:type="dxa"/>
            <w:vAlign w:val="bottom"/>
            <w:gridSpan w:val="2"/>
          </w:tcPr>
          <w:p>
            <w:pPr>
              <w:spacing w:after="0" w:line="205" w:lineRule="exact"/>
              <w:rPr>
                <w:sz w:val="20"/>
                <w:szCs w:val="20"/>
                <w:color w:val="auto"/>
              </w:rPr>
            </w:pPr>
            <w:r>
              <w:rPr>
                <w:rFonts w:ascii="Arial" w:cs="Arial" w:eastAsia="Arial" w:hAnsi="Arial"/>
                <w:sz w:val="18"/>
                <w:szCs w:val="18"/>
                <w:color w:val="auto"/>
              </w:rPr>
              <w:t>Cashless exercise of stock options</w:t>
            </w:r>
          </w:p>
        </w:tc>
        <w:tc>
          <w:tcPr>
            <w:tcW w:w="2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5" w:lineRule="exact"/>
              <w:rPr>
                <w:sz w:val="20"/>
                <w:szCs w:val="20"/>
                <w:color w:val="auto"/>
              </w:rPr>
            </w:pPr>
            <w:r>
              <w:rPr>
                <w:rFonts w:ascii="Arial" w:cs="Arial" w:eastAsia="Arial" w:hAnsi="Arial"/>
                <w:sz w:val="18"/>
                <w:szCs w:val="18"/>
                <w:color w:val="auto"/>
              </w:rPr>
              <w:t>125</w:t>
            </w:r>
          </w:p>
        </w:tc>
        <w:tc>
          <w:tcPr>
            <w:tcW w:w="240" w:type="dxa"/>
            <w:vAlign w:val="bottom"/>
          </w:tcPr>
          <w:p>
            <w:pPr>
              <w:spacing w:after="0"/>
              <w:rPr>
                <w:sz w:val="17"/>
                <w:szCs w:val="17"/>
                <w:color w:val="auto"/>
              </w:rPr>
            </w:pPr>
          </w:p>
        </w:tc>
        <w:tc>
          <w:tcPr>
            <w:tcW w:w="260" w:type="dxa"/>
            <w:vAlign w:val="bottom"/>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8500" w:type="dxa"/>
            <w:vAlign w:val="bottom"/>
            <w:tcBorders>
              <w:bottom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Non-cash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Transfer of prepayment for property to property plant and equipment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41,497</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ectPr>
          <w:pgSz w:w="11900" w:h="16838" w:orient="portrait"/>
          <w:cols w:equalWidth="0" w:num="1">
            <w:col w:w="9019"/>
          </w:cols>
          <w:pgMar w:left="1440" w:top="127"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50165</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wet-cleaning equipment used to improve the manufacturing process and yield for advanced integrated chips. The Company markets and sells its single-wafer wet-cleaning equipment, which are based on the Company’s proprietary Space Alternated Phase Shift (“SAPS”) and Timely Energized Bubble Oscillation (“TEBO”) technologies, under the brand name “Ultra C.” These tools are designed to remove random defects from a wafer surface efficiently, without damaging the wafer or its features, even at increasingly advanced process nodes.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In 2011, ACM Shanghai formed a wholly-owned subsidiary in the PRC, ACM Research (Wuxi), Inc. (“ACM Wuxi”), to manage sales and service operations.</w:t>
      </w: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wholly-owned Delaware subsidiary, also named ACM Research, Inc.</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2017, ACM formed a wholly-owned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2017, ACM purchased 18.77% of ACM Shanghai’s equity interests held by Shanghai Science and Technology Venture Capital Co., Ltd. On November 8, 2017, ACM purchased the remaining 18.36% of ACM Shanghai’s equity interests held by third parties, Shanghai Pudong High-Tech Investment Co., Ltd. and Shanghai Zhangjiang Science &amp; Technology Venture Capital Co., Ltd. At December 31, 2017, ACM owned all of the outstanding equity interests of ACM Shanghai, and indirectly through ACM Shanghai, owned all of the outstanding equity interests of ACM Wuxi.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In December 2017, ACM formed a wholly-owned subsidiary in the Republic of Korea, ACM Research Korea CO., LTD. (“ACM Korea”), to serve customers based in Republic of Korea and perform sales and marketing and research and development (“R&amp;D”) activities for new products and solutions.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ACM Shanghai formed a wholly-owned subsidiary in the PRC, Shengwei Research (Shanghai), Inc. (“ACM Shengwei”), to manage activities related to the addition of future long-term production capacity.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2019, CleanChip formed a wholly-owned subsidiary in California, ACM Research (CA), Inc. (“ACM California”), to provide procurement services on behalf of ACM Shanghai. In June 2019, ACM Korea was reorganized as a wholly-owned subsidiary of CleanChip.</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June 2019, ACM announced plans to complete a listing (the “STAR Listing”) of shares of ACM Shanghai on the Shanghai Stock Exchange’s Sci-Tech innovAtion boaRd, known as the STAR Market, and a concurrent initial public offering (the “STAR IPO”) of ACM Shanghai shares in the PRC. ACM Shanghai is currently ACM’s primary operating subsidiary, and at the time of announcement, was wholly-owned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2021, ACM formed a wholly-owned subsidiary in Singapore, ACM Research (Singapore) PTE, Ltd. (“ACM Singapore”), to perform sales, marketing, and other business development activities.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November 2021, ACM Shanghai completed its STAR Listing and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2022, ACM Shanghai formed a wholly-owned subsidiary in China, ACM Research (Beijing), Inc. (“ACM Beijing”), to perform sales, marketing and other business development activities.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2022, ACM formed a wholly-owned subsidiary in South Korea, Hanguk ACM CO., LTD, to perform business development and other related activities.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condensed consolidated financial statements have been adjusted retrospectively to reflect the Stock Split.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direct or indirect interests in the following subsidiaries: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62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Effective interest held as at</w:t>
            </w:r>
          </w:p>
        </w:tc>
      </w:tr>
      <w:tr>
        <w:trPr>
          <w:trHeight w:val="212"/>
        </w:trPr>
        <w:tc>
          <w:tcPr>
            <w:tcW w:w="34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320" w:type="dxa"/>
            <w:vAlign w:val="bottom"/>
          </w:tcPr>
          <w:p>
            <w:pPr>
              <w:jc w:val="right"/>
              <w:ind w:right="132"/>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December 31,</w:t>
            </w:r>
          </w:p>
        </w:tc>
      </w:tr>
      <w:tr>
        <w:trPr>
          <w:trHeight w:val="237"/>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subsidiaries</w:t>
            </w:r>
          </w:p>
        </w:tc>
        <w:tc>
          <w:tcPr>
            <w:tcW w:w="41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Place and date of incorporation</w:t>
            </w:r>
          </w:p>
        </w:tc>
        <w:tc>
          <w:tcPr>
            <w:tcW w:w="23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r>
      <w:tr>
        <w:trPr>
          <w:trHeight w:val="212"/>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ACM Research (Shanghai), Inc.</w:t>
            </w:r>
          </w:p>
        </w:tc>
        <w:tc>
          <w:tcPr>
            <w:tcW w:w="4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PRC, May 2005</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82.5%</w:t>
            </w: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ACM Research (Wuxi), Inc.</w:t>
            </w:r>
          </w:p>
        </w:tc>
        <w:tc>
          <w:tcPr>
            <w:tcW w:w="4140" w:type="dxa"/>
            <w:vAlign w:val="bottom"/>
          </w:tcPr>
          <w:p>
            <w:pPr>
              <w:ind w:left="760"/>
              <w:spacing w:after="0"/>
              <w:rPr>
                <w:sz w:val="20"/>
                <w:szCs w:val="20"/>
                <w:color w:val="auto"/>
              </w:rPr>
            </w:pPr>
            <w:r>
              <w:rPr>
                <w:rFonts w:ascii="Arial" w:cs="Arial" w:eastAsia="Arial" w:hAnsi="Arial"/>
                <w:sz w:val="18"/>
                <w:szCs w:val="18"/>
                <w:color w:val="auto"/>
              </w:rPr>
              <w:t>PRC, July 2011</w:t>
            </w:r>
          </w:p>
        </w:tc>
        <w:tc>
          <w:tcPr>
            <w:tcW w:w="2320" w:type="dxa"/>
            <w:vAlign w:val="bottom"/>
          </w:tcPr>
          <w:p>
            <w:pPr>
              <w:jc w:val="right"/>
              <w:spacing w:after="0"/>
              <w:rPr>
                <w:sz w:val="20"/>
                <w:szCs w:val="20"/>
                <w:color w:val="auto"/>
              </w:rPr>
            </w:pPr>
            <w:r>
              <w:rPr>
                <w:rFonts w:ascii="Arial" w:cs="Arial" w:eastAsia="Arial" w:hAnsi="Arial"/>
                <w:sz w:val="18"/>
                <w:szCs w:val="18"/>
                <w:color w:val="auto"/>
              </w:rPr>
              <w:t>82.5%</w:t>
            </w:r>
          </w:p>
        </w:tc>
        <w:tc>
          <w:tcPr>
            <w:tcW w:w="1300" w:type="dxa"/>
            <w:vAlign w:val="bottom"/>
          </w:tcPr>
          <w:p>
            <w:pPr>
              <w:jc w:val="right"/>
              <w:spacing w:after="0"/>
              <w:rPr>
                <w:sz w:val="20"/>
                <w:szCs w:val="20"/>
                <w:color w:val="auto"/>
              </w:rPr>
            </w:pPr>
            <w:r>
              <w:rPr>
                <w:rFonts w:ascii="Arial" w:cs="Arial" w:eastAsia="Arial" w:hAnsi="Arial"/>
                <w:sz w:val="18"/>
                <w:szCs w:val="18"/>
                <w:color w:val="0D0D0D"/>
              </w:rPr>
              <w:t>82.5%</w:t>
            </w:r>
          </w:p>
        </w:tc>
      </w:tr>
      <w:tr>
        <w:trPr>
          <w:trHeight w:val="212"/>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CleanChip Technologies Limited</w:t>
            </w:r>
          </w:p>
        </w:tc>
        <w:tc>
          <w:tcPr>
            <w:tcW w:w="4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Hong Kong, June 2017</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82.5%</w:t>
            </w: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ACM Research Korea CO., LTD.</w:t>
            </w:r>
          </w:p>
        </w:tc>
        <w:tc>
          <w:tcPr>
            <w:tcW w:w="4140" w:type="dxa"/>
            <w:vAlign w:val="bottom"/>
          </w:tcPr>
          <w:p>
            <w:pPr>
              <w:ind w:left="760"/>
              <w:spacing w:after="0"/>
              <w:rPr>
                <w:sz w:val="20"/>
                <w:szCs w:val="20"/>
                <w:color w:val="auto"/>
              </w:rPr>
            </w:pPr>
            <w:r>
              <w:rPr>
                <w:rFonts w:ascii="Arial" w:cs="Arial" w:eastAsia="Arial" w:hAnsi="Arial"/>
                <w:sz w:val="18"/>
                <w:szCs w:val="18"/>
                <w:color w:val="auto"/>
              </w:rPr>
              <w:t>Korea, December 2017</w:t>
            </w:r>
          </w:p>
        </w:tc>
        <w:tc>
          <w:tcPr>
            <w:tcW w:w="2320" w:type="dxa"/>
            <w:vAlign w:val="bottom"/>
          </w:tcPr>
          <w:p>
            <w:pPr>
              <w:jc w:val="right"/>
              <w:spacing w:after="0"/>
              <w:rPr>
                <w:sz w:val="20"/>
                <w:szCs w:val="20"/>
                <w:color w:val="auto"/>
              </w:rPr>
            </w:pPr>
            <w:r>
              <w:rPr>
                <w:rFonts w:ascii="Arial" w:cs="Arial" w:eastAsia="Arial" w:hAnsi="Arial"/>
                <w:sz w:val="18"/>
                <w:szCs w:val="18"/>
                <w:color w:val="auto"/>
              </w:rPr>
              <w:t>82.5%</w:t>
            </w:r>
          </w:p>
        </w:tc>
        <w:tc>
          <w:tcPr>
            <w:tcW w:w="1300" w:type="dxa"/>
            <w:vAlign w:val="bottom"/>
          </w:tcPr>
          <w:p>
            <w:pPr>
              <w:jc w:val="right"/>
              <w:spacing w:after="0"/>
              <w:rPr>
                <w:sz w:val="20"/>
                <w:szCs w:val="20"/>
                <w:color w:val="auto"/>
              </w:rPr>
            </w:pPr>
            <w:r>
              <w:rPr>
                <w:rFonts w:ascii="Arial" w:cs="Arial" w:eastAsia="Arial" w:hAnsi="Arial"/>
                <w:sz w:val="18"/>
                <w:szCs w:val="18"/>
                <w:color w:val="0D0D0D"/>
              </w:rPr>
              <w:t>82.5%</w:t>
            </w:r>
          </w:p>
        </w:tc>
      </w:tr>
      <w:tr>
        <w:trPr>
          <w:trHeight w:val="212"/>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Shengwei Research (Shanghai), Inc.</w:t>
            </w:r>
          </w:p>
        </w:tc>
        <w:tc>
          <w:tcPr>
            <w:tcW w:w="4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PRC, March 2019</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82.5%</w:t>
            </w: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ACM Research (CA), Inc.</w:t>
            </w:r>
          </w:p>
        </w:tc>
        <w:tc>
          <w:tcPr>
            <w:tcW w:w="4140" w:type="dxa"/>
            <w:vAlign w:val="bottom"/>
          </w:tcPr>
          <w:p>
            <w:pPr>
              <w:ind w:left="760"/>
              <w:spacing w:after="0"/>
              <w:rPr>
                <w:sz w:val="20"/>
                <w:szCs w:val="20"/>
                <w:color w:val="auto"/>
              </w:rPr>
            </w:pPr>
            <w:r>
              <w:rPr>
                <w:rFonts w:ascii="Arial" w:cs="Arial" w:eastAsia="Arial" w:hAnsi="Arial"/>
                <w:sz w:val="18"/>
                <w:szCs w:val="18"/>
                <w:color w:val="auto"/>
              </w:rPr>
              <w:t>USA, April 2019</w:t>
            </w:r>
          </w:p>
        </w:tc>
        <w:tc>
          <w:tcPr>
            <w:tcW w:w="2320" w:type="dxa"/>
            <w:vAlign w:val="bottom"/>
          </w:tcPr>
          <w:p>
            <w:pPr>
              <w:jc w:val="right"/>
              <w:spacing w:after="0"/>
              <w:rPr>
                <w:sz w:val="20"/>
                <w:szCs w:val="20"/>
                <w:color w:val="auto"/>
              </w:rPr>
            </w:pPr>
            <w:r>
              <w:rPr>
                <w:rFonts w:ascii="Arial" w:cs="Arial" w:eastAsia="Arial" w:hAnsi="Arial"/>
                <w:sz w:val="18"/>
                <w:szCs w:val="18"/>
                <w:color w:val="auto"/>
              </w:rPr>
              <w:t>82.5%</w:t>
            </w:r>
          </w:p>
        </w:tc>
        <w:tc>
          <w:tcPr>
            <w:tcW w:w="1300" w:type="dxa"/>
            <w:vAlign w:val="bottom"/>
          </w:tcPr>
          <w:p>
            <w:pPr>
              <w:jc w:val="right"/>
              <w:spacing w:after="0"/>
              <w:rPr>
                <w:sz w:val="20"/>
                <w:szCs w:val="20"/>
                <w:color w:val="auto"/>
              </w:rPr>
            </w:pPr>
            <w:r>
              <w:rPr>
                <w:rFonts w:ascii="Arial" w:cs="Arial" w:eastAsia="Arial" w:hAnsi="Arial"/>
                <w:sz w:val="18"/>
                <w:szCs w:val="18"/>
                <w:color w:val="0D0D0D"/>
              </w:rPr>
              <w:t>82.5%</w:t>
            </w:r>
          </w:p>
        </w:tc>
      </w:tr>
      <w:tr>
        <w:trPr>
          <w:trHeight w:val="212"/>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ACM Research (Cayman), Inc.</w:t>
            </w:r>
          </w:p>
        </w:tc>
        <w:tc>
          <w:tcPr>
            <w:tcW w:w="4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Cayman Islands, April 2019</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100.0%</w:t>
            </w:r>
          </w:p>
        </w:tc>
      </w:tr>
      <w:tr>
        <w:trPr>
          <w:trHeight w:val="212"/>
        </w:trPr>
        <w:tc>
          <w:tcPr>
            <w:tcW w:w="3480" w:type="dxa"/>
            <w:vAlign w:val="bottom"/>
          </w:tcPr>
          <w:p>
            <w:pPr>
              <w:spacing w:after="0"/>
              <w:rPr>
                <w:sz w:val="20"/>
                <w:szCs w:val="20"/>
                <w:color w:val="auto"/>
              </w:rPr>
            </w:pPr>
            <w:r>
              <w:rPr>
                <w:rFonts w:ascii="Arial" w:cs="Arial" w:eastAsia="Arial" w:hAnsi="Arial"/>
                <w:sz w:val="18"/>
                <w:szCs w:val="18"/>
                <w:color w:val="auto"/>
              </w:rPr>
              <w:t>ACM Research (Singapore) PTE. Ltd.</w:t>
            </w:r>
          </w:p>
        </w:tc>
        <w:tc>
          <w:tcPr>
            <w:tcW w:w="4140" w:type="dxa"/>
            <w:vAlign w:val="bottom"/>
          </w:tcPr>
          <w:p>
            <w:pPr>
              <w:ind w:left="760"/>
              <w:spacing w:after="0"/>
              <w:rPr>
                <w:sz w:val="20"/>
                <w:szCs w:val="20"/>
                <w:color w:val="auto"/>
              </w:rPr>
            </w:pPr>
            <w:r>
              <w:rPr>
                <w:rFonts w:ascii="Arial" w:cs="Arial" w:eastAsia="Arial" w:hAnsi="Arial"/>
                <w:sz w:val="18"/>
                <w:szCs w:val="18"/>
                <w:color w:val="auto"/>
              </w:rPr>
              <w:t>Singapore, August 2021</w:t>
            </w:r>
          </w:p>
        </w:tc>
        <w:tc>
          <w:tcPr>
            <w:tcW w:w="232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2"/>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ACM Research (Beijing), Inc.</w:t>
            </w:r>
          </w:p>
        </w:tc>
        <w:tc>
          <w:tcPr>
            <w:tcW w:w="4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PRC, February 2022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Hanguk ACM CO., LTD.</w:t>
            </w:r>
          </w:p>
        </w:tc>
        <w:tc>
          <w:tcPr>
            <w:tcW w:w="4140" w:type="dxa"/>
            <w:vAlign w:val="bottom"/>
          </w:tcPr>
          <w:p>
            <w:pPr>
              <w:ind w:left="760"/>
              <w:spacing w:after="0"/>
              <w:rPr>
                <w:sz w:val="20"/>
                <w:szCs w:val="20"/>
                <w:color w:val="auto"/>
              </w:rPr>
            </w:pPr>
            <w:r>
              <w:rPr>
                <w:rFonts w:ascii="Arial" w:cs="Arial" w:eastAsia="Arial" w:hAnsi="Arial"/>
                <w:sz w:val="18"/>
                <w:szCs w:val="18"/>
                <w:color w:val="auto"/>
              </w:rPr>
              <w:t>Korea, March 2022</w:t>
            </w:r>
          </w:p>
        </w:tc>
        <w:tc>
          <w:tcPr>
            <w:tcW w:w="232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condensed consolidated financial statements include the accounts of ACM and its subsidiaries, including ACM Shanghai and its subsidiaries, which include ACM Wuxi, ACM Shengwei, ACM Beijing, and CleanChip (the subsidiaries of which include ACM California and ACM Korea). ACM’s subsidiaries are those entities in which ACM, directly or indirectly, controls a majority of the voting power. All significant intercompany transactions and balances have been eliminated upon consolidation.</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2021 included in ACM’s Annual Report on Form 10-K for the year ended December 31, 2021.</w:t>
      </w:r>
    </w:p>
    <w:p>
      <w:pPr>
        <w:spacing w:after="0" w:line="14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accompanying condensed consolidated balance sheet as of September 30, 2022, condensed consolidated statements of operations and comprehensive income (loss) for the three and nine months ended September 30, 2022 and 2021, condensed consolidated statements of changes in equity for the three and nine months ended September 30, 2022 and 2021, and condensed consolidated statements of cash flows for the nine months ended September 30, 2022 and 2021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2022 and the results of operations for the three and nine months ended September 30, 2022 are not necessarily indicative of the results to be expected for any future period.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Split</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Unless otherwise indicated, all prior period share and per share amounts, common stock, other capital, and retained earnings information presented in the accompanying financial statements and these notes thereto has been retroactively adjusted to reflect the impact of the Stock Split (Note 1). Proportional adjustments were also made to outstanding awards under the Company’s stock-based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w:t>
      </w:r>
    </w:p>
    <w:p>
      <w:pPr>
        <w:spacing w:after="0" w:line="217"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Certain prior year amounts related to related party transactions have been reclassified to conform to the current year presentation. Also, a portion of the prior period balance for retained earnings on the Company’s consolidated balance sheet as of December 31, 2021 has been reclassified to Statutory surplus reserve to conform to the current period presentation. These reclassifications did not have a material impact on the previously reported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Restrictions by U.S. Department of Commerce for PRC-based Semiconductor Producers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Substantially all of ACM Shanghai’s customers and a significant portion of its operations are based in the PRC. In 2021, 48.9% of our revenue was derived from two customers: Shanghai Huali Microelectronics Corporation, together with Huahong Semiconductor Ltd., collectively known as The Shanghai Huahong (Group) Company, Ltd., or The Huali Huahong Group, a leading PRC-based foundry, accounted for 28.1% of our revenue; and Yangtze Memory Technologies Co., Ltd., a leading PRC-based memory chip company, together with one of its subsidiaries, accounted for 20.8% of our revenue; In 2020, 75.8% of our revenue was derived from three customers: The Huali Huahong Group accounted for 36.9% of our revenue; Yangtze Memory Technologies Co., Ltd., together with one of its subsidiaries, accounted for 26.8% of our revenue; and Semiconductor Manufacturing International Corporation, a leading PRC-based foundry, accounted for 12.1% of our revenue.</w:t>
      </w:r>
    </w:p>
    <w:p>
      <w:pPr>
        <w:spacing w:after="0" w:line="18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early October, 2022, the U.S. government enacted new rules aimed at restricting U.S. support for the PRC’s ability to manufacture advanced semiconductors. The rules include new export license requirements for exports to the PRC of additional types of semiconductor manufacturing items and items for use in manufacturing designated types of semiconductor manufacturing equipment in the PRC, as well as new restrictions in connection with the supply of semiconductor manufacturing equipment to certain IC manufacturing and development facilities in the PRC. In addition, U.S. persons are effectively barred from engaging in certain activities related to the development and production of certain semiconductors in China, even if no items subject to the EAR are involved. These rules may impact the supply of some items sourced from the U.S. or that are otherwise subject to control under the EAR in connection with the manufacture and supply of ACM Shanghai tools meeting certain characteristics or intended for certain customers. As such, these new rules may directly impact ACM Shanghai’s ability to meet its future production plans, or indirectly impact the spending plans of ACM Shanghai’s customer base. Also as part of the recent October 2022 actions, Yangtze Memory Technologies Co., Ltd. (YMTC), a leading PRC memory chip company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Challenges faced by YMTC and its key suppliers as a result of the listing could indirectly impact YMTC’s demand for, or ACM Shanghai’s ability to supply, ACM Shanghai products. ACM and ACM Shanghai are evaluating the potential direct impact of the regulations, including potential required modifications to their business policies and practices in the PRC, and any expected changes in the capital spending plans of ACM Shanghai’s customer base.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Assessment</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in economic uncertainty and global economic policies that could reduce demand for the Company’s products and its customers’ chips and have a material adverse impact on the Company’s business, operating results and financial condition.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conducts substantially all of its product development, manufacturing, support and services in the PRC, and those activities have been directly impacted by COVID-19 and related restrictions on transportation and public appearances.</w:t>
      </w:r>
    </w:p>
    <w:p>
      <w:pPr>
        <w:spacing w:after="0" w:line="180" w:lineRule="exact"/>
        <w:rPr>
          <w:sz w:val="20"/>
          <w:szCs w:val="20"/>
          <w:color w:val="auto"/>
        </w:rPr>
      </w:pPr>
    </w:p>
    <w:p>
      <w:pPr>
        <w:jc w:val="both"/>
        <w:ind w:left="320" w:hanging="314"/>
        <w:spacing w:after="0" w:line="300" w:lineRule="auto"/>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Although the facility remained partially operational with a number of personnel staying on-site for a prolonged period, the level of production declined significantly versus more normal levels. Furthermore, a number of the Company’s customers have substantial operations based in operations areas of the PRC, including in the City of Shanghai, subject to full-city restrictions, which began limiting the operations of those customers since the first quarter of 2022, including inhibiting their ability to receive, implement and operate new tools for their manufacturing facilities. As a result, in some cases, ACM Shanghai was required to defer shipments of finished products to these customers because of operational and logistical limitations affecting customers other than, or in addition to, ACM Shanghai.</w:t>
      </w:r>
    </w:p>
    <w:p>
      <w:pPr>
        <w:spacing w:after="0" w:line="173" w:lineRule="exact"/>
        <w:rPr>
          <w:rFonts w:ascii="Arial" w:cs="Arial" w:eastAsia="Arial" w:hAnsi="Arial"/>
          <w:sz w:val="15"/>
          <w:szCs w:val="15"/>
          <w:color w:val="auto"/>
        </w:rPr>
      </w:pPr>
    </w:p>
    <w:p>
      <w:pPr>
        <w:jc w:val="both"/>
        <w:ind w:left="320" w:hanging="314"/>
        <w:spacing w:after="0" w:line="245"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late April 2022, ACM Shanghai began to increase the level of its operations at the Chuansha manufacturing site using the “closed loop method,” in which a limited collection of workers remain together as a group between a single hotel, the ACM Shanghai facility, and a dedicated bus transportation route, also referred to as “two spots and one line,” and had resumed substantially all of its Chuansha manufacturing site operations by the end of the second quarter of 2022. On July 1, 2022, the Company transitioned operations at the Chuansha facility to a more normal production process, in which workers were able to return home following their factory shifts.</w:t>
      </w:r>
    </w:p>
    <w:p>
      <w:pPr>
        <w:spacing w:after="0" w:line="2" w:lineRule="exact"/>
        <w:rPr>
          <w:rFonts w:ascii="Arial" w:cs="Arial" w:eastAsia="Arial" w:hAnsi="Arial"/>
          <w:sz w:val="18"/>
          <w:szCs w:val="18"/>
          <w:color w:val="auto"/>
        </w:rPr>
      </w:pPr>
    </w:p>
    <w:p>
      <w:pPr>
        <w:jc w:val="both"/>
        <w:ind w:left="320" w:hanging="314"/>
        <w:spacing w:after="0" w:line="24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mid-June 2022, substantially all of ACM Shanghai’s R&amp;D and administrative employees were allowed to return to work at the ZhangJiang facility following a 6-8 weeks period of restricted access during which many employees had continued to work from home. ACM Shanghai has established several policies to help avoid or limit future outbreaks among employees and aimed at protecting employee safety and limiting the possibility of a facility reclosing.</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first six months of 2022, the Company experienced a negative impact to revenue and shipments as a result of restricted access and logistics to its Shanghai-based production and administrative facilities. Thirteen tools amounting to $13 million in revenue and $24 million in shipments that could not be shipped to customers in the three-months ended March 30, 2022 were subsequently shipped in the three months ended June 30, 2022. As a result of the restrictions, the Company experienced a modest increase to operational costs due to increased logistics costs and inefficiencies that resulted from the restrictions, and an increase in cash used in operations due in part to an increase in accounts receivables that resulted from a shift of shipments towards the latter part of the period.</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three and nine-months ended September 30, 2022, the Company experienced general inefficiencies in administrative, research and development and other activities due to some employees who were required to quarantine ‘in place’ at their residence due presumably to the detected possible exposure to COVID infections. In many cases, the employees were able to work remotely to mitigate the effects. The Company anticipates the PRC’s zero-covid policy will impact its PRC operations for the foreseeable future in the form of regular testing and/or required quarantines-in-place. Closures or reductions of operations or production, whether of ACM Shanghai or of some of its key customers, may be extended or re-introduced during the remainder of 2022 as the result of business interruptions arising from protective measures being taken by the PRC and other governmental agencies or of other consequences of COVID-19.</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Company’s corporate headquarters are located in Fremont, California. The effects of actions taken by local governmental agencies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To date, the Company’s operations in South Korea, including the R&amp;D center and production facilities of ACM Korea and the business development activities of Hanguk ACM CO., LTD, have been largely unaffected directly by government restrictions relating to the COVID-19 pandemic.</w:t>
      </w:r>
    </w:p>
    <w:p>
      <w:pPr>
        <w:spacing w:after="0" w:line="15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worldwide prolonged and broad-based shift to remote working environments resulting from COVID-19 continues to create inherent productivity, connectivity, and oversight challenges and could affect the Company’s ability to enhance, develop and support existing products and services, detect and prevent spam and problematic content, hold product sales and marketing events, and generate new sales leads. In addition, the changed environment under which the Company is operating could have an effect on its internal controls over financial reporting as well as its ability to comply with a number of timing and quality requirements. Additional or extended governmental quarantines, restrictions or regulations could significantly impact the ability of the Company’s employees and vendors to work productively. Governmental restrictions have been inconsistent globally and it remains unclear when a return to worksite locations or travel will be permitted or what restrictions will be in place in those environments. As the Company continues to return its workforce to the office in 2022, it may experience increased costs as it prepares and maintains its facilities for a safe work environment and experiments with hybrid work models and it may suffer additional adverse effects on its ability to compete effectively and maintain its corporate culture.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Extended periods of interruption to the Company’s corporate, development or manufacturing facilities due to the COVID-19 pandemic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COVID-19, they elect not to come to work due to the illness affecting others in the Company’s office or laboratory facilities, or they are subject to quarantines or other governmentally imposed restrictions.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trading securities, stock-based compensation arrangements, realization of deferred tax assets, assessment for impairment of long-lived assets, allowance for doubtful accounts, inventory valuation, depreciable lives of property, plant and equipment and useful lives of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consist of cash on hand, bank deposits that are unrestricted as to withdrawal and use, and highly liquid investments with an original maturity date of three months or less at the date of purchase.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and cash equivalents, according to jurisdiction as of September 30, 2022 and 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89"/>
              </w:rPr>
              <w:t>September 30,</w:t>
            </w:r>
          </w:p>
        </w:tc>
        <w:tc>
          <w:tcPr>
            <w:tcW w:w="1320" w:type="dxa"/>
            <w:vAlign w:val="bottom"/>
            <w:gridSpan w:val="3"/>
          </w:tcPr>
          <w:p>
            <w:pPr>
              <w:ind w:left="1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27,796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34,852</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Mainland China</w:t>
            </w: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216,116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469,494</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China Hong Kong</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78,398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52,527</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13,964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Singapore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336,275</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562,548</w:t>
            </w:r>
          </w:p>
        </w:tc>
        <w:tc>
          <w:tcPr>
            <w:tcW w:w="100" w:type="dxa"/>
            <w:vAlign w:val="bottom"/>
          </w:tcPr>
          <w:p>
            <w:pPr>
              <w:spacing w:after="0"/>
              <w:rPr>
                <w:sz w:val="18"/>
                <w:szCs w:val="18"/>
                <w:color w:val="auto"/>
              </w:rPr>
            </w:pP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amounts in mainland China do not include short-term and long-term time deposits which totaled $136,576 and $0 at September 30, 2022 and December 31, 2021, respectively.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held in the U.S. exceeds the Federal Deposit Insurance Corporation (“FDIC”) insurance limits and is subject to risk of loss. No losses have been experienced to date.</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cash amounts held by ACM Shanghai at PRC banks in mainland China are subject to a series of risk control regulatory standards from PRC bank regulatory authorities. ACM Shanghai is required to obtain approval from the State Administration of Foreign Exchange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ACM California periodically procures goods and services on behalf of ACM Shanghai. For these transactions, ACM Shanghai makes cash payments to ACM California in accordance with applicable transfer pricing arrangements. For the nine months ended September 30, 2022, cash payments from ACM Shanghai to ACM California for the procurement of goods and services were $24.6 million and $1.6 million, respectively. ACM California periodically borrows funds for working capital advances from its direct parent, CleanChip. ACM California repays these intercompany loans in accordance with their terms. For sales through CleanChip and ACM Research, a certain amount of sales proceeds is repatriated back to ACM Shanghai in accordance with applicable transfer pricing arrangements in the ordinary course of business. Subsequent to June 30, 2020, with the exception of sales and services-related transfer-pricing payments in the ordinary course of business, no cash transfers, dividends or other payments or distributions have been made between the ACM Research and ACM Shanghai. We intend to retain any future earnings to finance the operations and expenses of our business, and we do not expect to distribute earnings or declare or pay any dividends in the foreseeable future.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held in South Korea exceed the Korea Deposit Insurance Corporation (“KDIC”) insurance limits and is subject to risk of loss. No losses have been experienced to date.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no additional restriction for the transfer of cash from bank accounts in the U.S., South Korea, and Hong Kong. For sales through CleanChip and ACM Research, a certain amount of sales proceeds is repatriated back to ACM Shanghai in accordance with the transfer pricing arrangements in the ordinary course of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2022 and 2021, no transfers, dividends, or distributions have been made between ACM Research and its subsidiaries, including ACM Shanghai, or to holders of ACM Research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 Deposits</w:t>
      </w:r>
    </w:p>
    <w:p>
      <w:pPr>
        <w:spacing w:after="0" w:line="2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Time deposits are deposited with banks in mainland China with fixed periods and interest rates which cannot be withdrawn before maturity. They are also subject to the risk control regulatory standards described above upon maturity.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Time deposits consisted of the following:</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w w:val="99"/>
              </w:rPr>
              <w:t>Deposit in China Merchant Bank which will mature on January 29, 2023 with an annual interest rate of 2.25%</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0D0D0D"/>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38,016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0D0D0D"/>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w w:val="98"/>
              </w:rPr>
              <w:t>Deposit in China Everbright Bank which will mature on January 29, 2023 with an annual interest rate of 2.25%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0D0D0D"/>
              </w:rPr>
              <w:t>14,080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w w:val="99"/>
              </w:rPr>
              <w:t>Deposit in China Industrial Bank which will mature on January 30, 2023 with an annual interest rate of 2.15%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D0D0D"/>
              </w:rPr>
              <w:t>14,080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w w:val="99"/>
              </w:rPr>
              <w:t>Deposit in China Merchant Bank which will mature on January 29, 2024 with an annual interest rate of 2.85%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0D0D0D"/>
              </w:rPr>
              <w:t>28,160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w:t>
            </w:r>
          </w:p>
        </w:tc>
        <w:tc>
          <w:tcPr>
            <w:tcW w:w="1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Deposit in Bank of Ningbo which will mature on February 17, 2024 with an annual interest rate of 2.85%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D0D0D"/>
              </w:rPr>
              <w:t>42,240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136,576</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2022, respectively, interest income related to time deposits was $929 and $2,468,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Net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Intangible assets consist of capitalized software license and other related fees for items used for finance, manufacturing, and research and development purposes. Assets are valued at cost at the time of acquisition and are amortized over their beneficial periods. If a contract specifies a license period, then the intangible asset is amortized over a term not exceeding the license period. For those intangible assets with contracts that do not specify a license term or for which local law does not specify a license term, management estimates the amortization period based on the period over which the asset is expected to contribute directly or indirectly to the cash flows in accordance with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factors include, but are not limited to, the change of technology and the change of type of product. The Company estimated these intangible assets have a useful life of 10 years or less, and accordingly, they are amortized up to 10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derives revenue principally from the sale of semiconductor capital equipment. Revenue from contracts with customers is recognized using the following five steps pursuant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80" w:lineRule="exact"/>
        <w:rPr>
          <w:sz w:val="20"/>
          <w:szCs w:val="20"/>
          <w:color w:val="auto"/>
        </w:rPr>
      </w:pPr>
    </w:p>
    <w:p>
      <w:pPr>
        <w:ind w:left="480" w:hanging="47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6" w:lineRule="exact"/>
        <w:rPr>
          <w:rFonts w:ascii="Arial" w:cs="Arial" w:eastAsia="Arial" w:hAnsi="Arial"/>
          <w:sz w:val="18"/>
          <w:szCs w:val="18"/>
          <w:color w:val="auto"/>
        </w:rPr>
      </w:pPr>
    </w:p>
    <w:p>
      <w:pPr>
        <w:ind w:left="480" w:hanging="47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4" w:lineRule="exact"/>
        <w:rPr>
          <w:rFonts w:ascii="Arial" w:cs="Arial" w:eastAsia="Arial" w:hAnsi="Arial"/>
          <w:sz w:val="18"/>
          <w:szCs w:val="18"/>
          <w:color w:val="auto"/>
        </w:rPr>
      </w:pPr>
    </w:p>
    <w:p>
      <w:pPr>
        <w:ind w:left="480" w:hanging="47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4" w:lineRule="exact"/>
        <w:rPr>
          <w:rFonts w:ascii="Arial" w:cs="Arial" w:eastAsia="Arial" w:hAnsi="Arial"/>
          <w:sz w:val="18"/>
          <w:szCs w:val="18"/>
          <w:color w:val="auto"/>
        </w:rPr>
      </w:pPr>
    </w:p>
    <w:p>
      <w:pPr>
        <w:ind w:left="480" w:hanging="47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4" w:lineRule="exact"/>
        <w:rPr>
          <w:rFonts w:ascii="Arial" w:cs="Arial" w:eastAsia="Arial" w:hAnsi="Arial"/>
          <w:sz w:val="18"/>
          <w:szCs w:val="18"/>
          <w:color w:val="auto"/>
        </w:rPr>
      </w:pPr>
    </w:p>
    <w:p>
      <w:pPr>
        <w:ind w:left="480" w:hanging="47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 in order to verify which promises should be assessed for classification as distinct performance obligations. The Company’s performance obligations in connection with a sale of equipment generally include production, delivery and installation, together with the provision of a warranty. Given that the Company’s products are customized based on specifications of its customers, the Company determines that the promise to the customer is to provide a customized product solution. The product and customization services are inputs into the combined item for which the customer has contracted and, as a result, the product and installation services are not separately identifiable and are combined into a single performance obligation. Delivery of goods to a customer is not a separate performance obligation since control of the goods normally does not transfer to the customer before shipment. 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accounted for under </w:t>
      </w:r>
      <w:r>
        <w:rPr>
          <w:rFonts w:ascii="Arial" w:cs="Arial" w:eastAsia="Arial" w:hAnsi="Arial"/>
          <w:sz w:val="15"/>
          <w:szCs w:val="15"/>
          <w:i w:val="1"/>
          <w:iCs w:val="1"/>
          <w:color w:val="auto"/>
        </w:rPr>
        <w:t>ASC 460, Guarantees</w:t>
      </w:r>
      <w:r>
        <w:rPr>
          <w:rFonts w:ascii="Arial" w:cs="Arial" w:eastAsia="Arial" w:hAnsi="Arial"/>
          <w:sz w:val="15"/>
          <w:szCs w:val="15"/>
          <w:color w:val="auto"/>
        </w:rPr>
        <w:t>. Production, delivery and installation of a product, together with provision of a warranty, are a single unit of accounting.</w:t>
      </w:r>
    </w:p>
    <w:p>
      <w:pPr>
        <w:spacing w:after="0" w:line="37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some sale contracts, in addition to the sale of semiconductor capital equipment, the Company also provides certain spare parts to the customers. The Company defers revenue associated with spare parts sold together with its tool products, including production, delivery, installation and warranty which are accounted for as one performance obligation, based on stand-alone observable selling prices for which it receives payments in advance and recognizes the revenue upon the subsequent shipment of the spare parts, which is expected within one year. The deferred revenue was $4,911 and $3,180 at September 30, 2022 and December 31, 2021,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182" w:lineRule="exact"/>
        <w:rPr>
          <w:sz w:val="20"/>
          <w:szCs w:val="20"/>
          <w:color w:val="auto"/>
        </w:rPr>
      </w:pPr>
    </w:p>
    <w:p>
      <w:pPr>
        <w:ind w:left="480" w:right="440" w:hanging="474"/>
        <w:spacing w:after="0" w:line="252"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the Company can objectively demonstrate that the tool meets all of the required acceptance criteria;</w:t>
      </w:r>
    </w:p>
    <w:p>
      <w:pPr>
        <w:ind w:left="480" w:right="680" w:hanging="474"/>
        <w:spacing w:after="0" w:line="245"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the Company can objectively demonstrate that the tool meets all of the required acceptance criteria;</w:t>
      </w:r>
    </w:p>
    <w:p>
      <w:pPr>
        <w:ind w:left="480" w:right="480" w:hanging="474"/>
        <w:spacing w:after="0" w:line="245"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ind w:left="480" w:hanging="474"/>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the Company’s sales arrangements do not include a general right of return.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offers maintenance services, which consist principally of the installation and replacement of parts and small-scale modifications to the equipment. The related revenue and costs of revenue are recognized when parts have been delivered and installed and the customers have obtained control of the parts.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 The Company, therefore, does not have contract assets.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incur any costs to fulfill the contracts with customers that are not already reported in compliance with another applicable standard (for example, inventory or plant, property and equipment).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payments from customers prior to the transfer of control either upon contract sign-off and/or the delivery of evaluation tools, which are recorded as advances from customers.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Basic and Diluted Net Income per Common Share</w:t>
            </w: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5600" w:type="dxa"/>
            <w:vAlign w:val="bottom"/>
            <w:gridSpan w:val="3"/>
          </w:tcPr>
          <w:p>
            <w:pPr>
              <w:spacing w:after="0"/>
              <w:rPr>
                <w:sz w:val="20"/>
                <w:szCs w:val="20"/>
                <w:color w:val="auto"/>
              </w:rPr>
            </w:pPr>
            <w:r>
              <w:rPr>
                <w:rFonts w:ascii="Arial" w:cs="Arial" w:eastAsia="Arial" w:hAnsi="Arial"/>
                <w:sz w:val="18"/>
                <w:szCs w:val="18"/>
                <w:color w:val="auto"/>
                <w:w w:val="94"/>
              </w:rPr>
              <w:t>Basic and diluted net income per common share are calculated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0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36,381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8,927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basic</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gridSpan w:val="2"/>
          </w:tcPr>
          <w:p>
            <w:pPr>
              <w:ind w:left="140"/>
              <w:spacing w:after="0" w:line="205" w:lineRule="exact"/>
              <w:rPr>
                <w:sz w:val="20"/>
                <w:szCs w:val="20"/>
                <w:color w:val="auto"/>
              </w:rPr>
            </w:pPr>
            <w:r>
              <w:rPr>
                <w:rFonts w:ascii="Arial" w:cs="Arial" w:eastAsia="Arial" w:hAnsi="Arial"/>
                <w:sz w:val="18"/>
                <w:szCs w:val="18"/>
                <w:color w:val="auto"/>
                <w:w w:val="95"/>
              </w:rPr>
              <w:t>Less: Dilutive effect arising from stock-based awards by ACM Shanghai</w:t>
            </w:r>
          </w:p>
        </w:tc>
        <w:tc>
          <w:tcPr>
            <w:tcW w:w="260" w:type="dxa"/>
            <w:vAlign w:val="bottom"/>
          </w:tcPr>
          <w:p>
            <w:pPr>
              <w:spacing w:after="0"/>
              <w:rPr>
                <w:sz w:val="18"/>
                <w:szCs w:val="18"/>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465</w:t>
            </w:r>
          </w:p>
        </w:tc>
        <w:tc>
          <w:tcPr>
            <w:tcW w:w="240" w:type="dxa"/>
            <w:vAlign w:val="bottom"/>
          </w:tcPr>
          <w:p>
            <w:pPr>
              <w:spacing w:after="0"/>
              <w:rPr>
                <w:sz w:val="18"/>
                <w:szCs w:val="18"/>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diluted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basic (1)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59,360,790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58,267,638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59,123,895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57,340,059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6,251,875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7,859,910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6,505,378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7,850,961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65,612,665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66,127,548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65,629,273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65,191,020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0.46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0.32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0.41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80" w:hanging="474"/>
        <w:spacing w:after="0" w:line="264"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period results have been adjusted to reflect the three-for-one stock split effected in the form of a stock dividend in March 2022. See Note 1 for details.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ACM Research has been authorized to issue Class A and Class B common stock since redomesticating in Delaware in November 2016. The two classes of common stock are substantially identical in all material respects, except for voting rights. Since ACM Research did not declare any cash dividends during the three and nine months ended September 30, 2022 or 2021, the net income per common share attributable to each class is the same under the “two-class” method. As such, the two classes of common stock have been presented on a combined basis in the condensed consolidated statements of operations and comprehensive income (loss) and in the above computation of net income per common share.</w:t>
      </w:r>
    </w:p>
    <w:p>
      <w:pPr>
        <w:spacing w:after="0" w:line="179"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Diluted net income per common share reflects the potential dilution from securities, including stock options and issued warrants, that could share in ACM Research’s earnings. Certain potential dilutive securities were excluded from the net income per share calculation because the impact would be anti-dilutive. ACM Research’s potential dilutive securities consist of stock options for the three and nine months ended September 30, 2022 and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is potentially subject to concentrations of credit risks in its accounts receivable. For the three months ended September 30, 2022 and 2021, three customers accounted for 61.4% and three customers accounted for 77.1% of revenue, respectively. For the nine months ended September 30, 2022 and 2021, three customers accounted for 50.1% and three customers accounted for 65.6% of revenue, respectively.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2022 and December 31, 2021, two customers accounted for 56.1% and two customers accounted for 53.8%, respectively, of the Company’s accounts receivables. The Company believes that the receivable balances from these largest customers do not represent a significant credit risk based on past collection experience.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Not Yet Adopted</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In June 2016, the Financial Accounting Standards Board, or FASB, issued Accounting Standards Update, or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ASU 2016-13 replaced the pre-existing incurred loss impairment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but the effective date is changed by ASU 2019-10 below.</w:t>
      </w:r>
    </w:p>
    <w:p>
      <w:pPr>
        <w:sectPr>
          <w:pgSz w:w="11900" w:h="16838" w:orient="portrait"/>
          <w:cols w:equalWidth="0" w:num="1">
            <w:col w:w="11240"/>
          </w:cols>
          <w:pgMar w:left="320" w:top="121"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In November 2019, the FASB issued ASU 2019-10,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 </w:t>
      </w:r>
      <w:r>
        <w:rPr>
          <w:rFonts w:ascii="Arial" w:cs="Arial" w:eastAsia="Arial" w:hAnsi="Arial"/>
          <w:sz w:val="15"/>
          <w:szCs w:val="15"/>
          <w:i w:val="1"/>
          <w:iCs w:val="1"/>
          <w:color w:val="auto"/>
        </w:rPr>
        <w:t>Credit Losses (Topic 326), Derivatives and Hedging (Topic 815), and Leases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(Topic 842): Effective Dates. </w:t>
      </w:r>
      <w:r>
        <w:rPr>
          <w:rFonts w:ascii="Arial" w:cs="Arial" w:eastAsia="Arial" w:hAnsi="Arial"/>
          <w:sz w:val="15"/>
          <w:szCs w:val="15"/>
          <w:color w:val="auto"/>
        </w:rPr>
        <w:t>In advance of the issuance of ASU 2019-10, the Company adopted ASU 2017-12,</w:t>
      </w:r>
      <w:r>
        <w:rPr>
          <w:rFonts w:ascii="Arial" w:cs="Arial" w:eastAsia="Arial" w:hAnsi="Arial"/>
          <w:sz w:val="15"/>
          <w:szCs w:val="15"/>
          <w:i w:val="1"/>
          <w:iCs w:val="1"/>
          <w:color w:val="auto"/>
        </w:rPr>
        <w:t xml:space="preserve"> Derivatives and Hedging (Topic 815) </w:t>
      </w:r>
      <w:r>
        <w:rPr>
          <w:rFonts w:ascii="Arial" w:cs="Arial" w:eastAsia="Arial" w:hAnsi="Arial"/>
          <w:sz w:val="15"/>
          <w:szCs w:val="15"/>
          <w:color w:val="auto"/>
        </w:rPr>
        <w:t>and ASU</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2016-02, </w:t>
      </w:r>
      <w:r>
        <w:rPr>
          <w:rFonts w:ascii="Arial" w:cs="Arial" w:eastAsia="Arial" w:hAnsi="Arial"/>
          <w:sz w:val="15"/>
          <w:szCs w:val="15"/>
          <w:i w:val="1"/>
          <w:iCs w:val="1"/>
          <w:color w:val="auto"/>
        </w:rPr>
        <w:t>Leases (Topic 842) since January 1, 2019.</w:t>
      </w:r>
      <w:r>
        <w:rPr>
          <w:rFonts w:ascii="Arial" w:cs="Arial" w:eastAsia="Arial" w:hAnsi="Arial"/>
          <w:sz w:val="15"/>
          <w:szCs w:val="15"/>
          <w:color w:val="auto"/>
        </w:rPr>
        <w:t xml:space="preserve"> ASU2019-10 defers the effective date of ASU 2016-13 for public filers that are considered small reporting companies (“SRC”) as defined by the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amendments in ASU 2016-13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condensed consolidated financial statements, including accounting policies, processes and systems and expects the standard will not have a significant impact on its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revenues based upon the nature or type of goods or services it provides and the geographic location of the related businesses. The following tables present disaggregated revenue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60" w:type="dxa"/>
            <w:vAlign w:val="bottom"/>
            <w:gridSpan w:val="14"/>
          </w:tcPr>
          <w:p>
            <w:pPr>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6"/>
              </w:rPr>
              <w:t>Single wafer cleaning, Tahoe and semi-critical cleaning equipment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99,720</w:t>
            </w:r>
          </w:p>
        </w:tc>
        <w:tc>
          <w:tcPr>
            <w:tcW w:w="50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198,336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57,269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2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24,685</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64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133,709</w:t>
            </w:r>
          </w:p>
        </w:tc>
        <w:tc>
          <w:tcPr>
            <w:tcW w:w="50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67,013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280,290</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Wet-cleaning and other front-end processing tools</w:t>
            </w:r>
          </w:p>
        </w:tc>
        <w:tc>
          <w:tcPr>
            <w:tcW w:w="9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117,941</w:t>
            </w:r>
          </w:p>
        </w:tc>
        <w:tc>
          <w:tcPr>
            <w:tcW w:w="5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49,448</w:t>
            </w:r>
          </w:p>
        </w:tc>
        <w:tc>
          <w:tcPr>
            <w:tcW w:w="4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229,195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Advanced packaging, other processing tools, services and spares</w:t>
            </w:r>
          </w:p>
        </w:tc>
        <w:tc>
          <w:tcPr>
            <w:tcW w:w="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2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51,095</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Total Revenue Front-end and Back-End</w:t>
            </w:r>
          </w:p>
        </w:tc>
        <w:tc>
          <w:tcPr>
            <w:tcW w:w="64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133,709</w:t>
            </w:r>
          </w:p>
        </w:tc>
        <w:tc>
          <w:tcPr>
            <w:tcW w:w="50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67,013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280,290</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60" w:type="dxa"/>
            <w:vAlign w:val="bottom"/>
            <w:gridSpan w:val="14"/>
          </w:tcPr>
          <w:p>
            <w:pPr>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6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131,180</w:t>
            </w:r>
          </w:p>
        </w:tc>
        <w:tc>
          <w:tcPr>
            <w:tcW w:w="50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273,585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Regions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6,705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133,709</w:t>
            </w:r>
          </w:p>
        </w:tc>
        <w:tc>
          <w:tcPr>
            <w:tcW w:w="2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67,013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280,290</w:t>
            </w:r>
          </w:p>
        </w:tc>
        <w:tc>
          <w:tcPr>
            <w:tcW w:w="2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164,609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Below are the accounts receivables and contract liabilities balances as of:</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0D0D0D"/>
              </w:rPr>
              <w:t>Accounts receivable</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0D0D0D"/>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D0D0D"/>
              </w:rPr>
              <w:t>188,341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0D0D0D"/>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D0D0D"/>
              </w:rPr>
              <w:t>105,553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0D0D0D"/>
              </w:rPr>
              <w:t>Advances from customers</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0D0D0D"/>
              </w:rPr>
              <w:t>136,610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0D0D0D"/>
              </w:rPr>
              <w:t>52,824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D0D0D"/>
              </w:rPr>
              <w:t>4,911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D0D0D"/>
              </w:rPr>
              <w:t>3,180</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nine-months ended September 30, 2022, advances from customers increased by $83.8 million, due to an increase of payments made by customers for first tools under evaluation, and an increase in pre-payments for tools made by customers prior to delivery.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4 – ACCOUNTS RECEIVABLE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68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105,553</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$82.8 million increase in accounts receivable for the first nine months of 2022 corresponds to a $115.7 million increase in revenue for the same period.</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reviews accounts receivable on a periodic basis and makes general and specific allowances when there is doubt as to the collectability of individual balances. Based on the age of the balance, a customer’s payment history and credit worthiness, current economic trends and reasonable and supportable forecasts, the Company determined there were no collectability issues as of September 30, 2022 and December 31, 2021, and no allowance for doubtful accounts was necessary.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5 – INVENTORIES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6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90,552</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35,840</w:t>
            </w: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109,188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inventory</w:t>
            </w: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327,792</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218,116</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Inventories are stated at the lower of cost or net realizable value on a moving weighted average basis. At September 30, 2022 and December 31, 2021, the value of finished goods inventory, which is comprised of first-tools, for which customers were contractually obligated to take ownership upon acceptance totaled $79,821 and $71,889,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$92.2 million increase in raw materials and work-in-process inventory at September 30, 2022 compared to December 31, 2021 was due to additional purchase of supplies to support a higher level of expected total shipments for the next several quarters, and to reduce the risk of supply chain delays to meet anticipated customer demand for the Company’s products. The $17.5 million increase in finished goods inventory at September 30, 2022 compared to December 31, 2021 primarily reflects a higher value of first-tools under evaluation by existing or prospective customers, due to shipments made, net of customer acceptances during the period.</w:t>
      </w:r>
    </w:p>
    <w:p>
      <w:pPr>
        <w:spacing w:after="0" w:line="19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Company’s products each require a certain degree of customization, and the substantial majority of the work-in-process inventory and finished goods inventory is built to meet a specific customer order for repeat shipment of first tool delivery. At the end of each period, the Company assesses the status of each item in work-in-process and finished goods and inventory. The Company recognizes a loss or impairment if in management’s judgement the inventory cannot be sold or used for production, if it has been damaged or should be considered as obsolete, or if the net realizable value is lower than the cost.</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the end of each period, the Company also assesses the status of its raw materials. The Company recognizes a loss or impairment for any raw materials aged more than three years for which the Company determines it is not likely to be used in future production. The three-year aging is based on the Company’s assessment of technology change, its requirement to maintain stock for warranty coverage,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and nine months ended September 30, 2022, inventory write-downs of $1,157 and $1,739 were recognized in cost of revenue, respectively.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PLANT AND EQUIPMENT,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plants</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7,973</w:t>
            </w: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w:t>
            </w: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cost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14,336</w:t>
            </w: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Total accumulated 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(5,900)</w:t>
            </w: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5,606</w:t>
            </w:r>
          </w:p>
        </w:tc>
      </w:tr>
      <w:tr>
        <w:trPr>
          <w:trHeight w:val="252"/>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0D0D0D"/>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66,470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Depreciation and amortization expense was $1,075 and $501 for the three months ended September 30, 2022 and 2021, respectively, and $3,281 and $1,407 for the nine months ended September 30, 2022 and 2021, respectively. Buildings and plants represent Lingang housing property that was transferred to ACM Shengwei in January 2022 at a value of $41,497, which includes the purchase price and accumulated interest, and with estimated useful lives of 30-years (Note 8). Buildings and plants are pledged as security for loans from China Merchants Bank (Note 12). Construction in progress primarily reflects costs incurred related to the construction of several facilities in Lingang by ACM Shengwei, and are scheduled to begin production in 2023 and beyond.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7 – LAND USE RIGHT,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680" w:type="dxa"/>
            <w:vAlign w:val="bottom"/>
            <w:gridSpan w:val="2"/>
          </w:tcPr>
          <w:p>
            <w:pPr>
              <w:spacing w:after="0"/>
              <w:rPr>
                <w:sz w:val="20"/>
                <w:szCs w:val="20"/>
                <w:color w:val="auto"/>
              </w:rPr>
            </w:pPr>
            <w:r>
              <w:rPr>
                <w:rFonts w:ascii="Arial" w:cs="Arial" w:eastAsia="Arial" w:hAnsi="Arial"/>
                <w:sz w:val="18"/>
                <w:szCs w:val="18"/>
                <w:color w:val="auto"/>
              </w:rPr>
              <w:t>A summary of land use right is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purchase amount</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52"/>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2020, ACM Shanghai, through its wholly-owned subsidiary ACM Shengwei, entered into an agreement for a 50-year land use right in the Lingang region of Shanghai. In July 2020, ACM Shengwei began a multi-year construction project for a new 1,000,000 square foot development and production center that will incorporate new manufacturing systems and automation technologies and will provide floor space to support significantly increased production capacity and related research and development activities.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amortization for the three months ended September 30, 2022 and 2021 was $45 and $49, respectively, and for the nine months ended September 30, 2022 and 2021 was $144 and $147,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annual amortization of land use right for each of the next five years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60" w:type="dxa"/>
            <w:vAlign w:val="bottom"/>
            <w:tcBorders>
              <w:bottom w:val="single" w:sz="8" w:color="auto"/>
            </w:tcBorders>
          </w:tcPr>
          <w:p>
            <w:pPr>
              <w:ind w:left="394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4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8 – OTHER LONG-TERM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8680" w:type="dxa"/>
            <w:vAlign w:val="bottom"/>
            <w:gridSpan w:val="2"/>
          </w:tcPr>
          <w:p>
            <w:pPr>
              <w:spacing w:after="0"/>
              <w:rPr>
                <w:sz w:val="20"/>
                <w:szCs w:val="20"/>
                <w:color w:val="auto"/>
              </w:rPr>
            </w:pPr>
            <w:r>
              <w:rPr>
                <w:rFonts w:ascii="Arial" w:cs="Arial" w:eastAsia="Arial" w:hAnsi="Arial"/>
                <w:sz w:val="18"/>
                <w:szCs w:val="18"/>
                <w:color w:val="auto"/>
              </w:rPr>
              <w:t>Other long-term assets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property - Lingang</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42,111</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Prepayment for property, plant and equipment and other non-current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property - lease deposit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Security deposit for land use right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other long-term assets</w:t>
            </w: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2,373</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45,017</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Prepayment for property – Lingang is for the housing in Lingang, Shanghai and consists of (1) the contractual amount to acquire the property and (2) capitalized interest charges on the long-term loan related to acquisition of the property, which amounted to $1,048 at the time of transfer in 2022 and $986 as of December 31, 2021. Pursuant to contractual agreements, ownership of the housing in Lingang, Shanghai was transferred to ACM Shengwei in January 2022 at a value of $41,497 at the time of transfer, and $42,111 as of December 31, 2021, which reflected the purchase price and cumulative capitalized interest charges related to the long-term loan from China Merchants Bank (Note 12). Subsequent to the transfer of ownership, Prepayment for property – Lingang was reclassed to property, plant and equipment (Note 6).</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9 – SHORT-TERM BORROWINGS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680" w:type="dxa"/>
            <w:vAlign w:val="bottom"/>
            <w:gridSpan w:val="2"/>
          </w:tcPr>
          <w:p>
            <w:pPr>
              <w:spacing w:after="0"/>
              <w:rPr>
                <w:sz w:val="20"/>
                <w:szCs w:val="20"/>
                <w:color w:val="auto"/>
              </w:rPr>
            </w:pPr>
            <w:r>
              <w:rPr>
                <w:rFonts w:ascii="Arial" w:cs="Arial" w:eastAsia="Arial" w:hAnsi="Arial"/>
                <w:sz w:val="18"/>
                <w:szCs w:val="18"/>
                <w:color w:val="auto"/>
              </w:rPr>
              <w:t>Short-term borrowings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1"/>
        </w:trPr>
        <w:tc>
          <w:tcPr>
            <w:tcW w:w="8680" w:type="dxa"/>
            <w:vAlign w:val="bottom"/>
            <w:gridSpan w:val="2"/>
          </w:tcPr>
          <w:p>
            <w:pPr>
              <w:spacing w:after="0"/>
              <w:rPr>
                <w:sz w:val="20"/>
                <w:szCs w:val="20"/>
                <w:color w:val="auto"/>
              </w:rPr>
            </w:pPr>
            <w:r>
              <w:rPr>
                <w:rFonts w:ascii="Arial" w:cs="Arial" w:eastAsia="Arial" w:hAnsi="Arial"/>
                <w:sz w:val="18"/>
                <w:szCs w:val="18"/>
                <w:color w:val="auto"/>
              </w:rPr>
              <w:t>Line of credit up to RMB 100,000 from Bank of Shanghai Pudong Branch,</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1)due on June 7,2022 with an annual interest rate of 2.7% and fully repaid on June 7, 2022.(1)</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w:t>
            </w: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Line of credit up to RMB 150,000 from China Everbright Bank,</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1)due on October 21,2022 with annual interest rate of 1.95% and fully repaid on September 27, 2022.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w:t>
            </w: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2)due on August 17,2023 with an annual interest rate of 3.40%.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3)due on September 1,2023 with an annual interest rate of 3.60%.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Line of credit up to RMB 100,000 from Bank of Communications,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1)due on October 25,2022 with an annual interest rate of 3.85% and fully repaid on July 1, 2022.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2)due on August 11,2023 with an annual interest rate of 3.60%.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0D0D0D"/>
              </w:rPr>
              <w:t>3)due on September 5,2023 with an annual interest rate of 3.50%.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5,632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Line of credit up to RMB 40,000 from Bank of China,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1)due on August 26,2023 with an annual interest rate of 3.15%.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Line of credit up to RMB 100,000 from China Merchants Bank,</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1)due on July 21,2023 with an annual interest rate of 3.50%.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2)due on July 27,2023 with an annual interest rate of 3.50%.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3)due on August 1,2023 with an annual interest rate of 3.50%.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4)due on August 3,2023 with an annual interest rate of 3.50%.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5)due on August 7,2023 with an annual interest rate of 3.50%.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6)due on August 14,2023 with an annual interest rate of 3.50%.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7)due on August 15,2023 with an annual interest rate of 3.50%.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8)due on August 21,2023 with an annual interest rate of 3.50%.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9)due on August 28,2023 with an annual interest rate of 3.50%.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10)due on September 13,2023 with an annual interest rate of 3.50%.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11)due on September 20,2023 with an annual interest rate of 3.50%.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12)due on September 29,2023 with an annual interest rate of 3.50%.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0D0D0D"/>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50,688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0D0D0D"/>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9,591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(1) Guaranteed by CleanChip</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8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For the three months ended September 30, 2022 and 2021, interest expense related to short-term borrowings amounted to $201 and $176, respectively, and for the nine months ended September 30, 2022 and 2021, interest expense related to short-term borrowings amounted to $326 and $556,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NOTE 10 – OTHER PAYABLES AND ACCRUED EXPENSES</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5180" w:type="dxa"/>
            <w:vAlign w:val="bottom"/>
            <w:gridSpan w:val="2"/>
          </w:tcPr>
          <w:p>
            <w:pPr>
              <w:spacing w:after="0"/>
              <w:rPr>
                <w:sz w:val="20"/>
                <w:szCs w:val="20"/>
                <w:color w:val="auto"/>
              </w:rPr>
            </w:pPr>
            <w:r>
              <w:rPr>
                <w:rFonts w:ascii="Arial" w:cs="Arial" w:eastAsia="Arial" w:hAnsi="Arial"/>
                <w:sz w:val="18"/>
                <w:szCs w:val="18"/>
                <w:color w:val="auto"/>
                <w:w w:val="99"/>
              </w:rPr>
              <w:t>Other payables and accrued expenses consisted of the following:</w:t>
            </w:r>
          </w:p>
        </w:tc>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Accrued warranty</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6,631</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5,684</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machine testing fees</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Others</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5,979</w:t>
            </w:r>
          </w:p>
        </w:tc>
      </w:tr>
      <w:tr>
        <w:trPr>
          <w:trHeight w:val="252"/>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1"/>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500" w:type="dxa"/>
            <w:vAlign w:val="bottom"/>
          </w:tcPr>
          <w:p>
            <w:pPr>
              <w:jc w:val="right"/>
              <w:ind w:right="2909"/>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93"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480" w:type="dxa"/>
            <w:vAlign w:val="bottom"/>
            <w:gridSpan w:val="13"/>
          </w:tcPr>
          <w:p>
            <w:pPr>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r>
      <w:tr>
        <w:trPr>
          <w:trHeight w:val="218"/>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8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3"/>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7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r>
      <w:tr>
        <w:trPr>
          <w:trHeight w:val="252"/>
        </w:trPr>
        <w:tc>
          <w:tcPr>
            <w:tcW w:w="2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cost</w:t>
            </w: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6"/>
        </w:trPr>
        <w:tc>
          <w:tcPr>
            <w:tcW w:w="5760" w:type="dxa"/>
            <w:vAlign w:val="bottom"/>
            <w:gridSpan w:val="2"/>
          </w:tcPr>
          <w:p>
            <w:pPr>
              <w:spacing w:after="0"/>
              <w:rPr>
                <w:sz w:val="20"/>
                <w:szCs w:val="20"/>
                <w:color w:val="auto"/>
              </w:rPr>
            </w:pPr>
            <w:r>
              <w:rPr>
                <w:rFonts w:ascii="Arial" w:cs="Arial" w:eastAsia="Arial" w:hAnsi="Arial"/>
                <w:sz w:val="18"/>
                <w:szCs w:val="18"/>
                <w:color w:val="auto"/>
                <w:w w:val="91"/>
              </w:rPr>
              <w:t>Supplemental cash flow information related to operating leases was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480" w:type="dxa"/>
            <w:vAlign w:val="bottom"/>
            <w:gridSpan w:val="13"/>
          </w:tcPr>
          <w:p>
            <w:pPr>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r>
      <w:tr>
        <w:trPr>
          <w:trHeight w:val="218"/>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88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3"/>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1"/>
        </w:trPr>
        <w:tc>
          <w:tcPr>
            <w:tcW w:w="576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cash outflow from operating leases</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120" w:type="dxa"/>
            <w:vAlign w:val="bottom"/>
            <w:gridSpan w:val="2"/>
            <w:shd w:val="clear" w:color="auto" w:fill="CCEEFF"/>
          </w:tcPr>
          <w:p>
            <w:pPr>
              <w:jc w:val="right"/>
              <w:ind w:right="72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w:t>
            </w:r>
          </w:p>
        </w:tc>
        <w:tc>
          <w:tcPr>
            <w:tcW w:w="700" w:type="dxa"/>
            <w:vAlign w:val="bottom"/>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2,683</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maturities of outstanding lease liabilities for all operating leases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6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2023</w:t>
            </w:r>
          </w:p>
        </w:tc>
        <w:tc>
          <w:tcPr>
            <w:tcW w:w="6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2025</w:t>
            </w:r>
          </w:p>
        </w:tc>
        <w:tc>
          <w:tcPr>
            <w:tcW w:w="6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6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2027</w:t>
            </w:r>
          </w:p>
        </w:tc>
        <w:tc>
          <w:tcPr>
            <w:tcW w:w="6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line="205" w:lineRule="exact"/>
              <w:rPr>
                <w:sz w:val="20"/>
                <w:szCs w:val="20"/>
                <w:color w:val="auto"/>
              </w:rPr>
            </w:pPr>
            <w:r>
              <w:rPr>
                <w:rFonts w:ascii="Arial" w:cs="Arial" w:eastAsia="Arial" w:hAnsi="Arial"/>
                <w:sz w:val="18"/>
                <w:szCs w:val="18"/>
                <w:color w:val="auto"/>
              </w:rPr>
              <w:t>Less: Interest</w:t>
            </w:r>
          </w:p>
        </w:tc>
        <w:tc>
          <w:tcPr>
            <w:tcW w:w="6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(139)</w:t>
            </w:r>
          </w:p>
        </w:tc>
      </w:tr>
      <w:tr>
        <w:trPr>
          <w:trHeight w:val="252"/>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6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100" w:type="dxa"/>
            <w:vAlign w:val="bottom"/>
          </w:tcPr>
          <w:p>
            <w:pPr>
              <w:jc w:val="right"/>
              <w:ind w:right="4229"/>
              <w:spacing w:after="0"/>
              <w:rPr>
                <w:sz w:val="20"/>
                <w:szCs w:val="20"/>
                <w:color w:val="auto"/>
              </w:rPr>
            </w:pPr>
            <w:r>
              <w:rPr>
                <w:rFonts w:ascii="Arial" w:cs="Arial" w:eastAsia="Arial" w:hAnsi="Arial"/>
                <w:sz w:val="14"/>
                <w:szCs w:val="14"/>
                <w:color w:val="auto"/>
              </w:rPr>
              <w:t>27</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6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The weighted average remaining lease terms and discount rates for all operating leases were as follows: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1"/>
        </w:trPr>
        <w:tc>
          <w:tcPr>
            <w:tcW w:w="8600" w:type="dxa"/>
            <w:vAlign w:val="bottom"/>
            <w:gridSpan w:val="2"/>
          </w:tcPr>
          <w:p>
            <w:pPr>
              <w:spacing w:after="0"/>
              <w:rPr>
                <w:sz w:val="20"/>
                <w:szCs w:val="20"/>
                <w:color w:val="auto"/>
              </w:rPr>
            </w:pPr>
            <w:r>
              <w:rPr>
                <w:rFonts w:ascii="Arial" w:cs="Arial" w:eastAsia="Arial" w:hAnsi="Arial"/>
                <w:sz w:val="18"/>
                <w:szCs w:val="18"/>
                <w:color w:val="auto"/>
              </w:rPr>
              <w:t>Remaining lease term and discount rate: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1.97</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1"/>
              </w:rPr>
              <w:t>1.37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ind w:left="540"/>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w w:val="86"/>
              </w:rPr>
              <w:t>4.54%</w:t>
            </w:r>
          </w:p>
        </w:tc>
      </w:tr>
      <w:tr>
        <w:trPr>
          <w:trHeight w:val="41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NOTE 12 – LONG-TERM BORROWINGS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8600" w:type="dxa"/>
            <w:vAlign w:val="bottom"/>
            <w:gridSpan w:val="2"/>
          </w:tcPr>
          <w:p>
            <w:pPr>
              <w:spacing w:after="0"/>
              <w:rPr>
                <w:sz w:val="20"/>
                <w:szCs w:val="20"/>
                <w:color w:val="auto"/>
              </w:rPr>
            </w:pPr>
            <w:r>
              <w:rPr>
                <w:rFonts w:ascii="Arial" w:cs="Arial" w:eastAsia="Arial" w:hAnsi="Arial"/>
                <w:sz w:val="18"/>
                <w:szCs w:val="18"/>
                <w:color w:val="auto"/>
              </w:rPr>
              <w:t>Long-term borrowings consisted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Loan from China Merchants Bank</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Loans from Bank of China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6,977</w:t>
            </w:r>
          </w:p>
        </w:tc>
      </w:tr>
      <w:tr>
        <w:trPr>
          <w:trHeight w:val="212"/>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(2,410)</w:t>
            </w:r>
          </w:p>
        </w:tc>
      </w:tr>
      <w:tr>
        <w:trPr>
          <w:trHeight w:val="26"/>
        </w:trPr>
        <w:tc>
          <w:tcPr>
            <w:tcW w:w="20" w:type="dxa"/>
            <w:vAlign w:val="bottom"/>
          </w:tcPr>
          <w:p>
            <w:pPr>
              <w:spacing w:after="0"/>
              <w:rPr>
                <w:sz w:val="2"/>
                <w:szCs w:val="2"/>
                <w:color w:val="auto"/>
              </w:rPr>
            </w:pPr>
          </w:p>
        </w:tc>
        <w:tc>
          <w:tcPr>
            <w:tcW w:w="8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18,810</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22,957</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loan from China Merchants Bank is for the purpose of purchasing housing property in Lingang, Shanghai. The loan is repayable in 120 total installments with the last installment due in November 2030, with an annual interest rate of 3.95%. The loan is pledged by the property of ACM Shengwei and guaranteed by ACM Shanghai. The housing property was transferred to ACM Shengwei in January 2022 (Note 6). As of September 30, 2022, the right certificate of the pledged property has not been obtained and the procedures of the formal pledge registration in the China Merchants Bank had not been completed. On October 21, 2022, an updated notification was received by ACM Shengwei from China Merchants Bank stating that the absence of the right certificate shall not be regarded as a default as the project developer has not yet delivered the right certificate to ACM Shengwei due to COVID-related administrative delays.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for the outstanding long-term loan as of September 30, 2022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gridSpan w:val="2"/>
          </w:tcPr>
          <w:p>
            <w:pPr>
              <w:jc w:val="right"/>
              <w:ind w:right="6912"/>
              <w:spacing w:after="0"/>
              <w:rPr>
                <w:sz w:val="20"/>
                <w:szCs w:val="20"/>
                <w:color w:val="auto"/>
              </w:rPr>
            </w:pPr>
            <w:r>
              <w:rPr>
                <w:rFonts w:ascii="Arial" w:cs="Arial" w:eastAsia="Arial" w:hAnsi="Arial"/>
                <w:sz w:val="18"/>
                <w:szCs w:val="18"/>
                <w:b w:val="1"/>
                <w:bCs w:val="1"/>
                <w:color w:val="auto"/>
              </w:rPr>
              <w:t>Year ending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3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2023</w:t>
            </w:r>
          </w:p>
        </w:tc>
        <w:tc>
          <w:tcPr>
            <w:tcW w:w="8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2025</w:t>
            </w:r>
          </w:p>
        </w:tc>
        <w:tc>
          <w:tcPr>
            <w:tcW w:w="8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Thereafter</w:t>
            </w:r>
          </w:p>
        </w:tc>
        <w:tc>
          <w:tcPr>
            <w:tcW w:w="8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For the three months ended September 30, 2022 and 2021, respectively, interest related to long-term borrowings of $218 and $232 was incurred, of which $218 and $15 was charged to interest expenses and $0 and $217 was capitalized as property, plant and equipment and other long-term assets, respectively.</w:t>
      </w:r>
    </w:p>
    <w:p>
      <w:pPr>
        <w:spacing w:after="0" w:line="11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For the nine months ended September 30, 2022 and 2021, respectively, interest related to long-term borrowings of $720 and $776 was incurred, of which $660 and $18 was charged to interest expenses and $60 and $758 was capitalized as property, plant and equipment and other long-term assets,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LONG-TERM LIABILITIES</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Other long-term liabilities represent government subsidies received from PRC governmental authorities for development and commercialization of certain technology but not yet recognized. Other long-term liabilities consisted of the following unearned government subsidies: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0D0D0D"/>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791</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0D0D0D"/>
              </w:rPr>
              <w:t>160</w:t>
            </w: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Subsidies to other cleaning tools, commenced in 2020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D0D0D"/>
              </w:rPr>
              <w:t>1,014</w:t>
            </w: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Subsidies to SW Lingang R&amp;D development in 2021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0D0D0D"/>
              </w:rPr>
              <w:t>5,958</w:t>
            </w: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524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6,660</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0D0D0D"/>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0D0D0D"/>
              </w:rPr>
              <w:t>8,447</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LONG-TERM INVESTMENT</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(“Hefei Shixi”), a Chinese limited partnership based in Hefei, China. Pursuant to such Partnership Agreement, on September 30, 2019, ACM Shanghai invested RMB 30,000 ($4,200), which represented 10% of the partnership’s total subscribed capital. The investment in Hefei Shixi is accounted for under the equity method.</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29, 2021, ACM Shanghai and Waferworks (Shanghai) Co., Ltd (“Waferworks”), a company based in Shanghai and one of the Company’s customers, entered into an agreement pursuant to which Waferworks issued to ACM Shanghai shares representing 0.25% of Waferworks’ post-closing equity for a purchase price of $1,568. As there is no readily determinable fair value, the Company measures the investment in Waferworks at cost minus impairment, if any.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August 17, 2022, ACM Singapore and Wooil Flucon Co., Ltd. (“Wooil”), a company based in South Korea and a potential component supplier to the Company, entered into an agreement pursuant to which Wooil, on September 1, 2022, issued to ACM Singapore shares representing 20% of Wooil’s post-closing equity for a purchase price of $1,000. The investment in Wooil is accounted for under the equity method.</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China. Subsequent to the future purchase, any investment will be held by Nuode Asset Fund and restricted for a minimum period of six months. The limited partners of the Nuode Asset Fund contributed a total of RMB 160 million ($22,160) to the fund, of which ACM Shanghai contributed RMB 30 million ($4,196), or 18.75% of the total contribution, on September 27, 2022. As of September 30, 2022, no investment had been made by Nuode Asset Fund, and the Company elected to measure this investment at cost, less impairments if 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treats each equity investment in the consolidated financial statements under the equity method and they are classified as long-term investments. Under the equity method, an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 The Company concluded that the investments were not impaired and did not record any impairment charges related to the investments for any prior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r>
              <w:rPr>
                <w:rFonts w:ascii="Arial" w:cs="Arial" w:eastAsia="Arial" w:hAnsi="Arial"/>
                <w:sz w:val="18"/>
                <w:szCs w:val="18"/>
                <w:color w:val="auto"/>
              </w:rPr>
              <w:t>,</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Equity investee: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Wooil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Shengyi</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Hefei Shixi</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7,864</w:t>
            </w: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12,934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11,126</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investee: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Waferworks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Nuode Asset Fund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September 30, 2022 and 2021, the Company’s share of equity investees’ net income was $1,251 and $421, respectively, and $1,652 and $1,036 for the nine months ended September 30, 2022 and 2021, respectively, which amounts were included in equity income in net income of affiliates in the accompanying condensed consolidated statements of operations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TRADING SECURITIES</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or SMIC, to be listed on the STAR Market. The limited partners of the Partnership contributed to the fund a total of RMB 2.224 billion ($315,000), of which ACM Shanghai contributed RMB 100 million ($14,200), or 4.3% of the total contribution, on June 18, 2020.</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Upon the closing of the SMIC offering in July 2020, the initial number of SMIC shares owned by the Partnership was apportioned to all of the limited partners in proportion to their respective capital contributions (4.3% in the case of ACM Shanghai).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limited partners holding at least 30%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SMIC was listed on the STAR Market in July 2020, ACM Shanghai’s investment is accounted for as trading securities and is stated at fair market value, which is classified as Level 1 of the hierarchy established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with valuations based on quoted prices for identical securities in active markets at September 30, 2022 and December 31, 2021.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The components of trading securities were as follows: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868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1"/>
        </w:trPr>
        <w:tc>
          <w:tcPr>
            <w:tcW w:w="8680" w:type="dxa"/>
            <w:vAlign w:val="bottom"/>
          </w:tcPr>
          <w:p>
            <w:pPr>
              <w:spacing w:after="0"/>
              <w:rPr>
                <w:sz w:val="20"/>
                <w:szCs w:val="20"/>
                <w:color w:val="auto"/>
              </w:rPr>
            </w:pPr>
            <w:r>
              <w:rPr>
                <w:rFonts w:ascii="Arial" w:cs="Arial" w:eastAsia="Arial" w:hAnsi="Arial"/>
                <w:sz w:val="18"/>
                <w:szCs w:val="18"/>
                <w:color w:val="auto"/>
              </w:rPr>
              <w:t>Trading securities listed in Shanghai Stock Exchange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15,363</w:t>
            </w:r>
          </w:p>
        </w:tc>
      </w:tr>
      <w:tr>
        <w:trPr>
          <w:trHeight w:val="223"/>
        </w:trPr>
        <w:tc>
          <w:tcPr>
            <w:tcW w:w="8680" w:type="dxa"/>
            <w:vAlign w:val="bottom"/>
          </w:tcPr>
          <w:p>
            <w:pPr>
              <w:ind w:left="160"/>
              <w:spacing w:after="0"/>
              <w:rPr>
                <w:sz w:val="20"/>
                <w:szCs w:val="20"/>
                <w:color w:val="auto"/>
              </w:rPr>
            </w:pPr>
            <w:r>
              <w:rPr>
                <w:rFonts w:ascii="Arial" w:cs="Arial" w:eastAsia="Arial" w:hAnsi="Arial"/>
                <w:sz w:val="18"/>
                <w:szCs w:val="18"/>
                <w:color w:val="auto"/>
              </w:rPr>
              <w:t>Market value</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29,498</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2920" w:type="dxa"/>
            <w:vAlign w:val="bottom"/>
            <w:gridSpan w:val="5"/>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5"/>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8"/>
        </w:trPr>
        <w:tc>
          <w:tcPr>
            <w:tcW w:w="56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trading securities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(9,562)</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nine months ended September 30, 2022, the Company received $4,488 in proceeds from the sale of SMIC shares, including a realized gain of $1,136.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BALANCES AND TRANSACTIONS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Ninebell</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Ninebell is an equity investee of ACM (Note 14) and is the Company’s principal supplier of robotic delivery system subassemblies used in our single-wafer cleaning equipment. The Company purchases equipment through arms-length transactions from Ninebell for production in the ordinary course of business. The Company pays for a portion of the equipment in advance and is obligated for the remaining amounts upon receipt of the product. All related party outstanding balances are short-term in nature and are expected to be settled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Shengyi</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Shengyi is an equity investee of ACM Shanghai (Note 14) and is one of the Company’s component suppliers in China. The Company purchases components from Shengyi for production in the ordinary course of business. The Company incurs a service fee related to installation and hook-up fees which is recorded within cost of revenue on the Company’s condensed consolidated statements of operations and comprehensive income (loss). The Company pays for a portion of the raw materials in advance and is obligated for the remaining amounts upon receipt of the product.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related party transactions in our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Advances to related party</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Ninebell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Accounts payable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Shengyi</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r>
      <w:tr>
        <w:trPr>
          <w:trHeight w:val="252"/>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23"/>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9"/>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8"/>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Purchase of materials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Shengyi</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r>
      <w:tr>
        <w:trPr>
          <w:trHeight w:val="252"/>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23"/>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9"/>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8"/>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Service fee charged by</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Shengyi</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COMMON STOCK</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2022, ACM effectuated the Stock Split, which was a 3-for-1 stock split of Class A and Class B common stock in the form of a stock dividend (Note 1).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by getting approval from a majority of common stockholders.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2022, ACM issued 231,710 shares of Class A common stock upon option exercises by employees and non-employees.</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During the nine months ended September 30, 2022, ACM issued 763,584 shares of Class A common stock upon option exercises by employees and non-employees, and an additional 1,002 shares of Class A common stock upon conversion of an equal number of shares of Class B common stock.</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2021, ACM issued 390,993 shares of Class A common stock upon option exercises by employees and non-employees.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nine months ended September 30, 2021, ACM issued 1,693,095 shares of Class A common stock upon option exercises by employees and non-employees, and an additional 285,003 shares of Class A common stock upon conversion of an equal number of shares of Class B common stock. During the nine months ended September 30, 2021, ACM issued 728,043 shares of Class A common stock upon the exercise of warrants to purchase shares of Class A common stock.</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2022 and December 31, 2021, the number of shares of Class A common stock issued and outstanding was 54,373,515 and 53,608,929, respectively.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2022 and December 31, 2021, the number of shares of Class B common stock issued and outstanding was 5,086,812 and 5,087,814,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STOCK-BASED COMPENSATION</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ACM’s stock-based compensation consists of employee and non-employee awards issued under its 1998 Stock Option Plan, its 2016 Omnibus Incentive Plan and as standalone options. The vesting condition may consist of a service period determined by the Board of Directors for a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stock-based compensation expense included in the consolidated statements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6940" w:type="dxa"/>
            <w:vAlign w:val="bottom"/>
            <w:gridSpan w:val="14"/>
          </w:tcPr>
          <w:p>
            <w:pPr>
              <w:ind w:left="1480"/>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r>
      <w:tr>
        <w:trPr>
          <w:trHeight w:val="218"/>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1"/>
        </w:trPr>
        <w:tc>
          <w:tcPr>
            <w:tcW w:w="430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4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3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60" w:type="dxa"/>
            <w:vAlign w:val="bottom"/>
            <w:gridSpan w:val="2"/>
            <w:shd w:val="clear" w:color="auto" w:fill="CCEEFF"/>
          </w:tcPr>
          <w:p>
            <w:pPr>
              <w:jc w:val="right"/>
              <w:ind w:right="66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2"/>
        </w:trPr>
        <w:tc>
          <w:tcPr>
            <w:tcW w:w="43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r>
      <w:tr>
        <w:trPr>
          <w:trHeight w:val="212"/>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218"/>
        </w:trPr>
        <w:tc>
          <w:tcPr>
            <w:tcW w:w="43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52"/>
        </w:trPr>
        <w:tc>
          <w:tcPr>
            <w:tcW w:w="4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1,893</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Pr>
          <w:p>
            <w:pPr>
              <w:spacing w:after="0"/>
              <w:rPr>
                <w:sz w:val="20"/>
                <w:szCs w:val="20"/>
                <w:color w:val="auto"/>
              </w:rPr>
            </w:pPr>
          </w:p>
        </w:tc>
        <w:tc>
          <w:tcPr>
            <w:tcW w:w="5440" w:type="dxa"/>
            <w:vAlign w:val="bottom"/>
            <w:gridSpan w:val="13"/>
          </w:tcPr>
          <w:p>
            <w:pPr>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r>
      <w:tr>
        <w:trPr>
          <w:trHeight w:val="218"/>
        </w:trPr>
        <w:tc>
          <w:tcPr>
            <w:tcW w:w="58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1"/>
        </w:trPr>
        <w:tc>
          <w:tcPr>
            <w:tcW w:w="5800" w:type="dxa"/>
            <w:vAlign w:val="bottom"/>
          </w:tcPr>
          <w:p>
            <w:pPr>
              <w:spacing w:after="0"/>
              <w:rPr>
                <w:sz w:val="20"/>
                <w:szCs w:val="20"/>
                <w:color w:val="auto"/>
              </w:rPr>
            </w:pPr>
            <w:r>
              <w:rPr>
                <w:rFonts w:ascii="Arial" w:cs="Arial" w:eastAsia="Arial" w:hAnsi="Arial"/>
                <w:sz w:val="18"/>
                <w:szCs w:val="18"/>
                <w:b w:val="1"/>
                <w:bCs w:val="1"/>
                <w:color w:val="auto"/>
              </w:rPr>
              <w:t>Stock-based compensation expense by type:</w:t>
            </w: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stock option plan</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1,798</w:t>
            </w:r>
          </w:p>
        </w:tc>
        <w:tc>
          <w:tcPr>
            <w:tcW w:w="10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w:t>
            </w:r>
          </w:p>
        </w:tc>
      </w:tr>
      <w:tr>
        <w:trPr>
          <w:trHeight w:val="212"/>
        </w:trPr>
        <w:tc>
          <w:tcPr>
            <w:tcW w:w="5800" w:type="dxa"/>
            <w:vAlign w:val="bottom"/>
          </w:tcPr>
          <w:p>
            <w:pPr>
              <w:spacing w:after="0"/>
              <w:rPr>
                <w:sz w:val="20"/>
                <w:szCs w:val="20"/>
                <w:color w:val="auto"/>
              </w:rPr>
            </w:pPr>
            <w:r>
              <w:rPr>
                <w:rFonts w:ascii="Arial" w:cs="Arial" w:eastAsia="Arial" w:hAnsi="Arial"/>
                <w:sz w:val="18"/>
                <w:szCs w:val="18"/>
                <w:color w:val="auto"/>
              </w:rPr>
              <w:t>Non-employee stock option plan</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2"/>
        </w:trPr>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Subsidiary stock option plan</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6"/>
        </w:trPr>
        <w:tc>
          <w:tcPr>
            <w:tcW w:w="58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58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1,893</w:t>
            </w: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1,278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5,236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3,823</w:t>
            </w:r>
          </w:p>
        </w:tc>
      </w:tr>
      <w:tr>
        <w:trPr>
          <w:trHeight w:val="20"/>
        </w:trPr>
        <w:tc>
          <w:tcPr>
            <w:tcW w:w="5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employee share option activities during the nine months ended September 30,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Weighted Average</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Average Grant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Average</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Remaining</w:t>
            </w: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Option Shares (1)</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8"/>
              </w:rPr>
              <w:t>Date Fair Value</w:t>
            </w:r>
          </w:p>
        </w:tc>
        <w:tc>
          <w:tcPr>
            <w:tcW w:w="10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Contractual Term</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8,402,247</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 years</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1,653,300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22.41</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(379,290)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Forfeited/cancelled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(229,650)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9,446,607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 years</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Vested and exercisable at September 30, 2022</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6,118,215</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 Prior period results have been adjusted to reflect the Stock Split effected in March 2022. See Note 1 for details.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of September 30, 2022 and December 31, 2021, $17,579 and $9,544, respectively, of total unrecognized employee stock-based compensation expense, net of estimated forfeitures, related to stock-based awards for ACM were expected to be recognized over a weighted-average period of 1.53 years and 1.61 years, respectively. Total recognized compensation cost may be adjusted for future changes in estimated forfeitures.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options granted to employees with a service period based condition is estimated on the grant date using the Black-Scholes valuation with following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Year-ended</w:t>
            </w:r>
          </w:p>
        </w:tc>
      </w:tr>
      <w:tr>
        <w:trPr>
          <w:trHeight w:val="212"/>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September 30,</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December 31,</w:t>
            </w:r>
          </w:p>
        </w:tc>
      </w:tr>
      <w:tr>
        <w:trPr>
          <w:trHeight w:val="237"/>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 (6)</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(6)</w:t>
            </w:r>
          </w:p>
        </w:tc>
        <w:tc>
          <w:tcPr>
            <w:tcW w:w="16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16.83-25.45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27.58-37.33</w:t>
            </w:r>
          </w:p>
        </w:tc>
        <w:tc>
          <w:tcPr>
            <w:tcW w:w="1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5.50-6.25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r>
        <w:trPr>
          <w:trHeight w:val="212"/>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49.43-50.87%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48.53-49.47%</w:t>
            </w:r>
          </w:p>
        </w:tc>
      </w:tr>
      <w:tr>
        <w:trPr>
          <w:trHeight w:val="212"/>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1.7%-3.04%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1.00%-1.44%</w:t>
            </w:r>
          </w:p>
        </w:tc>
      </w:tr>
      <w:tr>
        <w:trPr>
          <w:trHeight w:val="212"/>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9" w:lineRule="exact"/>
        <w:rPr>
          <w:sz w:val="20"/>
          <w:szCs w:val="20"/>
          <w:color w:val="auto"/>
        </w:rPr>
      </w:pPr>
    </w:p>
    <w:p>
      <w:pPr>
        <w:ind w:left="480" w:hanging="47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Equal to closing value on the grant date.</w:t>
      </w:r>
    </w:p>
    <w:p>
      <w:pPr>
        <w:spacing w:after="0" w:line="16" w:lineRule="exact"/>
        <w:rPr>
          <w:rFonts w:ascii="Arial" w:cs="Arial" w:eastAsia="Arial" w:hAnsi="Arial"/>
          <w:sz w:val="18"/>
          <w:szCs w:val="18"/>
          <w:color w:val="auto"/>
        </w:rPr>
      </w:pPr>
    </w:p>
    <w:p>
      <w:pPr>
        <w:ind w:left="480" w:hanging="474"/>
        <w:spacing w:after="0" w:line="245"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480" w:hanging="474"/>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6" w:lineRule="exact"/>
        <w:rPr>
          <w:rFonts w:ascii="Arial" w:cs="Arial" w:eastAsia="Arial" w:hAnsi="Arial"/>
          <w:sz w:val="17"/>
          <w:szCs w:val="17"/>
          <w:color w:val="auto"/>
        </w:rPr>
      </w:pPr>
    </w:p>
    <w:p>
      <w:pPr>
        <w:ind w:left="480" w:hanging="474"/>
        <w:spacing w:after="0" w:line="245"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480" w:hanging="47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4" w:lineRule="exact"/>
        <w:rPr>
          <w:rFonts w:ascii="Arial" w:cs="Arial" w:eastAsia="Arial" w:hAnsi="Arial"/>
          <w:sz w:val="18"/>
          <w:szCs w:val="18"/>
          <w:color w:val="auto"/>
        </w:rPr>
      </w:pPr>
    </w:p>
    <w:p>
      <w:pPr>
        <w:ind w:left="480" w:hanging="47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period results have been adjusted to reflect the Stock Split effected in March 2022. See Note 1 for details.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non-employee share option activities during the nine months ended September 30,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Weighted</w:t>
            </w: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Average</w:t>
            </w: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Grant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Average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w:t>
            </w: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Option Shares (1)</w:t>
            </w:r>
          </w:p>
        </w:tc>
        <w:tc>
          <w:tcPr>
            <w:tcW w:w="8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Date Fair Value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Contractual Term</w:t>
            </w: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2021</w:t>
            </w:r>
          </w:p>
        </w:tc>
        <w:tc>
          <w:tcPr>
            <w:tcW w:w="1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2,067,018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w w:val="79"/>
              </w:rPr>
              <w:t>0.33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0.97</w:t>
            </w: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84"/>
              </w:rPr>
              <w:t>3.98 years</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9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(384,294)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Expired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9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Outstanding at September 30, 2022</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1,676,214</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700"/>
              <w:spacing w:after="0"/>
              <w:rPr>
                <w:sz w:val="20"/>
                <w:szCs w:val="20"/>
                <w:color w:val="auto"/>
              </w:rPr>
            </w:pPr>
            <w:r>
              <w:rPr>
                <w:rFonts w:ascii="Arial" w:cs="Arial" w:eastAsia="Arial" w:hAnsi="Arial"/>
                <w:sz w:val="18"/>
                <w:szCs w:val="18"/>
                <w:b w:val="1"/>
                <w:bCs w:val="1"/>
                <w:color w:val="auto"/>
              </w:rPr>
              <w:t>0.36</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1360" w:type="dxa"/>
            <w:vAlign w:val="bottom"/>
          </w:tcPr>
          <w:p>
            <w:pPr>
              <w:ind w:left="600"/>
              <w:spacing w:after="0"/>
              <w:rPr>
                <w:sz w:val="20"/>
                <w:szCs w:val="20"/>
                <w:color w:val="auto"/>
              </w:rPr>
            </w:pPr>
            <w:r>
              <w:rPr>
                <w:rFonts w:ascii="Arial" w:cs="Arial" w:eastAsia="Arial" w:hAnsi="Arial"/>
                <w:sz w:val="18"/>
                <w:szCs w:val="18"/>
                <w:b w:val="1"/>
                <w:bCs w:val="1"/>
                <w:color w:val="auto"/>
                <w:w w:val="84"/>
              </w:rPr>
              <w:t>3.58 years</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2022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99" w:lineRule="exact"/>
        <w:rPr>
          <w:sz w:val="20"/>
          <w:szCs w:val="20"/>
          <w:color w:val="auto"/>
        </w:rPr>
      </w:pPr>
    </w:p>
    <w:p>
      <w:pPr>
        <w:ind w:left="480" w:hanging="47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period results have been adjusted to reflect the Stock Split effected in March 2022. See Note 1 for details.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of September 30, 2022 and December 31, 2021, $67 and $102, respectively, of total unrecognized non-employee stock-based compensation expense, net of estimated forfeitures, related to stock-based awards were expected to be recognized over a weighted-average period of 0.05 years and 0.06 years, respectively. Total recognized compensation cost may be adjusted for future changes in estimated forfeitures.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 Shanghai Option Grants</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have a short history of trading on a public market, the expected volatility is estimated with reference to the average historical volatility of a group of publicly traded companies that are believed to have similar characteristics to ACM Shanghai.</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ACM Shanghai stock option activities during the nine months ended September 30,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Weighted</w:t>
            </w:r>
          </w:p>
        </w:tc>
      </w:tr>
      <w:tr>
        <w:trPr>
          <w:trHeight w:val="212"/>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Average</w:t>
            </w:r>
          </w:p>
        </w:tc>
      </w:tr>
      <w:tr>
        <w:trPr>
          <w:trHeight w:val="212"/>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Option Shares in</w:t>
            </w:r>
          </w:p>
        </w:tc>
        <w:tc>
          <w:tcPr>
            <w:tcW w:w="10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 Grant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Average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w:t>
            </w: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ACM Shanghai</w:t>
            </w: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Date Fair Value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Contractual Term</w:t>
            </w:r>
          </w:p>
        </w:tc>
      </w:tr>
      <w:tr>
        <w:trPr>
          <w:trHeight w:val="212"/>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w w:val="79"/>
              </w:rPr>
              <w:t>0.24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84"/>
              </w:rPr>
              <w:t>2.50 years</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Outstanding at September 30, 2022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5,377,500</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ind w:left="720"/>
              <w:spacing w:after="0"/>
              <w:rPr>
                <w:sz w:val="20"/>
                <w:szCs w:val="20"/>
                <w:color w:val="auto"/>
              </w:rPr>
            </w:pPr>
            <w:r>
              <w:rPr>
                <w:rFonts w:ascii="Arial" w:cs="Arial" w:eastAsia="Arial" w:hAnsi="Arial"/>
                <w:sz w:val="18"/>
                <w:szCs w:val="18"/>
                <w:b w:val="1"/>
                <w:bCs w:val="1"/>
                <w:color w:val="auto"/>
              </w:rPr>
              <w:t>0.24</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1.97</w:t>
            </w:r>
          </w:p>
        </w:tc>
        <w:tc>
          <w:tcPr>
            <w:tcW w:w="1360" w:type="dxa"/>
            <w:vAlign w:val="bottom"/>
          </w:tcPr>
          <w:p>
            <w:pPr>
              <w:ind w:left="600"/>
              <w:spacing w:after="0"/>
              <w:rPr>
                <w:sz w:val="20"/>
                <w:szCs w:val="20"/>
                <w:color w:val="auto"/>
              </w:rPr>
            </w:pPr>
            <w:r>
              <w:rPr>
                <w:rFonts w:ascii="Arial" w:cs="Arial" w:eastAsia="Arial" w:hAnsi="Arial"/>
                <w:sz w:val="18"/>
                <w:szCs w:val="18"/>
                <w:b w:val="1"/>
                <w:bCs w:val="1"/>
                <w:color w:val="auto"/>
                <w:w w:val="84"/>
              </w:rPr>
              <w:t>1.76 years</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September 30, 2022 and 2021, the Company recognized stock-based compensation expense of $83 and $87, respectively, and during the nine months ended September 30, 2022 and 2021, the Company recognized stock-based compensation expense of $258 and $260, respectively, related to stock option grants of ACM Shanghai.</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of September 30, 2022 and December 31, 2021, $249 and $525, respectively, of total unrecognized non-employee stock-based compensation expense, net of estimated forfeitures, related to ACM Shanghai stock-based awards were expected to be recognized over a weighted-average period of 0.75 years and 1.5 years, respectively. Total recognized compensation cost may be adjusted for future changes in estimated forfeitures.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37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ACM Shanghai has shown a three-year historical cumulative profit and has projections of future income. As a result, the Company does not maintain a valuation allowance.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9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Company’s effective tax rate differs from statutory rates of 21% for U.S. federal income tax purposes and 12.5% to 25% for Chinese income tax purposes due to the effects of the valuation allowance and certain permanent differences from book-tax differences. As a result, the Company recorded income tax benefit (expense) of $(14,138) and $3,021 during the nine months ended September 30, 2022 and 2021, respectively. The increase in our effective income tax rate for the nine months ended September 30, 2022 compared to the same period of the prior year was primarily due to a new requirement to capitalize and amortize previously deductible research and experimental expenses resulting from a change in Section 174 made by the Tax Cuts and Jobs Act of 2017 (the “TCJA”) which became effective on January 1, 2022, and a decrease in discrete tax benefits associated with stock-based compensation deductions.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Congress is considering legislation, but legislation has not passed, that would defer the capitalization requirement to later years.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2022, the Company had total unrecognized tax benefits of $6,066, as compared to $6,066 and $570 as of December 31, 2021 and 2020 respectively. The significant increase in 2021 was primarily because the Company claimed a deduction for realized gains on stock option exercises for China-based employees on its Chinese tax return. As of December 31, 2021, the Company assessed that the deduction did not meet the “more likely than not” threshold given this deduction was not regular and may be subject to scrutiny by the tax authority. If recognized, $5,950 would affect the effective tax rate. The Company will recognize interest and penalties, when they occur, related to uncertain tax provisions as a component of tax expense. For the nine months ended September 30, 2022, $142 of interest or penalties was recognized.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1999 through December 31, 2021.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Company’s effective tax rate differs from statutory rates of 21% for U.S. federal income tax purposes and 12.5% to 25% for Chinese income tax purposes due to the effects of the valuation allowance and certain permanent differences as it pertains to book-tax differences in the treatment of stock-based compensation and non-US research expenses. The Company’s three PRC subsidiaries, ACM Shanghai, ACM Wuxi and Shengwei, are liable for PRC corporate income taxes at the rates of 12.5%,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is entitled to a preferential income tax rate of 12.5% from January 1, 2020 to December 31, 2022.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Income tax benefit (expense) was as follows: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8"/>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COMMITMENTS AND CONTINGENCIES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offices under non-cancelable operating lease agreements. See Note 11 for future minimum lease payments under non-cancelable operating lease agreements with initial terms of one year or more.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had $2,263 of open capital commitments.</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Covenants in Shengwei’s Grant Contract for State-owned Construction Land Use Right in Shanghai City with the China (Shanghai) Pilot Free Trade Zone Lingang Special Area Administration require, among other things, that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2022 and December 31, 2021, the Company had paid in total $23,082 and $13,265, respectively for its Lingang-related investments.</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management has evaluated all such proceedings and claims that existed as of September 30, 2022 or December 31, 2021. In the opinion of management, no provision for liability nor disclosure was required as of September 30, 2022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had no outstanding legal proceedings.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Selected disaggregated revenue information is provided in Note 3.</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balance of selected long-term assets by geography as of September 30, 2022 and December 31, 2021 are presented in the following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1"/>
        </w:trPr>
        <w:tc>
          <w:tcPr>
            <w:tcW w:w="8680" w:type="dxa"/>
            <w:vAlign w:val="bottom"/>
            <w:gridSpan w:val="2"/>
          </w:tcPr>
          <w:p>
            <w:pPr>
              <w:spacing w:after="0"/>
              <w:rPr>
                <w:sz w:val="20"/>
                <w:szCs w:val="20"/>
                <w:color w:val="auto"/>
              </w:rPr>
            </w:pPr>
            <w:r>
              <w:rPr>
                <w:rFonts w:ascii="Arial" w:cs="Arial" w:eastAsia="Arial" w:hAnsi="Arial"/>
                <w:sz w:val="18"/>
                <w:szCs w:val="18"/>
                <w:color w:val="auto"/>
              </w:rPr>
              <w:t>Long-lived assets by geography: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71,534</w:t>
            </w: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80,037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72,908</w:t>
            </w:r>
          </w:p>
        </w:tc>
        <w:tc>
          <w:tcPr>
            <w:tcW w:w="100" w:type="dxa"/>
            <w:vAlign w:val="bottom"/>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STATUTORY SURPLUS RESERVE</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PRC’s Foreign Enterprise Law, ACM Shanghai, ACM Shengwei, and ACM Wuxi are required to make appropriation to reserve funds, comprising the statutory surplus reserve and discretionary surplus reserve, based on after-tax net income in accordance with generally accepted accounting principles of PRC (“PRC GAAP”).</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Appropriations to the statutory surplus reserve are required to be at least 10% of the after-tax net income determined in accordance with PRC GAAP until the reserve is equal to 50% of the entities’ registered capital. The amount is calculated annually at the end of each calendar year. The balances of statutory reserve funds were $8,312 as of September 30, 2022 and December 31, 2021, and are presented as statutory reserve on the Company’s condensed consolidated balance sheets.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3"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2021, or our Annual Report.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in Part I, Item 1A. “Risk Factors” in our Annual Report and in Part II, Item 1A. “Risk Factors” in our Quarterly Report on Form 10-Q for the quarter ended June 30, 2022, as well as those discussed below and elsewhere in this report, particularly in the section titled “Item 1A. Risk Factors” in Part II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ACM Research was incorporated in California in 1998 and redomesticated in Delaware in 2016. We perform strategic planning, marketing, and financial activities at our global corporate headquarters in Fremont, California. ACM Research is neither a PRC operating company nor do we conduct our operations in the PRC through the use of VIEs.</w:t>
      </w:r>
    </w:p>
    <w:p>
      <w:pPr>
        <w:spacing w:after="0" w:line="190" w:lineRule="exact"/>
        <w:rPr>
          <w:sz w:val="20"/>
          <w:szCs w:val="20"/>
          <w:color w:val="auto"/>
        </w:rPr>
      </w:pPr>
    </w:p>
    <w:p>
      <w:pPr>
        <w:jc w:val="both"/>
        <w:spacing w:after="0" w:line="215" w:lineRule="exact"/>
        <w:rPr>
          <w:sz w:val="20"/>
          <w:szCs w:val="20"/>
          <w:color w:val="auto"/>
        </w:rPr>
      </w:pPr>
      <w:r>
        <w:rPr>
          <w:rFonts w:ascii="Arial" w:cs="Arial" w:eastAsia="Arial" w:hAnsi="Arial"/>
          <w:sz w:val="15"/>
          <w:szCs w:val="15"/>
          <w:color w:val="auto"/>
        </w:rPr>
        <w:t>Initially we focused on developing tools for chip manufacturing process steps involving the integration of ultra</w:t>
      </w:r>
      <w:r>
        <w:rPr>
          <w:rFonts w:ascii="MS PGothic" w:cs="MS PGothic" w:eastAsia="MS PGothic" w:hAnsi="MS PGothic"/>
          <w:sz w:val="15"/>
          <w:szCs w:val="15"/>
          <w:color w:val="auto"/>
        </w:rPr>
        <w:t>‑</w:t>
      </w:r>
      <w:r>
        <w:rPr>
          <w:rFonts w:ascii="Arial" w:cs="Arial" w:eastAsia="Arial" w:hAnsi="Arial"/>
          <w:sz w:val="15"/>
          <w:szCs w:val="15"/>
          <w:color w:val="auto"/>
        </w:rPr>
        <w:t>low</w:t>
      </w:r>
      <w:r>
        <w:rPr>
          <w:rFonts w:ascii="MS PGothic" w:cs="MS PGothic" w:eastAsia="MS PGothic" w:hAnsi="MS PGothic"/>
          <w:sz w:val="15"/>
          <w:szCs w:val="15"/>
          <w:color w:val="auto"/>
        </w:rPr>
        <w:t>‑</w:t>
      </w:r>
      <w:r>
        <w:rPr>
          <w:rFonts w:ascii="Arial" w:cs="Arial" w:eastAsia="Arial" w:hAnsi="Arial"/>
          <w:sz w:val="15"/>
          <w:szCs w:val="15"/>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202" w:lineRule="exact"/>
        <w:rPr>
          <w:sz w:val="20"/>
          <w:szCs w:val="20"/>
          <w:color w:val="auto"/>
        </w:rPr>
      </w:pPr>
    </w:p>
    <w:p>
      <w:pPr>
        <w:ind w:left="480" w:hanging="474"/>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In 2009 we introduced </w:t>
      </w:r>
      <w:r>
        <w:rPr>
          <w:rFonts w:ascii="Arial" w:cs="Arial" w:eastAsia="Arial" w:hAnsi="Arial"/>
          <w:sz w:val="15"/>
          <w:szCs w:val="15"/>
          <w:i w:val="1"/>
          <w:iCs w:val="1"/>
          <w:color w:val="auto"/>
        </w:rPr>
        <w:t>SAPS</w:t>
      </w:r>
      <w:r>
        <w:rPr>
          <w:rFonts w:ascii="Arial" w:cs="Arial" w:eastAsia="Arial" w:hAnsi="Arial"/>
          <w:sz w:val="15"/>
          <w:szCs w:val="15"/>
          <w:color w:val="auto"/>
        </w:rPr>
        <w:t xml:space="preserve"> megasonic technology, which can be applied in wet wafer cleaning at numerous steps during the chip fabrication process.</w:t>
      </w:r>
    </w:p>
    <w:p>
      <w:pPr>
        <w:spacing w:after="0" w:line="50" w:lineRule="exact"/>
        <w:rPr>
          <w:rFonts w:ascii="Arial" w:cs="Arial" w:eastAsia="Arial" w:hAnsi="Arial"/>
          <w:sz w:val="15"/>
          <w:szCs w:val="15"/>
          <w:color w:val="auto"/>
        </w:rPr>
      </w:pPr>
    </w:p>
    <w:p>
      <w:pPr>
        <w:ind w:left="480" w:hanging="474"/>
        <w:spacing w:after="0" w:line="245"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2016 we introduced </w:t>
      </w:r>
      <w:r>
        <w:rPr>
          <w:rFonts w:ascii="Arial" w:cs="Arial" w:eastAsia="Arial" w:hAnsi="Arial"/>
          <w:sz w:val="18"/>
          <w:szCs w:val="18"/>
          <w:i w:val="1"/>
          <w:iCs w:val="1"/>
          <w:color w:val="auto"/>
        </w:rPr>
        <w:t>TEBO</w:t>
      </w:r>
      <w:r>
        <w:rPr>
          <w:rFonts w:ascii="Arial" w:cs="Arial" w:eastAsia="Arial" w:hAnsi="Arial"/>
          <w:sz w:val="18"/>
          <w:szCs w:val="18"/>
          <w:color w:val="auto"/>
        </w:rPr>
        <w:t xml:space="preserve"> technology, which can be applied at numerous steps during the fabrication of small node conventional two-dimensional and three-dimensional patterned wafers.</w:t>
      </w:r>
    </w:p>
    <w:p>
      <w:pPr>
        <w:ind w:left="480" w:hanging="474"/>
        <w:spacing w:after="0" w:line="245"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August 2018 we introduced the </w:t>
      </w:r>
      <w:r>
        <w:rPr>
          <w:rFonts w:ascii="Arial" w:cs="Arial" w:eastAsia="Arial" w:hAnsi="Arial"/>
          <w:sz w:val="18"/>
          <w:szCs w:val="18"/>
          <w:i w:val="1"/>
          <w:iCs w:val="1"/>
          <w:color w:val="auto"/>
        </w:rPr>
        <w:t>Ultra-C Tahoe</w:t>
      </w:r>
      <w:r>
        <w:rPr>
          <w:rFonts w:ascii="Arial" w:cs="Arial" w:eastAsia="Arial" w:hAnsi="Arial"/>
          <w:sz w:val="18"/>
          <w:szCs w:val="18"/>
          <w:color w:val="auto"/>
        </w:rPr>
        <w:t xml:space="preserve"> wafer cleaning tool, which delivers high cleaning performance with significantly less sulfuric acid than typically consumed by conventional high temperature single-wafer cleaning tools.</w:t>
      </w:r>
    </w:p>
    <w:p>
      <w:pPr>
        <w:jc w:val="both"/>
        <w:ind w:left="480" w:hanging="474"/>
        <w:spacing w:after="0" w:line="259"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spacing w:after="0" w:line="2" w:lineRule="exact"/>
        <w:rPr>
          <w:rFonts w:ascii="Arial" w:cs="Arial" w:eastAsia="Arial" w:hAnsi="Arial"/>
          <w:sz w:val="17"/>
          <w:szCs w:val="17"/>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April 2020 we introduced the </w:t>
      </w:r>
      <w:r>
        <w:rPr>
          <w:rFonts w:ascii="Arial" w:cs="Arial" w:eastAsia="Arial" w:hAnsi="Arial"/>
          <w:sz w:val="18"/>
          <w:szCs w:val="18"/>
          <w:i w:val="1"/>
          <w:iCs w:val="1"/>
          <w:color w:val="auto"/>
        </w:rPr>
        <w:t>Ultra Furnace</w:t>
      </w:r>
      <w:r>
        <w:rPr>
          <w:rFonts w:ascii="Arial" w:cs="Arial" w:eastAsia="Arial" w:hAnsi="Arial"/>
          <w:sz w:val="18"/>
          <w:szCs w:val="18"/>
          <w:color w:val="auto"/>
        </w:rPr>
        <w:t>, our first system developed for multiple dry processing applications.</w:t>
      </w:r>
    </w:p>
    <w:p>
      <w:pPr>
        <w:spacing w:after="0" w:line="4" w:lineRule="exact"/>
        <w:rPr>
          <w:rFonts w:ascii="Arial" w:cs="Arial" w:eastAsia="Arial" w:hAnsi="Arial"/>
          <w:sz w:val="18"/>
          <w:szCs w:val="18"/>
          <w:color w:val="auto"/>
        </w:rPr>
      </w:pPr>
    </w:p>
    <w:p>
      <w:pPr>
        <w:ind w:left="480" w:hanging="474"/>
        <w:spacing w:after="0" w:line="251"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May 2020 we introduced the </w:t>
      </w:r>
      <w:r>
        <w:rPr>
          <w:rFonts w:ascii="Arial" w:cs="Arial" w:eastAsia="Arial" w:hAnsi="Arial"/>
          <w:sz w:val="18"/>
          <w:szCs w:val="18"/>
          <w:i w:val="1"/>
          <w:iCs w:val="1"/>
          <w:color w:val="auto"/>
        </w:rPr>
        <w:t>Ultra C Family</w:t>
      </w:r>
      <w:r>
        <w:rPr>
          <w:rFonts w:ascii="Arial" w:cs="Arial" w:eastAsia="Arial" w:hAnsi="Arial"/>
          <w:sz w:val="18"/>
          <w:szCs w:val="18"/>
          <w:color w:val="auto"/>
        </w:rPr>
        <w:t xml:space="preserve"> of semi-critical cleaning systems, including the </w:t>
      </w:r>
      <w:r>
        <w:rPr>
          <w:rFonts w:ascii="Arial" w:cs="Arial" w:eastAsia="Arial" w:hAnsi="Arial"/>
          <w:sz w:val="18"/>
          <w:szCs w:val="18"/>
          <w:i w:val="1"/>
          <w:iCs w:val="1"/>
          <w:color w:val="auto"/>
        </w:rPr>
        <w:t>Ultra C b</w:t>
      </w:r>
      <w:r>
        <w:rPr>
          <w:rFonts w:ascii="Arial" w:cs="Arial" w:eastAsia="Arial" w:hAnsi="Arial"/>
          <w:sz w:val="18"/>
          <w:szCs w:val="18"/>
          <w:color w:val="auto"/>
        </w:rPr>
        <w:t xml:space="preserve"> for backside clean, the </w:t>
      </w:r>
      <w:r>
        <w:rPr>
          <w:rFonts w:ascii="Arial" w:cs="Arial" w:eastAsia="Arial" w:hAnsi="Arial"/>
          <w:sz w:val="18"/>
          <w:szCs w:val="18"/>
          <w:i w:val="1"/>
          <w:iCs w:val="1"/>
          <w:color w:val="auto"/>
        </w:rPr>
        <w:t>Ultra C wb</w:t>
      </w:r>
      <w:r>
        <w:rPr>
          <w:rFonts w:ascii="Arial" w:cs="Arial" w:eastAsia="Arial" w:hAnsi="Arial"/>
          <w:sz w:val="18"/>
          <w:szCs w:val="18"/>
          <w:color w:val="auto"/>
        </w:rPr>
        <w:t xml:space="preserve"> automated wet bench, and the </w:t>
      </w:r>
      <w:r>
        <w:rPr>
          <w:rFonts w:ascii="Arial" w:cs="Arial" w:eastAsia="Arial" w:hAnsi="Arial"/>
          <w:sz w:val="18"/>
          <w:szCs w:val="18"/>
          <w:i w:val="1"/>
          <w:iCs w:val="1"/>
          <w:color w:val="auto"/>
        </w:rPr>
        <w:t>Ultra C s</w:t>
      </w:r>
      <w:r>
        <w:rPr>
          <w:rFonts w:ascii="Arial" w:cs="Arial" w:eastAsia="Arial" w:hAnsi="Arial"/>
          <w:sz w:val="18"/>
          <w:szCs w:val="18"/>
          <w:color w:val="auto"/>
        </w:rPr>
        <w:t xml:space="preserve"> scrubber.</w:t>
      </w:r>
    </w:p>
    <w:p>
      <w:pPr>
        <w:spacing w:after="0" w:line="1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80" w:lineRule="exact"/>
        <w:rPr>
          <w:sz w:val="20"/>
          <w:szCs w:val="20"/>
          <w:color w:val="auto"/>
        </w:rPr>
      </w:pPr>
    </w:p>
    <w:p>
      <w:pPr>
        <w:ind w:left="480" w:hanging="474"/>
        <w:spacing w:after="0" w:line="252"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2011 we formed a wholly-owned subsidiary in the PRC, </w:t>
      </w:r>
      <w:r>
        <w:rPr>
          <w:rFonts w:ascii="Arial" w:cs="Arial" w:eastAsia="Arial" w:hAnsi="Arial"/>
          <w:sz w:val="18"/>
          <w:szCs w:val="18"/>
          <w:i w:val="1"/>
          <w:iCs w:val="1"/>
          <w:color w:val="auto"/>
        </w:rPr>
        <w:t>ACM Research (Wuxi), Inc.</w:t>
      </w:r>
      <w:r>
        <w:rPr>
          <w:rFonts w:ascii="Arial" w:cs="Arial" w:eastAsia="Arial" w:hAnsi="Arial"/>
          <w:sz w:val="18"/>
          <w:szCs w:val="18"/>
          <w:color w:val="auto"/>
        </w:rPr>
        <w:t>, which now is a wholly-owned subsidiary of ACM Shanghai, to manage sales and service operations.</w:t>
      </w:r>
    </w:p>
    <w:p>
      <w:pPr>
        <w:jc w:val="both"/>
        <w:ind w:left="480" w:hanging="474"/>
        <w:spacing w:after="0" w:line="269"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ind w:left="480" w:right="20" w:hanging="474"/>
        <w:spacing w:after="0" w:line="267"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 December 2017 we formed a subsidiary in the Republic of Korea, </w:t>
      </w:r>
      <w:r>
        <w:rPr>
          <w:rFonts w:ascii="Arial" w:cs="Arial" w:eastAsia="Arial" w:hAnsi="Arial"/>
          <w:sz w:val="17"/>
          <w:szCs w:val="17"/>
          <w:i w:val="1"/>
          <w:iCs w:val="1"/>
          <w:color w:val="auto"/>
        </w:rPr>
        <w:t>ACM Research Korea CO., LTD.</w:t>
      </w:r>
      <w:r>
        <w:rPr>
          <w:rFonts w:ascii="Arial" w:cs="Arial" w:eastAsia="Arial" w:hAnsi="Arial"/>
          <w:sz w:val="17"/>
          <w:szCs w:val="17"/>
          <w:color w:val="auto"/>
        </w:rPr>
        <w:t>, which now is an indirect wholly-owned subsidiary of ACM Shanghai, to serve our customers based in the Republic of Korea and perform sales and marketing and R&amp;D activities.</w:t>
      </w:r>
    </w:p>
    <w:p>
      <w:pPr>
        <w:ind w:left="480" w:hanging="474"/>
        <w:spacing w:after="0" w:line="245"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March 2019 ACM Shanghai formed a wholly-owned subsidiary in the PRC, </w:t>
      </w:r>
      <w:r>
        <w:rPr>
          <w:rFonts w:ascii="Arial" w:cs="Arial" w:eastAsia="Arial" w:hAnsi="Arial"/>
          <w:sz w:val="18"/>
          <w:szCs w:val="18"/>
          <w:i w:val="1"/>
          <w:iCs w:val="1"/>
          <w:color w:val="auto"/>
        </w:rPr>
        <w:t>Shengwei Research (Shanghai), Inc</w:t>
      </w:r>
      <w:r>
        <w:rPr>
          <w:rFonts w:ascii="Arial" w:cs="Arial" w:eastAsia="Arial" w:hAnsi="Arial"/>
          <w:sz w:val="18"/>
          <w:szCs w:val="18"/>
          <w:color w:val="auto"/>
        </w:rPr>
        <w:t>., or ACM Shengwei, to manage activities related to the addition of future long-term production capacity.</w:t>
      </w:r>
    </w:p>
    <w:p>
      <w:pPr>
        <w:ind w:left="480" w:hanging="474"/>
        <w:spacing w:after="0" w:line="245"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June 2019 CleanChip Technologies Limited formed a wholly-owned subsidiary in California, ACM Research (CA), Inc., to provide procurement services on behalf of ACM Shanghai.</w:t>
      </w:r>
    </w:p>
    <w:p>
      <w:pPr>
        <w:ind w:left="480" w:hanging="474"/>
        <w:spacing w:after="0" w:line="245"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August 2021 we formed a wholly-owned subsidiary in Singapore, </w:t>
      </w:r>
      <w:r>
        <w:rPr>
          <w:rFonts w:ascii="Arial" w:cs="Arial" w:eastAsia="Arial" w:hAnsi="Arial"/>
          <w:sz w:val="18"/>
          <w:szCs w:val="18"/>
          <w:i w:val="1"/>
          <w:iCs w:val="1"/>
          <w:color w:val="auto"/>
        </w:rPr>
        <w:t>ACM Research (Singapore) PTE, Ltd.,</w:t>
      </w:r>
      <w:r>
        <w:rPr>
          <w:rFonts w:ascii="Arial" w:cs="Arial" w:eastAsia="Arial" w:hAnsi="Arial"/>
          <w:sz w:val="18"/>
          <w:szCs w:val="18"/>
          <w:color w:val="auto"/>
        </w:rPr>
        <w:t xml:space="preserve"> to perform sales, marketing, and other business development activities.</w:t>
      </w:r>
    </w:p>
    <w:p>
      <w:pPr>
        <w:ind w:left="480" w:hanging="474"/>
        <w:spacing w:after="0" w:line="245"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February 2022, ACM Shanghai formed a wholly-owned subsidiary in China, </w:t>
      </w:r>
      <w:r>
        <w:rPr>
          <w:rFonts w:ascii="Arial" w:cs="Arial" w:eastAsia="Arial" w:hAnsi="Arial"/>
          <w:sz w:val="18"/>
          <w:szCs w:val="18"/>
          <w:i w:val="1"/>
          <w:iCs w:val="1"/>
          <w:color w:val="auto"/>
        </w:rPr>
        <w:t>ACM Research (Beijing), Inc.,</w:t>
      </w:r>
      <w:r>
        <w:rPr>
          <w:rFonts w:ascii="Arial" w:cs="Arial" w:eastAsia="Arial" w:hAnsi="Arial"/>
          <w:sz w:val="18"/>
          <w:szCs w:val="18"/>
          <w:color w:val="auto"/>
        </w:rPr>
        <w:t xml:space="preserve"> to perform sales, marketing and other business development activities.</w:t>
      </w:r>
    </w:p>
    <w:p>
      <w:pPr>
        <w:ind w:left="480" w:hanging="474"/>
        <w:spacing w:after="0" w:line="251"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March 2022, ACM formed a wholly-owned subsidiary in South Korea, </w:t>
      </w:r>
      <w:r>
        <w:rPr>
          <w:rFonts w:ascii="Arial" w:cs="Arial" w:eastAsia="Arial" w:hAnsi="Arial"/>
          <w:sz w:val="18"/>
          <w:szCs w:val="18"/>
          <w:i w:val="1"/>
          <w:iCs w:val="1"/>
          <w:color w:val="auto"/>
        </w:rPr>
        <w:t>Hanguk ACM CO., LTD</w:t>
      </w:r>
      <w:r>
        <w:rPr>
          <w:rFonts w:ascii="Arial" w:cs="Arial" w:eastAsia="Arial" w:hAnsi="Arial"/>
          <w:sz w:val="18"/>
          <w:szCs w:val="18"/>
          <w:color w:val="auto"/>
        </w:rPr>
        <w:t>, to perform business development and other related activities.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South Korea and throughout Asia, providing convenient access and reduced shipping and manufacturing costs.</w:t>
      </w:r>
    </w:p>
    <w:p>
      <w:pPr>
        <w:spacing w:after="0" w:line="190" w:lineRule="exact"/>
        <w:rPr>
          <w:sz w:val="20"/>
          <w:szCs w:val="20"/>
          <w:color w:val="auto"/>
        </w:rPr>
      </w:pPr>
    </w:p>
    <w:p>
      <w:pPr>
        <w:ind w:left="480" w:hanging="474"/>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ACM Shanghai’s initial factory is located in the Pudong Region of Shanghai and has a total of 36,000 square feet of available floor space.</w:t>
      </w:r>
    </w:p>
    <w:p>
      <w:pPr>
        <w:spacing w:after="0" w:line="27" w:lineRule="exact"/>
        <w:rPr>
          <w:rFonts w:ascii="Arial" w:cs="Arial" w:eastAsia="Arial" w:hAnsi="Arial"/>
          <w:sz w:val="17"/>
          <w:szCs w:val="17"/>
          <w:color w:val="auto"/>
        </w:rPr>
      </w:pPr>
    </w:p>
    <w:p>
      <w:pPr>
        <w:jc w:val="both"/>
        <w:ind w:left="480" w:hanging="474"/>
        <w:spacing w:after="0" w:line="294" w:lineRule="auto"/>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ACM Shanghai’s second production facility is located in the Chuansha district of Pudong, approximately 11 miles from our initial factory. In September 2018 we announced the opening of the first building of the second production facility. The first building initially had a total of 50,000 square feet of available floor space for production capacity, which was increased by 50,000 square feet in the second quarter of 2020. In February 2021 ACM Shanghai leased a second building immediately adjacent to the second factory, which increased the available floor space for production by another 100,000 square feet, bringing the total available floor space for production capacity of second production facility to 200,000 square feet.</w:t>
      </w:r>
    </w:p>
    <w:p>
      <w:pPr>
        <w:spacing w:after="0" w:line="2" w:lineRule="exact"/>
        <w:rPr>
          <w:rFonts w:ascii="Arial" w:cs="Arial" w:eastAsia="Arial" w:hAnsi="Arial"/>
          <w:sz w:val="15"/>
          <w:szCs w:val="15"/>
          <w:color w:val="auto"/>
        </w:rPr>
      </w:pPr>
    </w:p>
    <w:p>
      <w:pPr>
        <w:jc w:val="both"/>
        <w:ind w:left="480" w:hanging="474"/>
        <w:spacing w:after="0" w:line="245"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 with initial production of the first building to begin in the mid-2023 timeframe.</w:t>
      </w:r>
    </w:p>
    <w:p>
      <w:pPr>
        <w:spacing w:after="0" w:line="1" w:lineRule="exact"/>
        <w:rPr>
          <w:rFonts w:ascii="Arial" w:cs="Arial" w:eastAsia="Arial" w:hAnsi="Arial"/>
          <w:sz w:val="18"/>
          <w:szCs w:val="18"/>
          <w:color w:val="auto"/>
        </w:rPr>
      </w:pPr>
    </w:p>
    <w:p>
      <w:pPr>
        <w:ind w:left="480" w:hanging="474"/>
        <w:spacing w:after="0" w:line="251"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January 2022 ACM Shanghai completed the purchase of a housing facility in the Lingang region of Shanghai to assist in employee retention and recruitment in connection with its new R&amp;D center and factory currently under construction.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depicts our corporate organization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145415</wp:posOffset>
            </wp:positionV>
            <wp:extent cx="5219065" cy="1966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9065" cy="196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detailed description of how cash is transferred through our organization is set forth under “Note 2 – Summary of Significant Accounting Policies – Cash and Cash Equivalents” to the Consolidated Financial Statements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Corporate Structure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to significantly decline in value or become worthless. Please carefully read the information included in “Part II. Item 1A – Risk Factors” of this report and our Annual Report on Form 10-K for the year ended December 31, 2021 and our Quarterly Report on Form 10-Q for the quarter ended June 30, 2022, in particular the risk factors addressing the following issues:</w:t>
      </w:r>
    </w:p>
    <w:p>
      <w:pPr>
        <w:spacing w:after="0" w:line="179" w:lineRule="exact"/>
        <w:rPr>
          <w:sz w:val="20"/>
          <w:szCs w:val="20"/>
          <w:color w:val="auto"/>
        </w:rPr>
      </w:pPr>
    </w:p>
    <w:p>
      <w:pPr>
        <w:jc w:val="both"/>
        <w:ind w:left="840" w:hanging="477"/>
        <w:spacing w:after="0" w:line="306" w:lineRule="auto"/>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54" w:lineRule="exact"/>
        <w:rPr>
          <w:rFonts w:ascii="Arial" w:cs="Arial" w:eastAsia="Arial" w:hAnsi="Arial"/>
          <w:sz w:val="15"/>
          <w:szCs w:val="15"/>
          <w:color w:val="auto"/>
        </w:rPr>
      </w:pPr>
    </w:p>
    <w:p>
      <w:pPr>
        <w:ind w:left="840" w:hanging="477"/>
        <w:spacing w:after="0" w:line="264"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79" w:lineRule="exact"/>
        <w:rPr>
          <w:rFonts w:ascii="Arial" w:cs="Arial" w:eastAsia="Arial" w:hAnsi="Arial"/>
          <w:sz w:val="18"/>
          <w:szCs w:val="18"/>
          <w:color w:val="auto"/>
        </w:rPr>
      </w:pPr>
    </w:p>
    <w:p>
      <w:pPr>
        <w:ind w:left="840" w:hanging="477"/>
        <w:spacing w:after="0" w:line="365" w:lineRule="auto"/>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PRC central government may determine to exert additional control over offerings conducted overseas or foreign investment in PRC-based issuers, which could result in a material change in operations of ACM Shanghai and the value of ACM Research Class A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Permissions or Approvals to Operate in the PRC</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on ACM Shanghai or ACM Research.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ACM Research is not a PRC operating company, and we do not conduct our operations in the PRC through the use of a variable interest entity, or VIE, or any other structure designed for the purpose of avoiding PRC legal restrictions on direct foreign investments in PRC-based companies. ACM Research has a direct ownership interest in ACM Shanghai as the result of its holding 82.5% of the outstanding shares of ACM Shanghai. Stockholders of ACM Research may never directly own equity interests in ACM Shanghai. As a result, we have determined that our corporate structure or any other matters relating to our business operations require that we obtain any permissions or approvals from the China Securities Regulatory Commission, the Cyberspace Administration of China, or any other PRC central government authority in order to continue to list shares of Class A common stock of ACM Research on the Nasdaq Global Select Market. This determination was based on the facts aforementioned and the PRC Company Law, PRC Securities Law, cybersecurity regulations and other relevant laws, regulations and regulatory requirements in the PRC currently in effect. However, if this determination proves to be incorrect, then it could have a material adverse effect on ACM Research. See “Part II. Item IA, Risk Factors— 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w:t>
      </w:r>
    </w:p>
    <w:p>
      <w:pPr>
        <w:spacing w:after="0" w:line="37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in the ordinary course of business, ACM Shanghai is required to obtain certain operating permits and licenses necessary for it to operate in the PRC,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PRC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PRC regulatory authorities, it could have a material adverse effect on our business, financial condition, results of operations, reputation and prospects and on the trading price of ACM Research Class A common stock.</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See “Part II. Item 1A—Risk Factors—Risks Related to International Aspects of Our Business—PRC central government authorities may intervene in, or influence, ACM Shanghai’s PRC-based operations at any time, and those authorities’ rules and regulations in the PRC can change quickly with little or no advance notice”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Registered Public Accounting Firm</w:t>
      </w:r>
    </w:p>
    <w:p>
      <w:pPr>
        <w:spacing w:after="0" w:line="22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U.S. Holding Foreign Companies Accountable Act (the “HFCA Act”) requires that the Public Company Accounting Oversight Board (the “PCAOB”) determine whether it is unable to inspect or investigate completely registered public accounting firms located in a non-U.S. jurisdiction because of a position taken by one or more authorities in that jurisdiction. BDO China Shu Lun Pan Certified Public Accountants LLP (“BDO China”) had been our independent registered public accounting firm in recent years, including for the year ended December 31, 2021.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“Part II. Item 1A, Risk Factors— We could be adversely affected if we are unable to comply with recent and proposed legislation and regulations regarding improved access to audit and other information and audit inspections of accounting firms operating in the PRC” of this report for more information. Under current regulations, if ACM Research were to be included on this list three consecutive times due to our independent auditor being located in a jurisdiction that does not allow for PCAOB inspections, the SEC could prohibit trading in our securities and cause our securities to be delisted in the U.S., and their value may significantly decline or become worthless. Further, the “Accelerating HFCAA” could reduce the applicable threshold from three consecutive appearances to two consecutive appearances on the list. However, on June 30, 2022, stockholders of ACM Research ratified the appointment of Armanino LLP as our independent auditor for the fiscal year ending December 31, 2022. Armanino LLP is neither headquartered in the PRC or Hong Kong nor is it subject to the determinations announced by the PCAOB, and subsequent to the filing of our 2022 annual report, we do not believe ACM Research will appear on the “Conclusive” list for a second time.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4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Revenue from wet-cleaning and other front-end processing tools totaled $117.9 million, or 88.2% of total revenue, for the three months ended September 30, 2022, as compared to $49.4 million, or 73.8% of total revenue, for the same period in 2021. Revenue from wet-cleaning and other front-end processing tools totaled $229.2 million, or 81.8% of total revenue, for the nine months ended September 30, 2022, as compared to $127.3 million, or 77.3% of total revenue, for the same period in 2021. Selling prices for our wet-cleaning and other front-end processing tools range from $0.7 million to more than $5 million. Our customers for wet-cleaning and other front-end processing tools have included Huali Microelectronics Corporation, The Huahong Group, Semiconductor Manufacturing International Corporation, or SMIC, Shanghai SK Hynix Inc., Yangtze Memory Technologies Co., Ltd, and ChangXin Memory Technologies.</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Revenue from advanced packaging, other back-end processing tools, services and spares totaled $15.8 million, or 11.8% of total revenue, for the three months ended September 30, 2022, as compared to $17.6 million, or 26.2% of total revenue, for the same period in 2021. Revenue from advanced packaging, other back-end processing tools, services and spares totaled $51.1 million, or 18.2% of total revenue, for the nine months ended September 30, 2022, as compared to $37.3 million, or 22.7% of total revenue, for the same period in 2021. Selling prices for these tools range from $0.5 million to $4 million. Our customers for advanced packaging, and other processing tools have included: Jiangyin Changdian Advanced Packaging Co. Ltd., a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PRC-based wafer supplier.</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estimate, based on third-party reports and on customer and other information, that our current product portfolio addresses approximately $8 billion of the global wafer equipment market. By product line, we estimate an approximately $3.7 billion market opportunity is addressed by our wafer cleaning equipment, $2.9 billion by our furnace equipment, $730 million by our electro-chemical plating or ECP equipment, and more than $650 million by our stress-free polishing, advanced packaging, wafer processing, and other processing equipment. By major equipment segment, Gartner estimates a 2021 worldwide semiconductor wafer fab equipment, or WFE, market size of $88.1 billion, of which $4.1 billion is for wafer cleaning equipment (auto wet stations, single-wafer spray processors, batch spray processors, and other clean process equipment), $3.4 billion is for furnace equipment (tube CVD, oxidation/diffusion furnace, and batch atomic layer deposition), and $764 million is for electro-chemical deposition, or ECD. Based on Gartner’s estimates, total available global market for these equipment segments increased by 30.1% from $6.4 billion in 2020 to $8.3 billion in 2021, and is expected to increase by 8.3% to $8.9 billion in 2022. These segments are part of the worldwide semiconductor WFE market, which based on Gartner’s estimates increased by 35.6% from $64.9 billion in 2020 to $88.1 billion in 2021, and is expected to increase by 10.7% to $97.5 billion in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13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Since 2009 we have delivered more than 335 wet-cleaning and other front-end processing tools, more than 270 of which have been accepted by customers and thereby generated revenue to us. The balance of the delivered tools are awaiting customer acceptance should contractual conditions be met. To date, a substantial majority of our sales of single-wafer wet-cleaning equipment for front-end manufacturing have been to customers located in Asia, and we anticipate that a substantial majority of our revenue from these products will continue to come from customers located in this region for the foreseeable future.</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begun to add to our efforts to further address customers in North America, Western Europe and Southeast Asia by expanding our direct sales and services teams and increasing our global marketing activities. Our U.S. operation includes sales, marketing and services personnel to expand and support major new customer initiatives for the products of ACM Shanghai to additional regions beyond mainland China. As of September 30, 2022, we have delivered one tool for evaluation to a U.S. lab of a global semiconductor capital equipment vendor, and two tools to the U.S. facility of a major U.S. semiconductor manufacturer. Both of these evaluations are supported by our U.S. services team.</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building a strategic portfolio of intellectual property to support and protect our key innovations. Our tools have been developed using our key proprietary technologies:</w:t>
      </w:r>
    </w:p>
    <w:p>
      <w:pPr>
        <w:spacing w:after="0" w:line="180" w:lineRule="exact"/>
        <w:rPr>
          <w:sz w:val="20"/>
          <w:szCs w:val="20"/>
          <w:color w:val="auto"/>
        </w:rPr>
      </w:pPr>
    </w:p>
    <w:p>
      <w:pPr>
        <w:jc w:val="both"/>
        <w:ind w:left="480" w:hanging="474"/>
        <w:spacing w:after="0" w:line="248"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Space Alternated Phase Shift, or SAPS, technology for flat and patterned (deep via or deep trench with stronger structure) wafer surfaces. </w:t>
      </w:r>
      <w:r>
        <w:rPr>
          <w:rFonts w:ascii="Arial" w:cs="Arial" w:eastAsia="Arial" w:hAnsi="Arial"/>
          <w:sz w:val="18"/>
          <w:szCs w:val="18"/>
          <w:color w:val="auto"/>
        </w:rPr>
        <w:t>SAPS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spacing w:after="0" w:line="2" w:lineRule="exact"/>
        <w:rPr>
          <w:rFonts w:ascii="Arial" w:cs="Arial" w:eastAsia="Arial" w:hAnsi="Arial"/>
          <w:sz w:val="18"/>
          <w:szCs w:val="18"/>
          <w:color w:val="auto"/>
        </w:rPr>
      </w:pPr>
    </w:p>
    <w:p>
      <w:pPr>
        <w:jc w:val="both"/>
        <w:ind w:left="480" w:hanging="474"/>
        <w:spacing w:after="0" w:line="212" w:lineRule="exact"/>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Timely Energized Bubble Oscillation, or TEBO, technology for patterned wafer surfaces at advanced process nodes</w:t>
      </w:r>
      <w:r>
        <w:rPr>
          <w:rFonts w:ascii="Arial" w:cs="Arial" w:eastAsia="Arial" w:hAnsi="Arial"/>
          <w:sz w:val="15"/>
          <w:szCs w:val="15"/>
          <w:color w:val="auto"/>
        </w:rPr>
        <w:t>. TEBO technology has been</w:t>
      </w:r>
      <w:r>
        <w:rPr>
          <w:rFonts w:ascii="Arial" w:cs="Arial" w:eastAsia="Arial" w:hAnsi="Arial"/>
          <w:sz w:val="15"/>
          <w:szCs w:val="15"/>
          <w:i w:val="1"/>
          <w:iCs w:val="1"/>
          <w:color w:val="auto"/>
        </w:rPr>
        <w:t xml:space="preserve"> </w:t>
      </w:r>
      <w:r>
        <w:rPr>
          <w:rFonts w:ascii="Arial" w:cs="Arial" w:eastAsia="Arial" w:hAnsi="Arial"/>
          <w:sz w:val="15"/>
          <w:szCs w:val="15"/>
          <w:color w:val="auto"/>
        </w:rPr>
        <w:t>developed to 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1.</w:t>
      </w:r>
    </w:p>
    <w:p>
      <w:pPr>
        <w:spacing w:after="0" w:line="1" w:lineRule="exact"/>
        <w:rPr>
          <w:rFonts w:ascii="Arial" w:cs="Arial" w:eastAsia="Arial" w:hAnsi="Arial"/>
          <w:sz w:val="15"/>
          <w:szCs w:val="15"/>
          <w:color w:val="auto"/>
        </w:rPr>
      </w:pPr>
    </w:p>
    <w:p>
      <w:pPr>
        <w:ind w:left="480" w:hanging="474"/>
        <w:spacing w:after="0" w:line="245"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Tahoe technology for cost and environmental savings. </w:t>
      </w:r>
      <w:r>
        <w:rPr>
          <w:rFonts w:ascii="Arial" w:cs="Arial" w:eastAsia="Arial" w:hAnsi="Arial"/>
          <w:sz w:val="18"/>
          <w:szCs w:val="18"/>
          <w:color w:val="auto"/>
        </w:rPr>
        <w:t>Tahoe technology delivers high cleaning performance using significantly less sulfuric acid and</w:t>
      </w:r>
      <w:r>
        <w:rPr>
          <w:rFonts w:ascii="Arial" w:cs="Arial" w:eastAsia="Arial" w:hAnsi="Arial"/>
          <w:sz w:val="18"/>
          <w:szCs w:val="18"/>
          <w:i w:val="1"/>
          <w:iCs w:val="1"/>
          <w:color w:val="auto"/>
        </w:rPr>
        <w:t xml:space="preserve"> </w:t>
      </w:r>
      <w:r>
        <w:rPr>
          <w:rFonts w:ascii="Arial" w:cs="Arial" w:eastAsia="Arial" w:hAnsi="Arial"/>
          <w:sz w:val="18"/>
          <w:szCs w:val="18"/>
          <w:color w:val="auto"/>
        </w:rPr>
        <w:t>hydrogen peroxide than is typically consumed by conventional high-temperature single-wafer cleaning tools.</w:t>
      </w:r>
    </w:p>
    <w:p>
      <w:pPr>
        <w:jc w:val="both"/>
        <w:ind w:left="480" w:hanging="474"/>
        <w:spacing w:after="0" w:line="312" w:lineRule="auto"/>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ECP technology for advanced metal plating. </w:t>
      </w:r>
      <w:r>
        <w:rPr>
          <w:rFonts w:ascii="Arial" w:cs="Arial" w:eastAsia="Arial" w:hAnsi="Arial"/>
          <w:sz w:val="15"/>
          <w:szCs w:val="15"/>
          <w:color w:val="auto"/>
        </w:rPr>
        <w:t>Our Ultra ECP ap, or Advanced Packaging, technology was developed for back-end assembly processes to</w:t>
      </w:r>
      <w:r>
        <w:rPr>
          <w:rFonts w:ascii="Arial" w:cs="Arial" w:eastAsia="Arial" w:hAnsi="Arial"/>
          <w:sz w:val="15"/>
          <w:szCs w:val="15"/>
          <w:i w:val="1"/>
          <w:iCs w:val="1"/>
          <w:color w:val="auto"/>
        </w:rPr>
        <w:t xml:space="preserve"> </w:t>
      </w:r>
      <w:r>
        <w:rPr>
          <w:rFonts w:ascii="Arial" w:cs="Arial" w:eastAsia="Arial" w:hAnsi="Arial"/>
          <w:sz w:val="15"/>
          <w:szCs w:val="15"/>
          <w:color w:val="auto"/>
        </w:rPr>
        <w:t>deliver 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w:t>
      </w:r>
    </w:p>
    <w:p>
      <w:pPr>
        <w:spacing w:after="0" w:line="1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We have been issued more than 411 patents in the United States, the People’s Republic of China, or PRC, Japan, Singapore, South Korea and Taiwan.</w:t>
      </w:r>
    </w:p>
    <w:p>
      <w:pPr>
        <w:spacing w:after="0" w:line="25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now encompass a total of 236,000 square feet of floor space for production capacity, with 100,000 square feet having been added in 2021 with the lease of a second building in the Pudong region of Shanghai. In May 2020 ACM Shanghai, through its wholly-owned subsidiary Shengwei Research (Shanghai), Inc., entered into an agreement for a land use right in the Lingang region of Shanghai. In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increased production capacity and related research and development, or R&amp;D, activities. We expect to complete construction of the first Lingang manufacturing building and commence initial production in the mid-2023 timeframe. Our experience has shown that chip manufacturers in the PRC and throughout Asia demand equipment meeting their specific technical requirements and prefer building relationships with local suppliers. We will continue to seek to leverage our local presence in the PRC and South Korea through our subsidiaries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COVID–19</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in economic uncertainty and global economic policies that could reduce demand for the Company’s products and its customers’ chips and have a material adverse impact on the Company’s business, operating results and financial condition. For an explanation of some of the risks we potentially face, please read carefully the information provided under “Item 1A. Risk Factors—Risks Related to the COVID–19 Pandemic,” of part I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reflects our expectations and estimates based on information known to us as of the date of this filing:</w:t>
      </w:r>
    </w:p>
    <w:p>
      <w:pPr>
        <w:spacing w:after="0" w:line="217" w:lineRule="exact"/>
        <w:rPr>
          <w:sz w:val="20"/>
          <w:szCs w:val="20"/>
          <w:color w:val="auto"/>
        </w:rPr>
      </w:pPr>
    </w:p>
    <w:p>
      <w:pPr>
        <w:ind w:left="480" w:hanging="474"/>
        <w:spacing w:after="0" w:line="294"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Operations</w:t>
      </w:r>
      <w:r>
        <w:rPr>
          <w:rFonts w:ascii="Arial" w:cs="Arial" w:eastAsia="Arial" w:hAnsi="Arial"/>
          <w:sz w:val="17"/>
          <w:szCs w:val="17"/>
          <w:color w:val="auto"/>
        </w:rPr>
        <w:t>: We conduct substantially all of our product development, manufacturing, support and services in the PRC through ACM Shanghai, and</w:t>
      </w:r>
      <w:r>
        <w:rPr>
          <w:rFonts w:ascii="Arial" w:cs="Arial" w:eastAsia="Arial" w:hAnsi="Arial"/>
          <w:sz w:val="17"/>
          <w:szCs w:val="17"/>
          <w:i w:val="1"/>
          <w:iCs w:val="1"/>
          <w:color w:val="auto"/>
        </w:rPr>
        <w:t xml:space="preserve"> </w:t>
      </w:r>
      <w:r>
        <w:rPr>
          <w:rFonts w:ascii="Arial" w:cs="Arial" w:eastAsia="Arial" w:hAnsi="Arial"/>
          <w:sz w:val="17"/>
          <w:szCs w:val="17"/>
          <w:color w:val="auto"/>
        </w:rPr>
        <w:t>those activities have been directly impacted by COVID–19 and related restrictions on transportation and public appearances.</w:t>
      </w:r>
    </w:p>
    <w:p>
      <w:pPr>
        <w:spacing w:after="0" w:line="156" w:lineRule="exact"/>
        <w:rPr>
          <w:rFonts w:ascii="Arial" w:cs="Arial" w:eastAsia="Arial" w:hAnsi="Arial"/>
          <w:sz w:val="17"/>
          <w:szCs w:val="17"/>
          <w:color w:val="auto"/>
        </w:rPr>
      </w:pPr>
    </w:p>
    <w:p>
      <w:pPr>
        <w:jc w:val="both"/>
        <w:ind w:left="480"/>
        <w:spacing w:after="0" w:line="300" w:lineRule="auto"/>
        <w:rPr>
          <w:rFonts w:ascii="Arial" w:cs="Arial" w:eastAsia="Arial" w:hAnsi="Arial"/>
          <w:sz w:val="17"/>
          <w:szCs w:val="17"/>
          <w:color w:val="auto"/>
        </w:rPr>
      </w:pPr>
      <w:r>
        <w:rPr>
          <w:rFonts w:ascii="Arial" w:cs="Arial" w:eastAsia="Arial" w:hAnsi="Arial"/>
          <w:sz w:val="15"/>
          <w:szCs w:val="15"/>
          <w:color w:val="auto"/>
        </w:rPr>
        <w:t>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Furthermore, a number of our customers have substantial operations based in operations areas of the PRC, including in the City of Shanghai, subject to the full-city restrictions, which began limiting the operations of those customers since the first quarter of 2022, including inhibiting their ability to receive, implement and operate new tools for their manufacturing facilities. As a result, in some cases, ACM Shanghai has been required to defer shipments of finished products to these customers because of operational and logistics limitations affecting customers rather than, or in addition to, ACM Shanghai.</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ind w:left="480"/>
        <w:spacing w:after="0" w:line="251" w:lineRule="auto"/>
        <w:rPr>
          <w:sz w:val="20"/>
          <w:szCs w:val="20"/>
          <w:color w:val="auto"/>
        </w:rPr>
      </w:pPr>
      <w:r>
        <w:rPr>
          <w:rFonts w:ascii="Arial" w:cs="Arial" w:eastAsia="Arial" w:hAnsi="Arial"/>
          <w:sz w:val="18"/>
          <w:szCs w:val="18"/>
          <w:color w:val="auto"/>
        </w:rPr>
        <w:t>In late April 2022, ACM Shanghai began to resume some operations at the Chuansha manufacturing site using the “closed loop method,” in which a limited collection of workers remains together as a group between a single hotel, the ACM Shanghai facility, and a dedicated bus transportation route, also referred to as “two spots and one line,” and had resumed substantially all of its Chuansha manufacturing site operations by the end of the second quarter of 2022.</w:t>
      </w:r>
    </w:p>
    <w:p>
      <w:pPr>
        <w:spacing w:after="0" w:line="193" w:lineRule="exact"/>
        <w:rPr>
          <w:sz w:val="20"/>
          <w:szCs w:val="20"/>
          <w:color w:val="auto"/>
        </w:rPr>
      </w:pPr>
    </w:p>
    <w:p>
      <w:pPr>
        <w:jc w:val="both"/>
        <w:ind w:left="480"/>
        <w:spacing w:after="0" w:line="264" w:lineRule="auto"/>
        <w:rPr>
          <w:sz w:val="20"/>
          <w:szCs w:val="20"/>
          <w:color w:val="auto"/>
        </w:rPr>
      </w:pPr>
      <w:r>
        <w:rPr>
          <w:rFonts w:ascii="Arial" w:cs="Arial" w:eastAsia="Arial" w:hAnsi="Arial"/>
          <w:sz w:val="17"/>
          <w:szCs w:val="17"/>
          <w:color w:val="auto"/>
        </w:rPr>
        <w:t>In mid-June 2022, substantially all of ACM Shanghai’s R&amp;D and administrative employees at its Zhangjiang facility were allowed to return to work under strict safety protocols after a period of restricted access to the building that for many employees was partially mitigated by being able to work from home. ACM Shanghai has established several policies to help avoid or limit future outbreaks among employees and thus protect employee safety and limit the possibility of a facility reclosing. We anticipate that the effects of the PRC restrictions may continue for several months, with a gradual return of PRC operations, production capacity, and global logistics as Shanghai and other areas in the PRC begin to reopen. We cannot assure that closures or reductions of PRC operations or production, whether of ACM Shanghai or of some of its key customers, may not be extended in upcoming months as the result of business interruptions arising from protective measures being taken by the PRC and other governmental agencies or of other consequences of COVID-19.</w:t>
      </w:r>
    </w:p>
    <w:p>
      <w:pPr>
        <w:spacing w:after="0" w:line="18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corporate headquarters are located in Fremont, California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 To date we have not experienced absenteeism of management or other key employees, other than certain of our executive officers being delayed in traveling between the PRC, our California office, and other global locations.</w:t>
      </w:r>
    </w:p>
    <w:p>
      <w:pPr>
        <w:spacing w:after="0" w:line="145" w:lineRule="exact"/>
        <w:rPr>
          <w:sz w:val="20"/>
          <w:szCs w:val="20"/>
          <w:color w:val="auto"/>
        </w:rPr>
      </w:pPr>
    </w:p>
    <w:p>
      <w:pPr>
        <w:jc w:val="both"/>
        <w:ind w:left="480" w:hanging="474"/>
        <w:spacing w:after="0" w:line="264"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Our customers’, including the customers of ACM Shanghai, business operations have been, and are continuing to be, subject to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interruptions arising from the COVID–19 pandemic. Historically substantially all of our revenue has been derived from customers located in the PRC and surrounding areas that have been impacted by COVID–19. Two customers that accounted for 48.9% of our revenue in 2021 are based in the PRC, and three customers that accounted for 75.8% of our revenue in 2020, and 73.8% of our revenue in 2019 are based in the PRC and South Korea. One of those customers, Yangtze Memory Technologies Co., Ltd. — which accounted for 20.2% of our 2021 revenue, 26.8% of our 2020 revenue, and 27.5% of our 2019 revenue — is based in Wuhan. While Yangtze Memory Technologies Co., Ltd. and other key customers continued to operate their fabrication facilities without interruption during and after the first quarter of 2020, some customers have been forced to restrict access of service personnel and deliveries to and from their facilities. We have experienced longer and in some cases more costly shipping expenses in the delivery of tools to certain customers.</w:t>
      </w:r>
    </w:p>
    <w:p>
      <w:pPr>
        <w:spacing w:after="0" w:line="182" w:lineRule="exact"/>
        <w:rPr>
          <w:rFonts w:ascii="Arial" w:cs="Arial" w:eastAsia="Arial" w:hAnsi="Arial"/>
          <w:sz w:val="17"/>
          <w:szCs w:val="17"/>
          <w:color w:val="auto"/>
        </w:rPr>
      </w:pPr>
    </w:p>
    <w:p>
      <w:pPr>
        <w:jc w:val="both"/>
        <w:ind w:left="480" w:hanging="474"/>
        <w:spacing w:after="0" w:line="250"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Suppliers</w:t>
      </w:r>
      <w:r>
        <w:rPr>
          <w:rFonts w:ascii="Arial" w:cs="Arial" w:eastAsia="Arial" w:hAnsi="Arial"/>
          <w:sz w:val="18"/>
          <w:szCs w:val="18"/>
          <w:color w:val="auto"/>
        </w:rPr>
        <w:t>: Our global supply chain includes components sourced from the PRC, Japan, Taiwan, the United States and Europe. While, to date,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 experienced material issues with our supply chain beyond the logistics related to the Shanghai facilities of ACM Shanghai, supply chain constraints have intensified due to COVID-19, contributing to global shortages in the supply of semiconductors and other materials, and in some cases the pricing of materials used in the production of our own tools. As with our customers, we continue to be in close contact with our key suppliers to help ensure we are able to identify any potential supply issues that may arise.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ind w:left="480" w:hanging="474"/>
        <w:spacing w:after="0" w:line="251"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Projects</w:t>
      </w:r>
      <w:r>
        <w:rPr>
          <w:rFonts w:ascii="Arial" w:cs="Arial" w:eastAsia="Arial" w:hAnsi="Arial"/>
          <w:sz w:val="18"/>
          <w:szCs w:val="18"/>
          <w:color w:val="auto"/>
        </w:rPr>
        <w:t>: Our strategy includes a number of plans to support the growth of our core business, including ACM Shanghai’s acquisition of a land use right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Lingang area of Shanghai where ACM Shanghai began construction of a new R&amp;D center and factory in July 2020. The extent to which COVID– 19 impacts these projects will depend on future developments that are highly uncertain, but to date, the timing of these ongoing projects has not been delayed or significantly disrupted by COVID–19 or related government measures.</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first six months of 2022, the Company experienced a negative impact to revenue and shipments as a result of restricted access and logistics to its Shanghai-based production and administrative facilities. Thirteen tools amounting to $13 million in revenue and $24 million in shipments that could not be shipped to customers in the three-months ended March 30, 2022 were subsequently shipped in the three months ended June 30, 2022. As a result of the restrictions, the Company experienced a modest increase to operational costs due to increased logistics costs and inefficiencies that resulted from the restrictions, and an increase in cash used in operations due in part to an increase in accounts receivables that resulted from a shift of shipments towards the latter part of the period.</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three and nine-months ended September 30, 2022, the Company experienced general inefficiencies in administrative, research and development and other activities due to some employees who were required to quarantine ‘in place’ at their residence due presumably to the detected possible exposure to COVID infections. In many cases, the employees were able to work remotely to mitigate the effects. The Company anticipates the PRC’s zero-covid policy will impact its PRC operations for the foreseeable future in the form of regular testing and/or required quarantines-in-place. The Company cannot assure that closures or reductions of operations or production, whether of ACM Shanghai or of some of its key customers, may not be extended or re-introduced during the remainder of 2022 as the result of business interruptions arising from protective measures being taken by the PRC and other governmental agencies or of other consequences of COVID-19.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operations and comprehensive income as follows:</w:t>
      </w:r>
    </w:p>
    <w:p>
      <w:pPr>
        <w:spacing w:after="0" w:line="190" w:lineRule="exact"/>
        <w:rPr>
          <w:sz w:val="20"/>
          <w:szCs w:val="20"/>
          <w:color w:val="auto"/>
        </w:rPr>
      </w:pPr>
    </w:p>
    <w:p>
      <w:pPr>
        <w:jc w:val="both"/>
        <w:ind w:left="840" w:hanging="477"/>
        <w:spacing w:after="0" w:line="329" w:lineRule="auto"/>
        <w:tabs>
          <w:tab w:leader="none" w:pos="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Government subsidies relating to current expenses are recorded as reductions of those expenses in the periods in which the current expenses are recorded. For the nine months ended September 30, 2022 and 2021, related government subsidies recognized as reductions of relevant expenses in the consolidated statements of operations and comprehensive income (loss) were $0.3 million and $7.1 million, respectively.</w:t>
      </w:r>
    </w:p>
    <w:p>
      <w:pPr>
        <w:spacing w:after="0" w:line="137" w:lineRule="exact"/>
        <w:rPr>
          <w:rFonts w:ascii="Arial" w:cs="Arial" w:eastAsia="Arial" w:hAnsi="Arial"/>
          <w:sz w:val="15"/>
          <w:szCs w:val="15"/>
          <w:color w:val="auto"/>
        </w:rPr>
      </w:pPr>
    </w:p>
    <w:p>
      <w:pPr>
        <w:jc w:val="both"/>
        <w:ind w:left="840" w:hanging="477"/>
        <w:spacing w:after="0" w:line="254"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nine months ended September 30, 2022 and 2021, related government subsidies recognized as other income in the consolidated statements of operations and comprehensive income (loss) were $232,000 and $136,000,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Unearned government subsidies received are deferred for recognition and recorded as other long-term liabilities (see Note 13 in the Notes to Condensed Consolidated Financial Statements included herein under “Item 1. Financial Statements.”) in the balance sheet until the criteria for such recognition are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were no significant changes in our critical accounting policies or significant judgments or estimates during the three months ended September 30, 2022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For information regarding the impact of recently adopted accounting standards, refer to note 2 to the condensed consolidated financial statements included 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discussion of recent accounting pronouncements is included in our Annual Report and is updated in note 2 to the condensed consolidated financial statements included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0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8"/>
              </w:rPr>
              <w:t>Three Months Ended September 30,</w:t>
            </w:r>
          </w:p>
        </w:tc>
        <w:tc>
          <w:tcPr>
            <w:tcW w:w="28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5"/>
        </w:trPr>
        <w:tc>
          <w:tcPr>
            <w:tcW w:w="624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55.7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53.7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margin</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Total operating expenses, net</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from sale of trading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Unrealized gain (loss) on trading securities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Equity income in net income of affiliates</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ACM Research, Inc.</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540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jc w:val="right"/>
              <w:ind w:right="458"/>
              <w:spacing w:after="0"/>
              <w:rPr>
                <w:sz w:val="20"/>
                <w:szCs w:val="20"/>
                <w:color w:val="auto"/>
              </w:rPr>
            </w:pPr>
            <w:r>
              <w:rPr>
                <w:rFonts w:ascii="Arial" w:cs="Arial" w:eastAsia="Arial" w:hAnsi="Arial"/>
                <w:sz w:val="14"/>
                <w:szCs w:val="14"/>
                <w:color w:val="auto"/>
              </w:rPr>
              <w:t>48</w:t>
            </w: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8"/>
              </w:rPr>
              <w:t>Table of Contents</w:t>
            </w:r>
          </w:p>
        </w:tc>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55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8"/>
              </w:rPr>
              <w:t>Comparison of Three Months Ended September 30, 2022 and 2021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560" w:type="dxa"/>
            <w:vAlign w:val="bottom"/>
            <w:gridSpan w:val="3"/>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80"/>
              <w:spacing w:after="0" w:line="194" w:lineRule="exact"/>
              <w:rPr>
                <w:sz w:val="20"/>
                <w:szCs w:val="20"/>
                <w:color w:val="auto"/>
              </w:rPr>
            </w:pPr>
            <w:r>
              <w:rPr>
                <w:rFonts w:ascii="Arial" w:cs="Arial" w:eastAsia="Arial" w:hAnsi="Arial"/>
                <w:sz w:val="18"/>
                <w:szCs w:val="18"/>
                <w:b w:val="1"/>
                <w:bCs w:val="1"/>
                <w:color w:val="auto"/>
                <w:w w:val="91"/>
              </w:rPr>
              <w:t>% Change</w:t>
            </w:r>
          </w:p>
        </w:tc>
        <w:tc>
          <w:tcPr>
            <w:tcW w:w="1500" w:type="dxa"/>
            <w:vAlign w:val="bottom"/>
            <w:gridSpan w:val="4"/>
          </w:tcPr>
          <w:p>
            <w:pPr>
              <w:ind w:left="120"/>
              <w:spacing w:after="0" w:line="194" w:lineRule="exact"/>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000" w:type="dxa"/>
            <w:vAlign w:val="bottom"/>
            <w:gridSpan w:val="2"/>
          </w:tcPr>
          <w:p>
            <w:pPr>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3"/>
          </w:tcPr>
          <w:p>
            <w:pPr>
              <w:jc w:val="right"/>
              <w:ind w:right="20"/>
              <w:spacing w:after="0"/>
              <w:rPr>
                <w:sz w:val="20"/>
                <w:szCs w:val="20"/>
                <w:color w:val="auto"/>
              </w:rPr>
            </w:pPr>
            <w:r>
              <w:rPr>
                <w:rFonts w:ascii="Arial" w:cs="Arial" w:eastAsia="Arial" w:hAnsi="Arial"/>
                <w:sz w:val="17"/>
                <w:szCs w:val="17"/>
                <w:i w:val="1"/>
                <w:iCs w:val="1"/>
                <w:color w:val="auto"/>
                <w:w w:val="71"/>
              </w:rPr>
              <w:t>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133,709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66,696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 wafer cleaning, Tahoe and semi-critical cleaning equipment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99,720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260" w:type="dxa"/>
            <w:vAlign w:val="bottom"/>
          </w:tcPr>
          <w:p>
            <w:pPr>
              <w:spacing w:after="0"/>
              <w:rPr>
                <w:sz w:val="18"/>
                <w:szCs w:val="18"/>
                <w:color w:val="auto"/>
              </w:rPr>
            </w:pPr>
          </w:p>
        </w:tc>
        <w:tc>
          <w:tcPr>
            <w:tcW w:w="1100" w:type="dxa"/>
            <w:vAlign w:val="bottom"/>
            <w:gridSpan w:val="2"/>
          </w:tcPr>
          <w:p>
            <w:pPr>
              <w:jc w:val="right"/>
              <w:ind w:right="37"/>
              <w:spacing w:after="0"/>
              <w:rPr>
                <w:sz w:val="20"/>
                <w:szCs w:val="20"/>
                <w:color w:val="auto"/>
              </w:rPr>
            </w:pPr>
            <w:r>
              <w:rPr>
                <w:rFonts w:ascii="Arial" w:cs="Arial" w:eastAsia="Arial" w:hAnsi="Arial"/>
                <w:sz w:val="18"/>
                <w:szCs w:val="18"/>
                <w:color w:val="auto"/>
              </w:rPr>
              <w:t>24,521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8,200</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9,468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133,709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67,013</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66,696</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Wet-cleaning and other front-end processing tools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7"/>
              <w:spacing w:after="0"/>
              <w:rPr>
                <w:sz w:val="20"/>
                <w:szCs w:val="20"/>
                <w:color w:val="auto"/>
              </w:rPr>
            </w:pPr>
            <w:r>
              <w:rPr>
                <w:rFonts w:ascii="Arial" w:cs="Arial" w:eastAsia="Arial" w:hAnsi="Arial"/>
                <w:sz w:val="18"/>
                <w:szCs w:val="18"/>
                <w:color w:val="auto"/>
              </w:rPr>
              <w:t>117,941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49,448</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68,493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Advanced packaging, other processing tools, services and spares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15,768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Front and Back-End</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133,709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67,013</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99.5%</w:t>
            </w:r>
          </w:p>
        </w:tc>
        <w:tc>
          <w:tcPr>
            <w:tcW w:w="2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66,696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Revenue increased by $66.7 million in the three months ended September 30, 2022 as compared to the same period in 2021. The increase was driven primarily by higher sales of single wafer cleaning, Tahoe and semi-critical cleaning equipment, and increased contribution from newer ECP (front-end and packaging), furnace and other technologies. The impact to our Shanghai production operations from COVID-19-related restrictions was lower for the period as compared to the impact experienced during the first six months of 2022. The increased demand from PRC-based customers is due in part to their longer term commitment to increase production capacity to achieve a greater share of the mainland China semiconductor market.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3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Three Months Ended September 30,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3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3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3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i w:val="1"/>
                <w:iCs w:val="1"/>
                <w:color w:val="auto"/>
              </w:rPr>
              <w:t>(in</w:t>
            </w:r>
          </w:p>
        </w:tc>
        <w:tc>
          <w:tcPr>
            <w:tcW w:w="680" w:type="dxa"/>
            <w:vAlign w:val="bottom"/>
            <w:gridSpan w:val="2"/>
          </w:tcPr>
          <w:p>
            <w:pPr>
              <w:jc w:val="center"/>
              <w:spacing w:after="0"/>
              <w:rPr>
                <w:sz w:val="20"/>
                <w:szCs w:val="20"/>
                <w:color w:val="auto"/>
              </w:rPr>
            </w:pPr>
            <w:r>
              <w:rPr>
                <w:rFonts w:ascii="Arial" w:cs="Arial" w:eastAsia="Arial" w:hAnsi="Arial"/>
                <w:sz w:val="18"/>
                <w:szCs w:val="18"/>
                <w:i w:val="1"/>
                <w:iCs w:val="1"/>
                <w:color w:val="auto"/>
                <w:w w:val="71"/>
              </w:rPr>
              <w:t>thousands)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67,742</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37,328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30,414</w:t>
            </w:r>
          </w:p>
        </w:tc>
      </w:tr>
      <w:tr>
        <w:trPr>
          <w:trHeight w:val="212"/>
        </w:trPr>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65,967</w:t>
            </w:r>
          </w:p>
        </w:tc>
        <w:tc>
          <w:tcPr>
            <w:tcW w:w="4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29,685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36,282</w:t>
            </w:r>
          </w:p>
        </w:tc>
      </w:tr>
      <w:tr>
        <w:trPr>
          <w:trHeight w:val="21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Cost of revenue increased $30.4 million and gross profit increased $36.3 million in the three months ended September 30, 2022 as compared to the corresponding period in 2021 due to the increased sales volume, and an increase in gross margin. The increased gross margin versus the prior-year period was primarily due to a higher mix of ECP (front-end and packaging), furnace, and other technologies, and a positive impact due to a change in the RMB to US dollar currency exchange rate.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8"/>
              </w:rPr>
              <w:t>Table of Contents</w:t>
            </w:r>
          </w:p>
        </w:tc>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5600" w:type="dxa"/>
            <w:vAlign w:val="bottom"/>
            <w:gridSpan w:val="3"/>
          </w:tcPr>
          <w:p>
            <w:pPr>
              <w:spacing w:after="0"/>
              <w:rPr>
                <w:sz w:val="20"/>
                <w:szCs w:val="20"/>
                <w:color w:val="auto"/>
              </w:rPr>
            </w:pPr>
            <w:r>
              <w:rPr>
                <w:rFonts w:ascii="Arial" w:cs="Arial" w:eastAsia="Arial" w:hAnsi="Arial"/>
                <w:sz w:val="18"/>
                <w:szCs w:val="18"/>
                <w:i w:val="1"/>
                <w:iCs w:val="1"/>
                <w:color w:val="auto"/>
              </w:rPr>
              <w:t>Operating Expenses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1"/>
              </w:rPr>
              <w:t>% Change</w:t>
            </w:r>
          </w:p>
        </w:tc>
        <w:tc>
          <w:tcPr>
            <w:tcW w:w="13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15,678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7,856</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34,331</w:t>
            </w:r>
          </w:p>
        </w:tc>
        <w:tc>
          <w:tcPr>
            <w:tcW w:w="24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17,890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by $6.8 million in the three months ended September 30, 2022 as compared to the corresponding period in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an increase of $3.4 million due to higher costs of tools built for promotional purposes for current or potential new customers, an increase of $3.0 million due to increased costs for personnel, commissions, outside services, travel &amp; entertainment and other costs, and an increase of $0.4 million due to warranty accruals.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 consists primarily of:</w:t>
      </w:r>
    </w:p>
    <w:p>
      <w:pPr>
        <w:spacing w:after="0" w:line="217" w:lineRule="exact"/>
        <w:rPr>
          <w:sz w:val="20"/>
          <w:szCs w:val="20"/>
          <w:color w:val="auto"/>
        </w:rPr>
      </w:pPr>
    </w:p>
    <w:p>
      <w:pPr>
        <w:ind w:left="840" w:right="20" w:hanging="477"/>
        <w:spacing w:after="0" w:line="252"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of personnel associated with pre- and after-sale services and support and other sales and marketing activities, including stock-based compensation;</w:t>
      </w:r>
    </w:p>
    <w:p>
      <w:pPr>
        <w:ind w:left="840" w:hanging="47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tools built for promotional purposes for current or potential new customers;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$7.8 million in the three months ended September 30, 2022 as compared to the corresponding period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reflecting an increase of $3.4 million in costs of components, costs of tools built for product development purposes, and costs of other research and development supplies, and an increase of $3.0 million for personnel, stock-based compensation, and travel &amp; entertainment costs to support product development, and an increase of $1.4 million for outside services and other R&amp;D related expenses.</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Research and development expense represented 11.7% and 11.7% of our revenue in the three months ended September 30, 2022 and 2021, respectively. Without reduction by grant amounts received from PRC governmental authorities (see “—Government Research and Development Funding”), gross research and development expense totaled $15.9 million, or 11.9% of total revenue, in the three months ended September 30, 2022 as compared to $9.3 million, or 13.8% of revenue, in the corresponding period in 2021. Research and development expense relates to the development of new products and processes and encompasses our research, development and customer support activities. Research and development expense consists primarily of:</w:t>
      </w:r>
    </w:p>
    <w:p>
      <w:pPr>
        <w:spacing w:after="0" w:line="149" w:lineRule="exact"/>
        <w:rPr>
          <w:sz w:val="20"/>
          <w:szCs w:val="20"/>
          <w:color w:val="auto"/>
        </w:rPr>
      </w:pPr>
    </w:p>
    <w:p>
      <w:pPr>
        <w:ind w:left="840" w:hanging="477"/>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16" w:lineRule="exact"/>
        <w:rPr>
          <w:rFonts w:ascii="Arial" w:cs="Arial" w:eastAsia="Arial" w:hAnsi="Arial"/>
          <w:sz w:val="18"/>
          <w:szCs w:val="18"/>
          <w:color w:val="auto"/>
        </w:rPr>
      </w:pPr>
    </w:p>
    <w:p>
      <w:pPr>
        <w:ind w:left="840" w:hanging="477"/>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tools built for product development purposes;</w:t>
      </w:r>
    </w:p>
    <w:p>
      <w:pPr>
        <w:spacing w:after="0" w:line="4" w:lineRule="exact"/>
        <w:rPr>
          <w:rFonts w:ascii="Arial" w:cs="Arial" w:eastAsia="Arial" w:hAnsi="Arial"/>
          <w:sz w:val="18"/>
          <w:szCs w:val="18"/>
          <w:color w:val="auto"/>
        </w:rPr>
      </w:pPr>
    </w:p>
    <w:p>
      <w:pPr>
        <w:ind w:left="840" w:hanging="477"/>
        <w:spacing w:after="0" w:line="245"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travel expense associated with the research of technical requirements for product development purposes and testing of concepts under consideration;</w:t>
      </w:r>
    </w:p>
    <w:p>
      <w:pPr>
        <w:ind w:left="840" w:hanging="477"/>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ind w:left="840" w:hanging="477"/>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General and administrative expense </w:t>
      </w:r>
      <w:r>
        <w:rPr>
          <w:rFonts w:ascii="Arial" w:cs="Arial" w:eastAsia="Arial" w:hAnsi="Arial"/>
          <w:sz w:val="15"/>
          <w:szCs w:val="15"/>
          <w:color w:val="auto"/>
        </w:rPr>
        <w:t>increased $1.8 million in the three months ended September 30, 2022 as compared to the corresponding period in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consists primarily of:</w:t>
      </w:r>
    </w:p>
    <w:p>
      <w:pPr>
        <w:spacing w:after="0" w:line="205" w:lineRule="exact"/>
        <w:rPr>
          <w:sz w:val="20"/>
          <w:szCs w:val="20"/>
          <w:color w:val="auto"/>
        </w:rPr>
      </w:pPr>
    </w:p>
    <w:p>
      <w:pPr>
        <w:ind w:left="840" w:hanging="477"/>
        <w:spacing w:after="0" w:line="252"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ind w:left="840" w:hanging="47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professional fees, including accounting and corporate legal and defense fees;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corporate expenses including insurance; and</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We expect that, for the foreseeable future, general and administrative expenses will increase in dollars, as we incur additional costs associated with growing our business, ACM Research operating a public company in the United States and ACM Shanghai operating as a public company in the PRC.</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Arial" w:cs="Arial" w:eastAsia="Arial" w:hAnsi="Arial"/>
                <w:sz w:val="18"/>
                <w:szCs w:val="18"/>
                <w:i w:val="1"/>
                <w:iCs w:val="1"/>
                <w:color w:val="auto"/>
              </w:rPr>
              <w:t>Income from Operations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60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31,636</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19,841</w:t>
            </w: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increased by $19.8 million during the three months ended September 30, 2022 as compared to the prior year period, due to $36.3 million increase in gross profit, partly offset by a $16.4 million increase in operating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Interest income (expense), net, Other Income (expense), net</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360"/>
              <w:spacing w:after="0" w:line="194" w:lineRule="exact"/>
              <w:rPr>
                <w:sz w:val="20"/>
                <w:szCs w:val="20"/>
                <w:color w:val="auto"/>
              </w:rPr>
            </w:pPr>
            <w:r>
              <w:rPr>
                <w:rFonts w:ascii="Arial" w:cs="Arial" w:eastAsia="Arial" w:hAnsi="Arial"/>
                <w:sz w:val="18"/>
                <w:szCs w:val="18"/>
                <w:b w:val="1"/>
                <w:bCs w:val="1"/>
                <w:color w:val="auto"/>
              </w:rPr>
              <w:t>% Change</w:t>
            </w:r>
          </w:p>
        </w:tc>
        <w:tc>
          <w:tcPr>
            <w:tcW w:w="1440" w:type="dxa"/>
            <w:vAlign w:val="bottom"/>
            <w:gridSpan w:val="4"/>
          </w:tcPr>
          <w:p>
            <w:pPr>
              <w:jc w:val="right"/>
              <w:ind w:right="100"/>
              <w:spacing w:after="0" w:line="194" w:lineRule="exact"/>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2022</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i w:val="1"/>
                <w:iCs w:val="1"/>
                <w:color w:val="auto"/>
                <w:w w:val="99"/>
              </w:rPr>
              <w:t>(in</w:t>
            </w:r>
          </w:p>
        </w:tc>
        <w:tc>
          <w:tcPr>
            <w:tcW w:w="66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660" w:type="dxa"/>
            <w:vAlign w:val="bottom"/>
            <w:gridSpan w:val="2"/>
          </w:tcPr>
          <w:p>
            <w:pPr>
              <w:jc w:val="right"/>
              <w:ind w:right="97"/>
              <w:spacing w:after="0"/>
              <w:rPr>
                <w:sz w:val="20"/>
                <w:szCs w:val="20"/>
                <w:color w:val="auto"/>
              </w:rPr>
            </w:pPr>
            <w:r>
              <w:rPr>
                <w:rFonts w:ascii="Arial" w:cs="Arial" w:eastAsia="Arial" w:hAnsi="Arial"/>
                <w:sz w:val="18"/>
                <w:szCs w:val="18"/>
                <w:color w:val="auto"/>
              </w:rPr>
              <w:t>(419)</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1,597</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7,207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Interest income (expense), net consists of interest earned on our cash and equivalents, restricted cash accounts, and short term and long term time deposits, offset by interest expense incurred from outstanding short-term and long-term borrowings. We realized $1.6 million of interest income (expense), net in the three months ended September 30, 2022 as compared to an expense of $158,000 of interest income (expense), net in the corresponding period in 2021. The significant change from the year-ago-period resulted from a slightly lower balance of cash and equivalents and time deposits together with higher interest rates on these balances, partly offset by a higher balance of short-term and long-term borrowings.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Other income (expense),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We realized $7.2 million of other income (expense) in the three months ended September 30, 2022, of which $6.4 million was due to gains realized from transactions that resulted from changes in the RMB-to-U.S. dollar exchange rate, as compared to a loss of ($0.3) million in the corresponding period in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 and unrealized loss from trading securities, and equity income in net income of affiliates.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3"/>
        </w:trPr>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from sale of trading securities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1,136</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r>
      <w:tr>
        <w:trPr>
          <w:trHeight w:val="212"/>
        </w:trPr>
        <w:tc>
          <w:tcPr>
            <w:tcW w:w="5600" w:type="dxa"/>
            <w:vAlign w:val="bottom"/>
          </w:tcPr>
          <w:p>
            <w:pPr>
              <w:spacing w:after="0"/>
              <w:rPr>
                <w:sz w:val="20"/>
                <w:szCs w:val="20"/>
                <w:color w:val="auto"/>
              </w:rPr>
            </w:pPr>
            <w:r>
              <w:rPr>
                <w:rFonts w:ascii="Arial" w:cs="Arial" w:eastAsia="Arial" w:hAnsi="Arial"/>
                <w:sz w:val="18"/>
                <w:szCs w:val="18"/>
                <w:color w:val="auto"/>
              </w:rPr>
              <w:t>Unrealized (loss) on trading securities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7"/>
              <w:spacing w:after="0"/>
              <w:rPr>
                <w:sz w:val="20"/>
                <w:szCs w:val="20"/>
                <w:color w:val="auto"/>
              </w:rPr>
            </w:pPr>
            <w:r>
              <w:rPr>
                <w:rFonts w:ascii="Arial" w:cs="Arial" w:eastAsia="Arial" w:hAnsi="Arial"/>
                <w:sz w:val="18"/>
                <w:szCs w:val="18"/>
                <w:color w:val="auto"/>
              </w:rPr>
              <w:t>(5,281)</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474.6%</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(4,362)</w:t>
            </w: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1,251</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r>
    </w:tbl>
    <w:p>
      <w:pPr>
        <w:spacing w:after="0" w:line="19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We recorded a realized gain from sale of trading securities of $1.1 million for the three months ended September 30, 2022 due to a sale of ACM Shanghai’s indirect investment in SMIC shares on the STAR Market as is described in note 15 to the condensed consolidated financial statements included in this report.</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an unrealized loss on trading securities of $5.3 million for the three months ended September 30, 2022 as compared to an unrealized loss of $0.9 million for the same period in 2021, based on a change in market value of ACM Shanghai’s indirect investment in SMIC shares on the STAR Market as is described in note 15 to the condensed consolidated financial statements included in this report.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Equity income in net income of affiliates increased by $0.8 million for the three months ended September 30, 2022 due to higher net income from investments in affiliates (note 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40" w:type="dxa"/>
            <w:vAlign w:val="bottom"/>
          </w:tcPr>
          <w:p>
            <w:pPr>
              <w:spacing w:after="0"/>
              <w:rPr>
                <w:sz w:val="20"/>
                <w:szCs w:val="20"/>
                <w:color w:val="auto"/>
              </w:rPr>
            </w:pPr>
            <w:r>
              <w:rPr>
                <w:rFonts w:ascii="Arial" w:cs="Arial" w:eastAsia="Arial" w:hAnsi="Arial"/>
                <w:sz w:val="18"/>
                <w:szCs w:val="18"/>
                <w:i w:val="1"/>
                <w:iCs w:val="1"/>
                <w:color w:val="auto"/>
              </w:rPr>
              <w:t>Income Tax Benefit (Expense)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440" w:type="dxa"/>
            <w:vAlign w:val="bottom"/>
          </w:tcPr>
          <w:p>
            <w:pPr>
              <w:spacing w:after="0"/>
              <w:rPr>
                <w:sz w:val="20"/>
                <w:szCs w:val="20"/>
                <w:color w:val="auto"/>
              </w:rPr>
            </w:pPr>
            <w:r>
              <w:rPr>
                <w:rFonts w:ascii="Arial" w:cs="Arial" w:eastAsia="Arial" w:hAnsi="Arial"/>
                <w:sz w:val="18"/>
                <w:szCs w:val="18"/>
                <w:color w:val="auto"/>
              </w:rPr>
              <w:t>The following presents components of income tax benefit (expense) for the indicated periods: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844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18"/>
        </w:trPr>
        <w:tc>
          <w:tcPr>
            <w:tcW w:w="8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18"/>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left="312"/>
              <w:spacing w:after="0"/>
              <w:rPr>
                <w:sz w:val="20"/>
                <w:szCs w:val="20"/>
                <w:color w:val="auto"/>
              </w:rPr>
            </w:pPr>
            <w:r>
              <w:rPr>
                <w:rFonts w:ascii="Arial" w:cs="Arial" w:eastAsia="Arial" w:hAnsi="Arial"/>
                <w:sz w:val="18"/>
                <w:szCs w:val="18"/>
                <w:i w:val="1"/>
                <w:iCs w:val="1"/>
                <w:color w:val="auto"/>
                <w:w w:val="99"/>
              </w:rPr>
              <w:t>(in</w:t>
            </w:r>
          </w:p>
        </w:tc>
        <w:tc>
          <w:tcPr>
            <w:tcW w:w="660" w:type="dxa"/>
            <w:vAlign w:val="bottom"/>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8440" w:type="dxa"/>
            <w:vAlign w:val="bottom"/>
            <w:tcBorders>
              <w:top w:val="single" w:sz="8" w:color="CCEEFF"/>
              <w:bottom w:val="single" w:sz="8" w:color="CCEEFF"/>
            </w:tcBorders>
            <w:shd w:val="clear" w:color="auto" w:fill="CCEEFF"/>
          </w:tcPr>
          <w:p>
            <w:pPr>
              <w:ind w:left="320"/>
              <w:spacing w:after="0" w:line="198" w:lineRule="exact"/>
              <w:rPr>
                <w:sz w:val="20"/>
                <w:szCs w:val="20"/>
                <w:color w:val="auto"/>
              </w:rPr>
            </w:pPr>
            <w:r>
              <w:rPr>
                <w:rFonts w:ascii="Arial" w:cs="Arial" w:eastAsia="Arial" w:hAnsi="Arial"/>
                <w:sz w:val="18"/>
                <w:szCs w:val="18"/>
                <w:color w:val="auto"/>
              </w:rPr>
              <w:t>Total income tax benefit (expense)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recognized a tax expense of $10.5 million for the three months ended September 30, 2022 as compared to a tax benefit of $266,000 for the prior year period. The increased tax expense in 2022 primarily resulted from the tax effect of increased operating profit generated and an increase in our effective income tax rate. The increase in our effective income tax rate for the three months ended September 30, 2022 compared to the same period of the prior year was primarily due to a new requirement to capitalize and amortize previously deductible research and experimental expenses resulting from a change in Section 174 made by the Tax Cuts and Jobs Act of 2017 (the “TCJA”) which became effective on January 1, 2022, and a decrease in discrete tax benefits associated with stock-based compensation deductions. The capitalization of overseas R&amp;D expenses resulted in a significant increase in our global intangible low-taxed income inclusion. Congress is considering legislation, but legislation has not passed, that would defer the capitalization requirement to later years.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Our two PRC subsidiaries, ACM Shanghai and ACM Research (Wuxi), Inc., are liable for PRC corporate income taxes at the rates of 12.5% and 25%, respectively. Pursuant to the Corporate Income Tax Law of the PRC, our PRC subsidiaries generally would be liable for PRC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is entitled to a preferential income tax rate of 12.5% from January 1, 2020 to December 31, 2022.</w:t>
      </w:r>
    </w:p>
    <w:p>
      <w:pPr>
        <w:spacing w:after="0" w:line="186"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We file income tax returns in the United States and state and foreign jurisdictions. Those federal, state and foreign income tax returns are under the statute of limitations subject to tax examinations for 1999 through 2021.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Arial" w:cs="Arial" w:eastAsia="Arial" w:hAnsi="Arial"/>
                <w:sz w:val="18"/>
                <w:szCs w:val="18"/>
                <w:i w:val="1"/>
                <w:iCs w:val="1"/>
                <w:color w:val="auto"/>
              </w:rPr>
              <w:t>Net Income Attributable to Non-Controlling Interests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60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ind w:left="58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6,072</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w:t>
            </w:r>
          </w:p>
        </w:tc>
      </w:tr>
    </w:tbl>
    <w:p>
      <w:pPr>
        <w:spacing w:after="0" w:line="19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In the three months ended September 30, 2022, this amount totaled $6.1 million as compared to $1.0 million in the corresponding period in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60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56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2022 v 2021</w:t>
            </w:r>
          </w:p>
        </w:tc>
        <w:tc>
          <w:tcPr>
            <w:tcW w:w="100" w:type="dxa"/>
            <w:vAlign w:val="bottom"/>
          </w:tcPr>
          <w:p>
            <w:pPr>
              <w:spacing w:after="0"/>
              <w:rPr>
                <w:sz w:val="20"/>
                <w:szCs w:val="20"/>
                <w:color w:val="auto"/>
              </w:rPr>
            </w:pP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(42,416)</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10270.7%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(42,007)</w:t>
            </w: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a foreign currency translation adjustment of ($42.4) million for the three months ended September 30, 2022, as compared to ($0.4) million for the same period in 2021, based on the net effect of RMB to dollar exchange rate fluctuations for the period on the converted value of ACM Shanghai’s RMB-denominated balances to U.S. dollar equivalents. The amount was especially large due to a significant weakening of the RMB versus the U.S. dollar during the period.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8"/>
              </w:rPr>
              <w:t>Table of Contents</w:t>
            </w:r>
          </w:p>
        </w:tc>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5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2022 and 2021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700" w:type="dxa"/>
            <w:vAlign w:val="bottom"/>
            <w:gridSpan w:val="3"/>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2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 30,</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280,290</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115,681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 wafer cleaning, Tahoe and semi-critical cleaning equipment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198,336</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260" w:type="dxa"/>
            <w:vAlign w:val="bottom"/>
          </w:tcPr>
          <w:p>
            <w:pPr>
              <w:spacing w:after="0"/>
              <w:rPr>
                <w:sz w:val="18"/>
                <w:szCs w:val="18"/>
                <w:color w:val="auto"/>
              </w:rPr>
            </w:pP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57,269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13,750</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43,519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24,685</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5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gridSpan w:val="2"/>
          </w:tcPr>
          <w:p>
            <w:pPr>
              <w:jc w:val="right"/>
              <w:ind w:right="157"/>
              <w:spacing w:after="0"/>
              <w:rPr>
                <w:sz w:val="20"/>
                <w:szCs w:val="20"/>
                <w:color w:val="auto"/>
              </w:rPr>
            </w:pPr>
            <w:r>
              <w:rPr>
                <w:rFonts w:ascii="Arial" w:cs="Arial" w:eastAsia="Arial" w:hAnsi="Arial"/>
                <w:sz w:val="18"/>
                <w:szCs w:val="18"/>
                <w:b w:val="1"/>
                <w:bCs w:val="1"/>
                <w:color w:val="auto"/>
              </w:rPr>
              <w:t>280,290</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164,609</w:t>
            </w: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70.3%</w:t>
            </w:r>
          </w:p>
        </w:tc>
        <w:tc>
          <w:tcPr>
            <w:tcW w:w="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Wet-cleaning and other front-end processing tools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57"/>
              <w:spacing w:after="0"/>
              <w:rPr>
                <w:sz w:val="20"/>
                <w:szCs w:val="20"/>
                <w:color w:val="auto"/>
              </w:rPr>
            </w:pPr>
            <w:r>
              <w:rPr>
                <w:rFonts w:ascii="Arial" w:cs="Arial" w:eastAsia="Arial" w:hAnsi="Arial"/>
                <w:sz w:val="18"/>
                <w:szCs w:val="18"/>
                <w:color w:val="auto"/>
              </w:rPr>
              <w:t>229,195</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127,322</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Advanced packaging, other processing tools, services and spares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51,095</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18"/>
        </w:trPr>
        <w:tc>
          <w:tcPr>
            <w:tcW w:w="20" w:type="dxa"/>
            <w:vAlign w:val="bottom"/>
            <w:tcBorders>
              <w:bottom w:val="single" w:sz="8" w:color="auto"/>
            </w:tcBorders>
          </w:tcPr>
          <w:p>
            <w:pPr>
              <w:spacing w:after="0"/>
              <w:rPr>
                <w:sz w:val="18"/>
                <w:szCs w:val="18"/>
                <w:color w:val="auto"/>
              </w:rPr>
            </w:pPr>
          </w:p>
        </w:tc>
        <w:tc>
          <w:tcPr>
            <w:tcW w:w="5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Revenue Front-end and Back-End</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gridSpan w:val="2"/>
          </w:tcPr>
          <w:p>
            <w:pPr>
              <w:jc w:val="right"/>
              <w:ind w:right="157"/>
              <w:spacing w:after="0"/>
              <w:rPr>
                <w:sz w:val="20"/>
                <w:szCs w:val="20"/>
                <w:color w:val="auto"/>
              </w:rPr>
            </w:pPr>
            <w:r>
              <w:rPr>
                <w:rFonts w:ascii="Arial" w:cs="Arial" w:eastAsia="Arial" w:hAnsi="Arial"/>
                <w:sz w:val="18"/>
                <w:szCs w:val="18"/>
                <w:b w:val="1"/>
                <w:bCs w:val="1"/>
                <w:color w:val="auto"/>
              </w:rPr>
              <w:t>280,290</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164,609</w:t>
            </w: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70.3%</w:t>
            </w:r>
          </w:p>
        </w:tc>
        <w:tc>
          <w:tcPr>
            <w:tcW w:w="2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 increased by $115.7 million in the nine months ended September 30, 2022 as compared to the same period in 2021. The increase was driven primarily by higher sales of single wafer cleaning, Tahoe and semi-critical cleaning equipment, and increased contribution from newer ECP (front-end and packaging), furnace and other technologies. Revenue was impacted by COVID-19 related restrictions which reduced production output and logistics to and from our facilities for several months particularly during the first half of the year, with a return to more normal operations in the August timeframe. The increased demand from PRC-based customers is due in part to their longer term commitment to increase production capacity to achieve a greater share of the mainland China semiconductor market.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4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4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4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i w:val="1"/>
                <w:iCs w:val="1"/>
                <w:color w:val="auto"/>
              </w:rPr>
              <w:t>(in</w:t>
            </w:r>
          </w:p>
        </w:tc>
        <w:tc>
          <w:tcPr>
            <w:tcW w:w="680" w:type="dxa"/>
            <w:vAlign w:val="bottom"/>
            <w:gridSpan w:val="2"/>
          </w:tcPr>
          <w:p>
            <w:pPr>
              <w:jc w:val="center"/>
              <w:spacing w:after="0"/>
              <w:rPr>
                <w:sz w:val="20"/>
                <w:szCs w:val="20"/>
                <w:color w:val="auto"/>
              </w:rPr>
            </w:pPr>
            <w:r>
              <w:rPr>
                <w:rFonts w:ascii="Arial" w:cs="Arial" w:eastAsia="Arial" w:hAnsi="Arial"/>
                <w:sz w:val="18"/>
                <w:szCs w:val="18"/>
                <w:i w:val="1"/>
                <w:iCs w:val="1"/>
                <w:color w:val="auto"/>
                <w:w w:val="74"/>
              </w:rPr>
              <w:t>thousands)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150,480</w:t>
            </w:r>
          </w:p>
        </w:tc>
        <w:tc>
          <w:tcPr>
            <w:tcW w:w="40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95,199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55,281</w:t>
            </w:r>
          </w:p>
        </w:tc>
      </w:tr>
      <w:tr>
        <w:trPr>
          <w:trHeight w:val="212"/>
        </w:trPr>
        <w:tc>
          <w:tcPr>
            <w:tcW w:w="4040" w:type="dxa"/>
            <w:vAlign w:val="bottom"/>
          </w:tcPr>
          <w:p>
            <w:pPr>
              <w:spacing w:after="0"/>
              <w:rPr>
                <w:sz w:val="20"/>
                <w:szCs w:val="20"/>
                <w:color w:val="auto"/>
              </w:rPr>
            </w:pPr>
            <w:r>
              <w:rPr>
                <w:rFonts w:ascii="Arial" w:cs="Arial" w:eastAsia="Arial" w:hAnsi="Arial"/>
                <w:sz w:val="18"/>
                <w:szCs w:val="18"/>
                <w:color w:val="auto"/>
              </w:rPr>
              <w:t>Gross profit</w:t>
            </w:r>
          </w:p>
        </w:tc>
        <w:tc>
          <w:tcPr>
            <w:tcW w:w="18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2"/>
              <w:spacing w:after="0"/>
              <w:rPr>
                <w:sz w:val="20"/>
                <w:szCs w:val="20"/>
                <w:color w:val="auto"/>
              </w:rPr>
            </w:pPr>
            <w:r>
              <w:rPr>
                <w:rFonts w:ascii="Arial" w:cs="Arial" w:eastAsia="Arial" w:hAnsi="Arial"/>
                <w:sz w:val="18"/>
                <w:szCs w:val="18"/>
                <w:color w:val="auto"/>
              </w:rPr>
              <w:t>129,810</w:t>
            </w:r>
          </w:p>
        </w:tc>
        <w:tc>
          <w:tcPr>
            <w:tcW w:w="400" w:type="dxa"/>
            <w:vAlign w:val="bottom"/>
          </w:tcPr>
          <w:p>
            <w:pPr>
              <w:jc w:val="center"/>
              <w:ind w:right="21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69,410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60,400</w:t>
            </w:r>
          </w:p>
        </w:tc>
      </w:tr>
      <w:tr>
        <w:trPr>
          <w:trHeight w:val="212"/>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46.3%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Cost of revenue increased $55.3 million and gross profit increased $60.4 million in the nine months ended September 30, 2022 as compared to the corresponding period in 2021 due to the increased sales volume, and an increase in gross margin. The increased gross margin versus the prior-year period was primarily due to a higher mix of ECP (front-end and packaging), furnace, and other technologies, and a positive impact due to a change in the RMB to US dollar currency exchange rate.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Arial" w:cs="Arial" w:eastAsia="Arial" w:hAnsi="Arial"/>
                <w:sz w:val="18"/>
                <w:szCs w:val="18"/>
                <w:b w:val="1"/>
                <w:bCs w:val="1"/>
                <w:color w:val="auto"/>
                <w:w w:val="94"/>
              </w:rPr>
              <w:t>Nine Months Ended September 30,</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 Change</w:t>
            </w:r>
          </w:p>
        </w:tc>
        <w:tc>
          <w:tcPr>
            <w:tcW w:w="13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3"/>
          </w:tcPr>
          <w:p>
            <w:pPr>
              <w:jc w:val="right"/>
              <w:ind w:right="20"/>
              <w:spacing w:after="0"/>
              <w:rPr>
                <w:sz w:val="20"/>
                <w:szCs w:val="20"/>
                <w:color w:val="auto"/>
              </w:rPr>
            </w:pPr>
            <w:r>
              <w:rPr>
                <w:rFonts w:ascii="Arial" w:cs="Arial" w:eastAsia="Arial" w:hAnsi="Arial"/>
                <w:sz w:val="17"/>
                <w:szCs w:val="17"/>
                <w:i w:val="1"/>
                <w:iCs w:val="1"/>
                <w:color w:val="auto"/>
                <w:w w:val="71"/>
              </w:rPr>
              <w:t>thousands)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18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27,494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17,460</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7"/>
              <w:spacing w:after="0"/>
              <w:rPr>
                <w:sz w:val="20"/>
                <w:szCs w:val="20"/>
                <w:color w:val="auto"/>
              </w:rPr>
            </w:pPr>
            <w:r>
              <w:rPr>
                <w:rFonts w:ascii="Arial" w:cs="Arial" w:eastAsia="Arial" w:hAnsi="Arial"/>
                <w:sz w:val="18"/>
                <w:szCs w:val="18"/>
                <w:color w:val="auto"/>
              </w:rPr>
              <w:t>44,391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21,293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15,560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11,081</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8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7"/>
              <w:spacing w:after="0"/>
              <w:rPr>
                <w:sz w:val="20"/>
                <w:szCs w:val="20"/>
                <w:color w:val="auto"/>
              </w:rPr>
            </w:pPr>
            <w:r>
              <w:rPr>
                <w:rFonts w:ascii="Arial" w:cs="Arial" w:eastAsia="Arial" w:hAnsi="Arial"/>
                <w:sz w:val="18"/>
                <w:szCs w:val="18"/>
                <w:color w:val="auto"/>
              </w:rPr>
              <w:t>87,445</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49,834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5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80" w:type="dxa"/>
            <w:vAlign w:val="bottom"/>
            <w:gridSpan w:val="2"/>
          </w:tcPr>
          <w:p>
            <w:pPr>
              <w:jc w:val="right"/>
              <w:ind w:right="132"/>
              <w:spacing w:after="0"/>
              <w:rPr>
                <w:sz w:val="20"/>
                <w:szCs w:val="20"/>
                <w:color w:val="auto"/>
              </w:rPr>
            </w:pPr>
            <w:r>
              <w:rPr>
                <w:rFonts w:ascii="Arial" w:cs="Arial" w:eastAsia="Arial" w:hAnsi="Arial"/>
                <w:sz w:val="14"/>
                <w:szCs w:val="14"/>
                <w:color w:val="auto"/>
              </w:rPr>
              <w:t>54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by $10.0 million in the nine months ended September 30, 2022 as compared to the corresponding period in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an increase of $5.2 million due to higher costs of tools built for promotional purposes for current or potential new customers, and an increase of $3.5 million due increased costs for personnel, commissions, outside services, travel &amp; entertainment costs, and an increase of $1.3 million due to warranty accruals.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 consists primarily of:</w:t>
      </w:r>
    </w:p>
    <w:p>
      <w:pPr>
        <w:spacing w:after="0" w:line="217" w:lineRule="exact"/>
        <w:rPr>
          <w:sz w:val="20"/>
          <w:szCs w:val="20"/>
          <w:color w:val="auto"/>
        </w:rPr>
      </w:pPr>
    </w:p>
    <w:p>
      <w:pPr>
        <w:ind w:left="840" w:right="20" w:hanging="477"/>
        <w:spacing w:after="0" w:line="252"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of personnel associated with pre- and after-sale services and support and other sales and marketing activities, including stock-based compensation;</w:t>
      </w:r>
    </w:p>
    <w:p>
      <w:pPr>
        <w:ind w:left="840" w:hanging="47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tools built for promotional purposes for current or potential new customers;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by $23.1 million in the nine months ended September 30, 2022 as compared to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reflecting an increase of $9.4 million for personnel, stock-based compensation, and travel &amp; entertainment costs to support product development, an increase of $8.4 million in costs of components, costs of tools built for product development purposes, and an increase of $5.3 million for outside services, and other R&amp;D related expenses.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Research and development expense represented 15.8% and 12.9% of our revenue in the nine months ended September 30, 2022 and 2021, respectively. Without reduction by grant amounts received from PRC governmental authorities (see “—Government Research and Development Funding”), gross research and development expense totaled $44.7 million, or 15.9% of total revenue, in the nine months ended September 30, 2022 and $28.4 million, or 17.3% of revenue, in the corresponding period in 2021. Research and development expense relates to the development of new products and processes and encompasses our research, development and customer support activities. Research and development expense consists primarily of:</w:t>
      </w:r>
    </w:p>
    <w:p>
      <w:pPr>
        <w:spacing w:after="0" w:line="149" w:lineRule="exact"/>
        <w:rPr>
          <w:sz w:val="20"/>
          <w:szCs w:val="20"/>
          <w:color w:val="auto"/>
        </w:rPr>
      </w:pPr>
    </w:p>
    <w:p>
      <w:pPr>
        <w:ind w:left="840" w:hanging="47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16" w:lineRule="exact"/>
        <w:rPr>
          <w:rFonts w:ascii="Arial" w:cs="Arial" w:eastAsia="Arial" w:hAnsi="Arial"/>
          <w:sz w:val="18"/>
          <w:szCs w:val="18"/>
          <w:color w:val="auto"/>
        </w:rPr>
      </w:pPr>
    </w:p>
    <w:p>
      <w:pPr>
        <w:ind w:left="840" w:hanging="47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tools built for product development purposes;</w:t>
      </w:r>
    </w:p>
    <w:p>
      <w:pPr>
        <w:spacing w:after="0" w:line="4" w:lineRule="exact"/>
        <w:rPr>
          <w:rFonts w:ascii="Arial" w:cs="Arial" w:eastAsia="Arial" w:hAnsi="Arial"/>
          <w:sz w:val="18"/>
          <w:szCs w:val="18"/>
          <w:color w:val="auto"/>
        </w:rPr>
      </w:pPr>
    </w:p>
    <w:p>
      <w:pPr>
        <w:ind w:left="840" w:hanging="477"/>
        <w:spacing w:after="0" w:line="245"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travel expense associated with the research of technical requirements for product development purposes and testing of concepts under consideration;</w:t>
      </w:r>
    </w:p>
    <w:p>
      <w:pPr>
        <w:ind w:left="840" w:hanging="47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General and administrative expense </w:t>
      </w:r>
      <w:r>
        <w:rPr>
          <w:rFonts w:ascii="Arial" w:cs="Arial" w:eastAsia="Arial" w:hAnsi="Arial"/>
          <w:sz w:val="15"/>
          <w:szCs w:val="15"/>
          <w:color w:val="auto"/>
        </w:rPr>
        <w:t>increased $4.5 million in the nine months ended September 30, 2022 as compared to the corresponding period in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consists primarily of:</w:t>
      </w:r>
    </w:p>
    <w:p>
      <w:pPr>
        <w:spacing w:after="0" w:line="205" w:lineRule="exact"/>
        <w:rPr>
          <w:sz w:val="20"/>
          <w:szCs w:val="20"/>
          <w:color w:val="auto"/>
        </w:rPr>
      </w:pPr>
    </w:p>
    <w:p>
      <w:pPr>
        <w:ind w:left="840" w:hanging="477"/>
        <w:spacing w:after="0" w:line="264"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ind w:left="840" w:hanging="47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professional fees, including accounting and corporate legal and defense fees;</w:t>
      </w:r>
    </w:p>
    <w:p>
      <w:pPr>
        <w:spacing w:after="0" w:line="16" w:lineRule="exact"/>
        <w:rPr>
          <w:rFonts w:ascii="Arial" w:cs="Arial" w:eastAsia="Arial" w:hAnsi="Arial"/>
          <w:sz w:val="18"/>
          <w:szCs w:val="18"/>
          <w:color w:val="auto"/>
        </w:rPr>
      </w:pPr>
    </w:p>
    <w:p>
      <w:pPr>
        <w:ind w:left="840" w:hanging="47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corporate expenses including insurance; and</w:t>
      </w:r>
    </w:p>
    <w:p>
      <w:pPr>
        <w:spacing w:after="0" w:line="4" w:lineRule="exact"/>
        <w:rPr>
          <w:rFonts w:ascii="Arial" w:cs="Arial" w:eastAsia="Arial" w:hAnsi="Arial"/>
          <w:sz w:val="18"/>
          <w:szCs w:val="18"/>
          <w:color w:val="auto"/>
        </w:rPr>
      </w:pPr>
    </w:p>
    <w:p>
      <w:pPr>
        <w:ind w:left="840" w:hanging="477"/>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expect that, for the foreseeable future, general and administrative expenses will increase in dollars, as we incur additional costs associated with growing our business, ACM Research operating a public company in the United States and ACM Shanghai operating a public company in the PRC.</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20"/>
                <w:szCs w:val="20"/>
                <w:color w:val="auto"/>
              </w:rPr>
            </w:pPr>
            <w:r>
              <w:rPr>
                <w:rFonts w:ascii="Arial" w:cs="Arial" w:eastAsia="Arial" w:hAnsi="Arial"/>
                <w:sz w:val="18"/>
                <w:szCs w:val="18"/>
                <w:i w:val="1"/>
                <w:iCs w:val="1"/>
                <w:color w:val="auto"/>
              </w:rPr>
              <w:t>Income from operations</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3680" w:type="dxa"/>
            <w:vAlign w:val="bottom"/>
          </w:tcPr>
          <w:p>
            <w:pPr>
              <w:spacing w:after="0"/>
              <w:rPr>
                <w:sz w:val="24"/>
                <w:szCs w:val="24"/>
                <w:color w:val="auto"/>
              </w:rPr>
            </w:pPr>
          </w:p>
        </w:tc>
        <w:tc>
          <w:tcPr>
            <w:tcW w:w="4800" w:type="dxa"/>
            <w:vAlign w:val="bottom"/>
            <w:gridSpan w:val="8"/>
          </w:tcPr>
          <w:p>
            <w:pPr>
              <w:ind w:left="1980"/>
              <w:spacing w:after="0"/>
              <w:rPr>
                <w:sz w:val="20"/>
                <w:szCs w:val="20"/>
                <w:color w:val="auto"/>
              </w:rPr>
            </w:pPr>
            <w:r>
              <w:rPr>
                <w:rFonts w:ascii="Arial" w:cs="Arial" w:eastAsia="Arial" w:hAnsi="Arial"/>
                <w:sz w:val="18"/>
                <w:szCs w:val="18"/>
                <w:b w:val="1"/>
                <w:bCs w:val="1"/>
                <w:color w:val="auto"/>
                <w:w w:val="94"/>
              </w:rPr>
              <w:t>Nine Months Ended September 30,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3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3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4"/>
              </w:rPr>
              <w:t>2021</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3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i w:val="1"/>
                <w:iCs w:val="1"/>
                <w:color w:val="auto"/>
                <w:w w:val="73"/>
              </w:rPr>
              <w:t>thousands)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4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42,365</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22,789</w:t>
            </w: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increased by $22.8 million during the nine months ended September 30, 2022 as compared to the prior year period, due to an $60.4 million increase in gross profit, partly offset by a $37.6 million increase in operating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Interest income (expense), net, Other Income (expense), net</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560" w:type="dxa"/>
            <w:vAlign w:val="bottom"/>
            <w:gridSpan w:val="8"/>
          </w:tcPr>
          <w:p>
            <w:pPr>
              <w:ind w:left="740"/>
              <w:spacing w:after="0"/>
              <w:rPr>
                <w:sz w:val="20"/>
                <w:szCs w:val="20"/>
                <w:color w:val="auto"/>
              </w:rPr>
            </w:pPr>
            <w:r>
              <w:rPr>
                <w:rFonts w:ascii="Arial" w:cs="Arial" w:eastAsia="Arial" w:hAnsi="Arial"/>
                <w:sz w:val="18"/>
                <w:szCs w:val="18"/>
                <w:b w:val="1"/>
                <w:bCs w:val="1"/>
                <w:color w:val="auto"/>
                <w:w w:val="94"/>
              </w:rPr>
              <w:t>Nine Months Ended September 30,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360"/>
              <w:spacing w:after="0" w:line="194" w:lineRule="exact"/>
              <w:rPr>
                <w:sz w:val="20"/>
                <w:szCs w:val="20"/>
                <w:color w:val="auto"/>
              </w:rPr>
            </w:pPr>
            <w:r>
              <w:rPr>
                <w:rFonts w:ascii="Arial" w:cs="Arial" w:eastAsia="Arial" w:hAnsi="Arial"/>
                <w:sz w:val="18"/>
                <w:szCs w:val="18"/>
                <w:b w:val="1"/>
                <w:bCs w:val="1"/>
                <w:color w:val="auto"/>
              </w:rPr>
              <w:t>% Change</w:t>
            </w:r>
          </w:p>
        </w:tc>
        <w:tc>
          <w:tcPr>
            <w:tcW w:w="1440" w:type="dxa"/>
            <w:vAlign w:val="bottom"/>
            <w:gridSpan w:val="4"/>
          </w:tcPr>
          <w:p>
            <w:pPr>
              <w:jc w:val="right"/>
              <w:ind w:right="100"/>
              <w:spacing w:after="0" w:line="194" w:lineRule="exact"/>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4"/>
              </w:rPr>
              <w:t>2021</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3"/>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5,965</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4,979</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132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9,949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income (expense), net consists of interest earned on our cash and equivalents and restricted cash accounts, offset by interest expense incurred from outstanding short-term borrowings. We realized $5.0 million of interest income (expense), net in the nine months ended September 30, 2022 as compared to ($461,000) of interest income (expense), net in the corresponding period in 2021. The significant increase from the year-ago-period resulted from a higher balance of cash and equivalents and time deposits, and higher interest rates on these balances.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We realized $9.9 million of other income (expense) in the three months ended September 30, 2022, of which $8.8 million was due to gains realized from transactions that resulted from changes in the RMB-to-U.S. dollar exchange rate, as compared to a loss of ($0.7) million in the corresponding period in 2021. The variance was due primarily to the impact to transactions that resulted from changes in the RMB-to-U.S. dollar exchange rate during the respective periods.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88"/>
              </w:rPr>
              <w:t>Table of Contents</w:t>
            </w:r>
          </w:p>
        </w:tc>
        <w:tc>
          <w:tcPr>
            <w:tcW w:w="4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6"/>
        </w:trPr>
        <w:tc>
          <w:tcPr>
            <w:tcW w:w="6020" w:type="dxa"/>
            <w:vAlign w:val="bottom"/>
            <w:gridSpan w:val="3"/>
          </w:tcPr>
          <w:p>
            <w:pPr>
              <w:spacing w:after="0"/>
              <w:rPr>
                <w:sz w:val="20"/>
                <w:szCs w:val="20"/>
                <w:color w:val="auto"/>
              </w:rPr>
            </w:pPr>
            <w:r>
              <w:rPr>
                <w:rFonts w:ascii="Arial" w:cs="Arial" w:eastAsia="Arial" w:hAnsi="Arial"/>
                <w:sz w:val="18"/>
                <w:szCs w:val="18"/>
                <w:i w:val="1"/>
                <w:iCs w:val="1"/>
                <w:color w:val="auto"/>
                <w:w w:val="91"/>
              </w:rPr>
              <w:t>Unrealized loss from trading securities and equity income in net income of affiliates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10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40" w:type="dxa"/>
            <w:vAlign w:val="bottom"/>
            <w:gridSpan w:val="6"/>
          </w:tcPr>
          <w:p>
            <w:pPr>
              <w:spacing w:after="0"/>
              <w:rPr>
                <w:sz w:val="20"/>
                <w:szCs w:val="20"/>
                <w:color w:val="auto"/>
              </w:rPr>
            </w:pPr>
            <w:r>
              <w:rPr>
                <w:rFonts w:ascii="Arial" w:cs="Arial" w:eastAsia="Arial" w:hAnsi="Arial"/>
                <w:sz w:val="18"/>
                <w:szCs w:val="18"/>
                <w:b w:val="1"/>
                <w:bCs w:val="1"/>
                <w:color w:val="auto"/>
                <w:w w:val="95"/>
              </w:rPr>
              <w:t>Nine Months Ended September 30,</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0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10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1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from sale of trading securities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1,136</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r>
      <w:tr>
        <w:trPr>
          <w:trHeight w:val="212"/>
        </w:trPr>
        <w:tc>
          <w:tcPr>
            <w:tcW w:w="5680" w:type="dxa"/>
            <w:vAlign w:val="bottom"/>
            <w:gridSpan w:val="2"/>
          </w:tcPr>
          <w:p>
            <w:pPr>
              <w:spacing w:after="0"/>
              <w:rPr>
                <w:sz w:val="20"/>
                <w:szCs w:val="20"/>
                <w:color w:val="auto"/>
              </w:rPr>
            </w:pPr>
            <w:r>
              <w:rPr>
                <w:rFonts w:ascii="Arial" w:cs="Arial" w:eastAsia="Arial" w:hAnsi="Arial"/>
                <w:sz w:val="18"/>
                <w:szCs w:val="18"/>
                <w:color w:val="auto"/>
              </w:rPr>
              <w:t>Unrealized gain (loss) on trading securities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97"/>
              <w:spacing w:after="0"/>
              <w:rPr>
                <w:sz w:val="20"/>
                <w:szCs w:val="20"/>
                <w:color w:val="auto"/>
              </w:rPr>
            </w:pPr>
            <w:r>
              <w:rPr>
                <w:rFonts w:ascii="Arial" w:cs="Arial" w:eastAsia="Arial" w:hAnsi="Arial"/>
                <w:sz w:val="18"/>
                <w:szCs w:val="18"/>
                <w:color w:val="auto"/>
              </w:rPr>
              <w:t>(9,562)</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-626.3%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(11,379)</w:t>
            </w:r>
          </w:p>
        </w:tc>
      </w:tr>
      <w:tr>
        <w:trPr>
          <w:trHeight w:val="212"/>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1,652</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r>
    </w:tbl>
    <w:p>
      <w:pPr>
        <w:spacing w:after="0" w:line="19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We recorded a realized gain from sale of trading securities of $1.1 million for the nine months ended September 30, 2022, due to a sale of ACM Shanghai’s indirect investment in SMIC shares on the STAR Market as is described in note 15 to the condensed consolidated financial statements included in this report.</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an unrealized loss on trading securities of $9.6 million for the nine months ended September 30, 2022, as compared to an unrealized gain of $1.8 million for the same period in 2021, based on a change in market value of ACM Shanghai’s indirect investment in SMIC shares on the STAR Market as is described in note 15 to the condensed consolidated financial statements included 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Equity income in net income of affiliates increased by $0.6 million for the nine months ended September 30,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benefit (expense) for the indicated period:</w:t>
      </w:r>
    </w:p>
    <w:p>
      <w:pPr>
        <w:spacing w:after="0" w:line="21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 September</w:t>
      </w:r>
    </w:p>
    <w:p>
      <w:pPr>
        <w:spacing w:after="0" w:line="22"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3810</wp:posOffset>
            </wp:positionV>
            <wp:extent cx="15633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3370" cy="16510"/>
                    </a:xfrm>
                    <a:prstGeom prst="rect">
                      <a:avLst/>
                    </a:prstGeom>
                    <a:noFill/>
                  </pic:spPr>
                </pic:pic>
              </a:graphicData>
            </a:graphic>
          </wp:anchor>
        </w:drawing>
      </w: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33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3370" cy="16510"/>
                    </a:xfrm>
                    <a:prstGeom prst="rect">
                      <a:avLst/>
                    </a:prstGeom>
                    <a:noFill/>
                  </pic:spPr>
                </pic:pic>
              </a:graphicData>
            </a:graphic>
          </wp:anchor>
        </w:drawing>
      </w:r>
    </w:p>
    <w:p>
      <w:pPr>
        <w:spacing w:after="0" w:line="17" w:lineRule="exact"/>
        <w:rPr>
          <w:sz w:val="20"/>
          <w:szCs w:val="20"/>
          <w:color w:val="auto"/>
        </w:rPr>
      </w:pPr>
    </w:p>
    <w:p>
      <w:pPr>
        <w:ind w:left="940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10795</wp:posOffset>
            </wp:positionV>
            <wp:extent cx="156337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3370" cy="16510"/>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8660" w:val="left"/>
          <w:tab w:leader="none" w:pos="9240" w:val="left"/>
          <w:tab w:leader="none" w:pos="10000" w:val="left"/>
          <w:tab w:leader="none" w:pos="10720" w:val="left"/>
        </w:tabs>
        <w:rPr>
          <w:sz w:val="20"/>
          <w:szCs w:val="20"/>
          <w:color w:val="auto"/>
        </w:rPr>
      </w:pPr>
      <w:r>
        <w:rPr>
          <w:rFonts w:ascii="Arial" w:cs="Arial" w:eastAsia="Arial" w:hAnsi="Arial"/>
          <w:sz w:val="18"/>
          <w:szCs w:val="18"/>
          <w:color w:val="auto"/>
        </w:rPr>
        <w:t>Total income tax benefit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(14,138)</w:t>
        <w:tab/>
        <w:t>$</w:t>
      </w:r>
      <w:r>
        <w:rPr>
          <w:sz w:val="20"/>
          <w:szCs w:val="20"/>
          <w:color w:val="auto"/>
        </w:rPr>
        <w:tab/>
      </w:r>
      <w:r>
        <w:rPr>
          <w:rFonts w:ascii="Arial" w:cs="Arial" w:eastAsia="Arial" w:hAnsi="Arial"/>
          <w:sz w:val="15"/>
          <w:szCs w:val="15"/>
          <w:color w:val="auto"/>
        </w:rPr>
        <w:t>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68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4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recognized a tax expense of $14.1 million for the nine months ended September 30, 2022 as compared to a tax benefit of $3 million for prior year period. The increased tax expense in 2022 primarily resulted from the tax effect of increased operating profit generated and an increase in our effective income tax rate. The increase in our effective income tax rate for the nine months ended September 30, 2022 compared to the same period of the prior year was primarily due to a new requirement to capitalize and amortize previously deductible research and experimental expenses resulting from a change in Section 174 made by the TCJA which became effective on January 1, 2022, and a decrease in discrete tax benefits associated with stock-based compensation deductions. The capitalization of overseas R&amp;D expenses resulted in a significant increase in our global intangible low-taxed income inclusion. Congress is considering legislation, but legislation has not passed, that would defer the capitalization requirement to later years.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Our two PRC subsidiaries, ACM Shanghai and ACM Research (Wuxi), Inc., are liable for PRC corporate income taxes at the rates of 12.5% and 25%, respectively. Pursuant to the Corporate Income Tax Law of the PRC, our PRC subsidiaries generally would be liable for PRC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is entitled to a preferential income tax rate of 12.5% from January 1, 2020 to December 31, 2022.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We file income tax returns in the United States and state and foreign jurisdictions. Those federal, state and foreign income tax returns are under the statute of limitations subject to tax examinations for 1999 through 2021.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Pr>
          <w:p>
            <w:pPr>
              <w:spacing w:after="0"/>
              <w:rPr>
                <w:sz w:val="20"/>
                <w:szCs w:val="20"/>
                <w:color w:val="auto"/>
              </w:rPr>
            </w:pPr>
            <w:r>
              <w:rPr>
                <w:rFonts w:ascii="Arial" w:cs="Arial" w:eastAsia="Arial" w:hAnsi="Arial"/>
                <w:sz w:val="18"/>
                <w:szCs w:val="18"/>
                <w:i w:val="1"/>
                <w:iCs w:val="1"/>
                <w:color w:val="auto"/>
              </w:rPr>
              <w:t>Net Income Attributable to Non-Controlling Interests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68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Arial" w:cs="Arial" w:eastAsia="Arial" w:hAnsi="Arial"/>
                <w:sz w:val="18"/>
                <w:szCs w:val="18"/>
                <w:b w:val="1"/>
                <w:bCs w:val="1"/>
                <w:color w:val="auto"/>
                <w:w w:val="94"/>
              </w:rPr>
              <w:t>Nine Months Ended September 30,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5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 Change</w:t>
            </w:r>
          </w:p>
        </w:tc>
        <w:tc>
          <w:tcPr>
            <w:tcW w:w="1440" w:type="dxa"/>
            <w:vAlign w:val="bottom"/>
            <w:gridSpan w:val="4"/>
          </w:tcPr>
          <w:p>
            <w:pPr>
              <w:ind w:left="60"/>
              <w:spacing w:after="0" w:line="194" w:lineRule="exact"/>
              <w:rPr>
                <w:sz w:val="20"/>
                <w:szCs w:val="20"/>
                <w:color w:val="auto"/>
              </w:rPr>
            </w:pPr>
            <w:r>
              <w:rPr>
                <w:rFonts w:ascii="Arial" w:cs="Arial" w:eastAsia="Arial" w:hAnsi="Arial"/>
                <w:sz w:val="18"/>
                <w:szCs w:val="18"/>
                <w:b w:val="1"/>
                <w:bCs w:val="1"/>
                <w:color w:val="auto"/>
                <w:w w:val="91"/>
              </w:rPr>
              <w:t>Absolute Change</w:t>
            </w:r>
          </w:p>
        </w:tc>
      </w:tr>
      <w:tr>
        <w:trPr>
          <w:trHeight w:val="237"/>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2022 v 2021</w:t>
            </w:r>
          </w:p>
        </w:tc>
        <w:tc>
          <w:tcPr>
            <w:tcW w:w="100" w:type="dxa"/>
            <w:vAlign w:val="bottom"/>
          </w:tcPr>
          <w:p>
            <w:pPr>
              <w:spacing w:after="0"/>
              <w:rPr>
                <w:sz w:val="20"/>
                <w:szCs w:val="20"/>
                <w:color w:val="auto"/>
              </w:rPr>
            </w:pPr>
          </w:p>
        </w:tc>
      </w:tr>
      <w:tr>
        <w:trPr>
          <w:trHeight w:val="212"/>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3"/>
          </w:tcPr>
          <w:p>
            <w:pPr>
              <w:jc w:val="right"/>
              <w:ind w:right="20"/>
              <w:spacing w:after="0"/>
              <w:rPr>
                <w:sz w:val="20"/>
                <w:szCs w:val="20"/>
                <w:color w:val="auto"/>
              </w:rPr>
            </w:pPr>
            <w:r>
              <w:rPr>
                <w:rFonts w:ascii="Arial" w:cs="Arial" w:eastAsia="Arial" w:hAnsi="Arial"/>
                <w:sz w:val="17"/>
                <w:szCs w:val="17"/>
                <w:i w:val="1"/>
                <w:iCs w:val="1"/>
                <w:color w:val="auto"/>
                <w:w w:val="71"/>
              </w:rPr>
              <w:t>thousands)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8,927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w:t>
            </w:r>
          </w:p>
        </w:tc>
      </w:tr>
    </w:tbl>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2019 ACM Shanghai sold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the nine months ended September 30, 2022, this amount totaled $8.9 million as compared to $2.1 million in the corresponding period in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Foreign currency translation adjustment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82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Arial" w:cs="Arial" w:eastAsia="Arial" w:hAnsi="Arial"/>
                <w:sz w:val="18"/>
                <w:szCs w:val="18"/>
                <w:b w:val="1"/>
                <w:bCs w:val="1"/>
                <w:color w:val="auto"/>
                <w:w w:val="95"/>
              </w:rPr>
              <w:t>Nine Months Ended September 30,</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5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88"/>
              </w:rPr>
              <w:t>Absolute</w:t>
            </w:r>
          </w:p>
        </w:tc>
      </w:tr>
      <w:tr>
        <w:trPr>
          <w:trHeight w:val="212"/>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 Change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Change 2022 v</w:t>
            </w: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 v 2021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2"/>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3"/>
          </w:tcPr>
          <w:p>
            <w:pPr>
              <w:jc w:val="right"/>
              <w:ind w:right="20"/>
              <w:spacing w:after="0"/>
              <w:rPr>
                <w:sz w:val="20"/>
                <w:szCs w:val="20"/>
                <w:color w:val="auto"/>
              </w:rPr>
            </w:pPr>
            <w:r>
              <w:rPr>
                <w:rFonts w:ascii="Arial" w:cs="Arial" w:eastAsia="Arial" w:hAnsi="Arial"/>
                <w:sz w:val="17"/>
                <w:szCs w:val="17"/>
                <w:i w:val="1"/>
                <w:iCs w:val="1"/>
                <w:color w:val="auto"/>
                <w:w w:val="71"/>
              </w:rPr>
              <w:t>thousands)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(80,334)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(81,593)</w:t>
            </w: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a foreign currency translation adjustment of ($80.3) million for the nine months ended September 30, 2022, as compared to $1.3 million for the same period in 2021, based on the net effect of RMB to dollar exchange rate fluctuations for the period on the converted value of ACM Shanghai’s RMB-denominated balances to U.S. dollar equivalents. The amount was especially large due to a significant weakening of the RMB versus the U.S. dollar during the period.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During the first nine months of 2022, we funded our technology development and operations principally through our beginning global cash balances, including the cash balances at ACM Shanghai, and borrowings by ACM Shanghai from local financial institutions. Cash and cash equivalents, short-term time deposits and long-term time deposits were $472.9 million at September 30, 2022, compared to $562.5 million at December 31, 2021. The $89.7 million decrease was primarily driven by $36.8 million provided by financing activities, offset by $63.9 million of cash used by operations, a $42.6 million decline from the effect of exchange rate on cash, cash equivalents and restricted cash, and $20.2 million net cash used in investing activities.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and cash equivalents and time deposits:</w:t>
            </w:r>
          </w:p>
        </w:tc>
        <w:tc>
          <w:tcPr>
            <w:tcW w:w="24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i w:val="1"/>
                <w:iCs w:val="1"/>
                <w:color w:val="auto"/>
              </w:rPr>
              <w:t>(In</w:t>
            </w:r>
          </w:p>
        </w:tc>
        <w:tc>
          <w:tcPr>
            <w:tcW w:w="1320" w:type="dxa"/>
            <w:vAlign w:val="bottom"/>
            <w:gridSpan w:val="3"/>
          </w:tcPr>
          <w:p>
            <w:pPr>
              <w:jc w:val="right"/>
              <w:ind w:right="632"/>
              <w:spacing w:after="0"/>
              <w:rPr>
                <w:sz w:val="20"/>
                <w:szCs w:val="20"/>
                <w:color w:val="auto"/>
              </w:rPr>
            </w:pPr>
            <w:r>
              <w:rPr>
                <w:rFonts w:ascii="Arial" w:cs="Arial" w:eastAsia="Arial" w:hAnsi="Arial"/>
                <w:sz w:val="15"/>
                <w:szCs w:val="15"/>
                <w:i w:val="1"/>
                <w:iCs w:val="1"/>
                <w:color w:val="auto"/>
                <w:w w:val="78"/>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Short-term time deposits</w:t>
            </w:r>
          </w:p>
        </w:tc>
        <w:tc>
          <w:tcPr>
            <w:tcW w:w="240" w:type="dxa"/>
            <w:vAlign w:val="bottom"/>
          </w:tcPr>
          <w:p>
            <w:pPr>
              <w:spacing w:after="0"/>
              <w:rPr>
                <w:sz w:val="18"/>
                <w:szCs w:val="18"/>
                <w:color w:val="auto"/>
              </w:rPr>
            </w:pPr>
          </w:p>
        </w:tc>
        <w:tc>
          <w:tcPr>
            <w:tcW w:w="1100" w:type="dxa"/>
            <w:vAlign w:val="bottom"/>
            <w:gridSpan w:val="2"/>
          </w:tcPr>
          <w:p>
            <w:pPr>
              <w:jc w:val="right"/>
              <w:ind w:right="123"/>
              <w:spacing w:after="0"/>
              <w:rPr>
                <w:sz w:val="20"/>
                <w:szCs w:val="20"/>
                <w:color w:val="auto"/>
              </w:rPr>
            </w:pPr>
            <w:r>
              <w:rPr>
                <w:rFonts w:ascii="Arial" w:cs="Arial" w:eastAsia="Arial" w:hAnsi="Arial"/>
                <w:sz w:val="18"/>
                <w:szCs w:val="18"/>
                <w:color w:val="auto"/>
              </w:rPr>
              <w:t>66,176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time deposits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472,851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ACM Shanghai will be sufficient to meet our anticipated cash needs within our longer term planning horizon.</w:t>
      </w:r>
    </w:p>
    <w:p>
      <w:pPr>
        <w:spacing w:after="0" w:line="145" w:lineRule="exact"/>
        <w:rPr>
          <w:sz w:val="20"/>
          <w:szCs w:val="20"/>
          <w:color w:val="auto"/>
        </w:rPr>
      </w:pPr>
    </w:p>
    <w:p>
      <w:pPr>
        <w:jc w:val="both"/>
        <w:ind w:firstLine="47"/>
        <w:spacing w:after="0" w:line="303" w:lineRule="auto"/>
        <w:rPr>
          <w:sz w:val="20"/>
          <w:szCs w:val="20"/>
          <w:color w:val="auto"/>
        </w:rPr>
      </w:pPr>
      <w:r>
        <w:rPr>
          <w:rFonts w:ascii="Arial" w:cs="Arial" w:eastAsia="Arial" w:hAnsi="Arial"/>
          <w:sz w:val="15"/>
          <w:szCs w:val="15"/>
          <w:color w:val="auto"/>
        </w:rPr>
        <w:t>ACM Shanghai has historically participated in certain PRC government-sponsored grant and subsidy programs, as described under “—Key Components of Results of Operations—PRC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PRC government agency’s defined processes. Periodically, the public relations department researches the availability of these grants and subsidies through the PRC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PRC government agencies based on suitability and the merits of the application. Neither ACM Research, nor ACM Shanghai or any of our other subsidiaries, has any direct relationship with any PRC government agency, and our anticipated cash needs for the next twelve months neither anticipate, nor require, receipt of any PRC government grants or subsidies.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Restrictions under PRC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Factors–Regulatory Risks–The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 in our Annual Report.</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2022 and 2021, no transfers, dividends, or distributions have been made between ACM Research, and its subsidiaries, including ACM Shanghai, or to holders of ACM Research Class A common stock.</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cash and cash equivalents at September 30, 2022 were held for working capital purposes and other potential investments. ACM Shanghai, our only direct PRC subsidiary, is, however, subject to PRC restrictions on distributions to equity holders. The use of proceeds raised by the STAR Market IPO, without further approvals, are limited to specific usage. We currently intend for ACM Shanghai to retain all available funds any future earnings for use in the operation of its business and do not anticipate its paying any cash dividends. Our accounts receivable balance fluctuates from period to period, which affects our cash flow from operating activities. Fluctuations vary depending on cash collections, client mix, and the timing of shipment and acceptance of our tools.</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Flow Used in Operating Activities. </w:t>
      </w:r>
      <w:r>
        <w:rPr>
          <w:rFonts w:ascii="Arial" w:cs="Arial" w:eastAsia="Arial" w:hAnsi="Arial"/>
          <w:sz w:val="15"/>
          <w:szCs w:val="15"/>
          <w:color w:val="auto"/>
        </w:rPr>
        <w:t>Net cash used by operations of $63.9 million during the nine months ended September 30, 2022 consisted of:</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8"/>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36,381</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24,306</w:t>
            </w:r>
          </w:p>
        </w:tc>
      </w:tr>
      <w:tr>
        <w:trPr>
          <w:trHeight w:val="212"/>
        </w:trPr>
        <w:tc>
          <w:tcPr>
            <w:tcW w:w="20" w:type="dxa"/>
            <w:vAlign w:val="bottom"/>
          </w:tcPr>
          <w:p>
            <w:pPr>
              <w:spacing w:after="0"/>
              <w:rPr>
                <w:sz w:val="18"/>
                <w:szCs w:val="18"/>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80" w:type="dxa"/>
            <w:vAlign w:val="bottom"/>
            <w:gridSpan w:val="2"/>
          </w:tcPr>
          <w:p>
            <w:pPr>
              <w:jc w:val="right"/>
              <w:ind w:right="157"/>
              <w:spacing w:after="0"/>
              <w:rPr>
                <w:sz w:val="20"/>
                <w:szCs w:val="20"/>
                <w:color w:val="auto"/>
              </w:rPr>
            </w:pPr>
            <w:r>
              <w:rPr>
                <w:rFonts w:ascii="Arial" w:cs="Arial" w:eastAsia="Arial" w:hAnsi="Arial"/>
                <w:sz w:val="18"/>
                <w:szCs w:val="18"/>
                <w:color w:val="auto"/>
              </w:rPr>
              <w:t>4,104</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2"/>
        </w:trPr>
        <w:tc>
          <w:tcPr>
            <w:tcW w:w="20" w:type="dxa"/>
            <w:vAlign w:val="bottom"/>
          </w:tcPr>
          <w:p>
            <w:pPr>
              <w:spacing w:after="0"/>
              <w:rPr>
                <w:sz w:val="18"/>
                <w:szCs w:val="18"/>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gain on trading securities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(1,136)</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Equity income in net income of affiliates</w:t>
            </w:r>
          </w:p>
        </w:tc>
        <w:tc>
          <w:tcPr>
            <w:tcW w:w="240" w:type="dxa"/>
            <w:vAlign w:val="bottom"/>
          </w:tcPr>
          <w:p>
            <w:pPr>
              <w:spacing w:after="0"/>
              <w:rPr>
                <w:sz w:val="18"/>
                <w:szCs w:val="18"/>
                <w:color w:val="auto"/>
              </w:rPr>
            </w:pPr>
          </w:p>
        </w:tc>
        <w:tc>
          <w:tcPr>
            <w:tcW w:w="1180" w:type="dxa"/>
            <w:vAlign w:val="bottom"/>
            <w:gridSpan w:val="2"/>
          </w:tcPr>
          <w:p>
            <w:pPr>
              <w:jc w:val="right"/>
              <w:ind w:right="97"/>
              <w:spacing w:after="0"/>
              <w:rPr>
                <w:sz w:val="20"/>
                <w:szCs w:val="20"/>
                <w:color w:val="auto"/>
              </w:rPr>
            </w:pPr>
            <w:r>
              <w:rPr>
                <w:rFonts w:ascii="Arial" w:cs="Arial" w:eastAsia="Arial" w:hAnsi="Arial"/>
                <w:sz w:val="18"/>
                <w:szCs w:val="18"/>
                <w:color w:val="auto"/>
              </w:rPr>
              <w:t>(1,652)</w:t>
            </w: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r>
      <w:tr>
        <w:trPr>
          <w:trHeight w:val="212"/>
        </w:trPr>
        <w:tc>
          <w:tcPr>
            <w:tcW w:w="20" w:type="dxa"/>
            <w:vAlign w:val="bottom"/>
          </w:tcPr>
          <w:p>
            <w:pPr>
              <w:spacing w:after="0"/>
              <w:rPr>
                <w:sz w:val="18"/>
                <w:szCs w:val="18"/>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trading securities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9,562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w:t>
            </w:r>
          </w:p>
        </w:tc>
      </w:tr>
      <w:tr>
        <w:trPr>
          <w:trHeight w:val="212"/>
        </w:trPr>
        <w:tc>
          <w:tcPr>
            <w:tcW w:w="20" w:type="dxa"/>
            <w:vAlign w:val="bottom"/>
          </w:tcPr>
          <w:p>
            <w:pPr>
              <w:spacing w:after="0"/>
              <w:rPr>
                <w:sz w:val="18"/>
                <w:szCs w:val="18"/>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180" w:type="dxa"/>
            <w:vAlign w:val="bottom"/>
            <w:gridSpan w:val="2"/>
          </w:tcPr>
          <w:p>
            <w:pPr>
              <w:jc w:val="right"/>
              <w:ind w:right="157"/>
              <w:spacing w:after="0"/>
              <w:rPr>
                <w:sz w:val="20"/>
                <w:szCs w:val="20"/>
                <w:color w:val="auto"/>
              </w:rPr>
            </w:pPr>
            <w:r>
              <w:rPr>
                <w:rFonts w:ascii="Arial" w:cs="Arial" w:eastAsia="Arial" w:hAnsi="Arial"/>
                <w:sz w:val="18"/>
                <w:szCs w:val="18"/>
                <w:color w:val="auto"/>
              </w:rPr>
              <w:t>5,036</w:t>
            </w: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(4,666)</w:t>
            </w:r>
          </w:p>
        </w:tc>
      </w:tr>
      <w:tr>
        <w:trPr>
          <w:trHeight w:val="212"/>
        </w:trPr>
        <w:tc>
          <w:tcPr>
            <w:tcW w:w="20" w:type="dxa"/>
            <w:vAlign w:val="bottom"/>
          </w:tcPr>
          <w:p>
            <w:pPr>
              <w:spacing w:after="0"/>
              <w:rPr>
                <w:sz w:val="18"/>
                <w:szCs w:val="18"/>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5,236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w:t>
            </w:r>
          </w:p>
        </w:tc>
      </w:tr>
      <w:tr>
        <w:trPr>
          <w:trHeight w:val="218"/>
        </w:trPr>
        <w:tc>
          <w:tcPr>
            <w:tcW w:w="20" w:type="dxa"/>
            <w:vAlign w:val="bottom"/>
          </w:tcPr>
          <w:p>
            <w:pPr>
              <w:spacing w:after="0"/>
              <w:rPr>
                <w:sz w:val="18"/>
                <w:szCs w:val="18"/>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tcPr>
          <w:p>
            <w:pPr>
              <w:spacing w:after="0"/>
              <w:rPr>
                <w:sz w:val="18"/>
                <w:szCs w:val="18"/>
                <w:color w:val="auto"/>
              </w:rPr>
            </w:pPr>
          </w:p>
        </w:tc>
        <w:tc>
          <w:tcPr>
            <w:tcW w:w="1180" w:type="dxa"/>
            <w:vAlign w:val="bottom"/>
            <w:gridSpan w:val="2"/>
          </w:tcPr>
          <w:p>
            <w:pPr>
              <w:jc w:val="right"/>
              <w:ind w:right="97"/>
              <w:spacing w:after="0"/>
              <w:rPr>
                <w:sz w:val="20"/>
                <w:szCs w:val="20"/>
                <w:color w:val="auto"/>
              </w:rPr>
            </w:pPr>
            <w:r>
              <w:rPr>
                <w:rFonts w:ascii="Arial" w:cs="Arial" w:eastAsia="Arial" w:hAnsi="Arial"/>
                <w:sz w:val="18"/>
                <w:szCs w:val="18"/>
                <w:color w:val="auto"/>
              </w:rPr>
              <w:t>(121,061)</w:t>
            </w: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(26,029)</w:t>
            </w:r>
          </w:p>
        </w:tc>
      </w:tr>
      <w:tr>
        <w:trPr>
          <w:trHeight w:val="218"/>
        </w:trPr>
        <w:tc>
          <w:tcPr>
            <w:tcW w:w="20" w:type="dxa"/>
            <w:vAlign w:val="bottom"/>
          </w:tcPr>
          <w:p>
            <w:pPr>
              <w:spacing w:after="0"/>
              <w:rPr>
                <w:sz w:val="18"/>
                <w:szCs w:val="18"/>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(63,530)</w:t>
            </w: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Significant changes in operating asset and liability accounts included the following uses of cash: increases of inventories of $132 million (Note 5), and an increase of accounts receivable of $96.8 million (Note 4). As described under “—Key Components of Results of Operations—PRC Government Research and Development Funding,” ACM Shanghai has received research and development grants from local and central PRC governmental authorities. ACM Shanghai received $48,000 payments related to such grants in the first nine months of 2022, as compared to cash receipts of $4.2 million in the same period of 2021.</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uses of cash are offset by the following significant sources of cash: an increase in advances from customers of $88.9 (Note 3), an increase in other payables and accrued expenses of $10.6 million, and an increase in accounts payable of $10.2 million.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 xml:space="preserve">Cash Flow from Investing Activities. </w:t>
      </w:r>
      <w:r>
        <w:rPr>
          <w:rFonts w:ascii="Arial" w:cs="Arial" w:eastAsia="Arial" w:hAnsi="Arial"/>
          <w:sz w:val="18"/>
          <w:szCs w:val="18"/>
          <w:color w:val="auto"/>
        </w:rPr>
        <w:t>Net cash used for investing activities, excluding net cash used to purchase time deposits, for the nine-months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was $20.2 million, primarily consisting of $18.4 million purchase of property and equipment, $4.2 million purchase of long term investment (Note 14), $1 million investments in affiliates (Note 14), and $1.1 million purchase of intangible assets, offset by $4.5 million in proceeds from selling trading securities (Note 15).</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Cash Flow from Financing Activities. </w:t>
      </w:r>
      <w:r>
        <w:rPr>
          <w:rFonts w:ascii="Arial" w:cs="Arial" w:eastAsia="Arial" w:hAnsi="Arial"/>
          <w:sz w:val="17"/>
          <w:szCs w:val="17"/>
          <w:color w:val="auto"/>
        </w:rPr>
        <w:t>Net cash provided by financing for the nine-months ended September 30, 2022 was $36.8 million, primarily consisting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$35.7 million net proceeds from short and long-term borrowings, and $1.2 million in proceeds from the exercise of 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ACM Shanghai, together with its subsidiaries, has short-term and long-term borrowings with five banks,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w:t>
            </w: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583"/>
              <w:spacing w:after="0"/>
              <w:rPr>
                <w:sz w:val="20"/>
                <w:szCs w:val="20"/>
                <w:color w:val="auto"/>
              </w:rPr>
            </w:pPr>
            <w:r>
              <w:rPr>
                <w:rFonts w:ascii="Arial" w:cs="Arial" w:eastAsia="Arial" w:hAnsi="Arial"/>
                <w:sz w:val="18"/>
                <w:szCs w:val="18"/>
                <w:b w:val="1"/>
                <w:bCs w:val="1"/>
                <w:color w:val="auto"/>
              </w:rPr>
              <w:t>Annual</w:t>
            </w:r>
          </w:p>
        </w:tc>
        <w:tc>
          <w:tcPr>
            <w:tcW w:w="12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w w:val="91"/>
              </w:rPr>
              <w:t>Borrowing</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2"/>
              </w:rPr>
              <w:t>at September 30,</w:t>
            </w:r>
          </w:p>
        </w:tc>
      </w:tr>
      <w:tr>
        <w:trPr>
          <w:trHeight w:val="237"/>
        </w:trPr>
        <w:tc>
          <w:tcPr>
            <w:tcW w:w="23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Lender</w:t>
            </w:r>
          </w:p>
        </w:tc>
        <w:tc>
          <w:tcPr>
            <w:tcW w:w="100" w:type="dxa"/>
            <w:vAlign w:val="bottom"/>
          </w:tcPr>
          <w:p>
            <w:pPr>
              <w:spacing w:after="0"/>
              <w:rPr>
                <w:sz w:val="20"/>
                <w:szCs w:val="20"/>
                <w:color w:val="auto"/>
              </w:rPr>
            </w:pPr>
          </w:p>
        </w:tc>
        <w:tc>
          <w:tcPr>
            <w:tcW w:w="22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Agreement Date</w:t>
            </w:r>
          </w:p>
        </w:tc>
        <w:tc>
          <w:tcPr>
            <w:tcW w:w="100" w:type="dxa"/>
            <w:vAlign w:val="bottom"/>
          </w:tcPr>
          <w:p>
            <w:pPr>
              <w:spacing w:after="0"/>
              <w:rPr>
                <w:sz w:val="20"/>
                <w:szCs w:val="20"/>
                <w:color w:val="auto"/>
              </w:rPr>
            </w:pPr>
          </w:p>
        </w:tc>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Interest Rate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Amount(1)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i w:val="1"/>
                <w:iCs w:val="1"/>
                <w:color w:val="auto"/>
              </w:rPr>
              <w:t>(in</w:t>
            </w:r>
          </w:p>
        </w:tc>
        <w:tc>
          <w:tcPr>
            <w:tcW w:w="1480" w:type="dxa"/>
            <w:vAlign w:val="bottom"/>
            <w:gridSpan w:val="3"/>
          </w:tcPr>
          <w:p>
            <w:pPr>
              <w:jc w:val="right"/>
              <w:ind w:right="692"/>
              <w:spacing w:after="0"/>
              <w:rPr>
                <w:sz w:val="20"/>
                <w:szCs w:val="20"/>
                <w:color w:val="auto"/>
              </w:rPr>
            </w:pPr>
            <w:r>
              <w:rPr>
                <w:rFonts w:ascii="Arial" w:cs="Arial" w:eastAsia="Arial" w:hAnsi="Arial"/>
                <w:sz w:val="18"/>
                <w:szCs w:val="18"/>
                <w:i w:val="1"/>
                <w:iCs w:val="1"/>
                <w:color w:val="auto"/>
                <w:w w:val="76"/>
              </w:rPr>
              <w:t>thousands)</w:t>
            </w:r>
          </w:p>
        </w:tc>
        <w:tc>
          <w:tcPr>
            <w:tcW w:w="100" w:type="dxa"/>
            <w:vAlign w:val="bottom"/>
          </w:tcPr>
          <w:p>
            <w:pPr>
              <w:spacing w:after="0"/>
              <w:rPr>
                <w:sz w:val="18"/>
                <w:szCs w:val="18"/>
                <w:color w:val="auto"/>
              </w:rPr>
            </w:pP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0D0D0D"/>
              </w:rPr>
              <w:t>China Everbright Bank</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0D0D0D"/>
              </w:rPr>
              <w:t>July 2021</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September 2023</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0D0D0D"/>
              </w:rPr>
              <w:t>3.40%~3.60%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0D0D0D"/>
                <w:w w:val="91"/>
              </w:rPr>
              <w:t>RMB150,000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D0D0D"/>
              </w:rPr>
              <w:t>RMB120,000</w:t>
            </w: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0D0D0D"/>
              </w:rPr>
              <w:t>$</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0D0D0D"/>
              </w:rPr>
              <w:t>21,120</w:t>
            </w:r>
          </w:p>
        </w:tc>
        <w:tc>
          <w:tcPr>
            <w:tcW w:w="120" w:type="dxa"/>
            <w:vAlign w:val="bottom"/>
          </w:tcPr>
          <w:p>
            <w:pPr>
              <w:spacing w:after="0"/>
              <w:rPr>
                <w:sz w:val="20"/>
                <w:szCs w:val="20"/>
                <w:color w:val="auto"/>
              </w:rPr>
            </w:pPr>
            <w:r>
              <w:rPr>
                <w:rFonts w:ascii="Arial" w:cs="Arial" w:eastAsia="Arial" w:hAnsi="Arial"/>
                <w:sz w:val="18"/>
                <w:szCs w:val="18"/>
                <w:color w:val="0D0D0D"/>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D0D"/>
              </w:rPr>
              <w:t>16,896</w:t>
            </w: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0D0D0D"/>
              </w:rPr>
              <w:t>Bank of Communications</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0D0D0D"/>
              </w:rPr>
              <w:t>August 2022</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September 2023</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0D0D0D"/>
              </w:rPr>
              <w:t>3.50%~3.60%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0D0D0D"/>
                <w:w w:val="91"/>
              </w:rPr>
              <w:t>RMB100,000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D0D0D"/>
              </w:rPr>
              <w:t>RMB100,000</w:t>
            </w: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0D0D0D"/>
              </w:rPr>
              <w:t>$</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0D0D0D"/>
              </w:rPr>
              <w:t>14,080</w:t>
            </w:r>
          </w:p>
        </w:tc>
        <w:tc>
          <w:tcPr>
            <w:tcW w:w="120" w:type="dxa"/>
            <w:vAlign w:val="bottom"/>
          </w:tcPr>
          <w:p>
            <w:pPr>
              <w:spacing w:after="0"/>
              <w:rPr>
                <w:sz w:val="20"/>
                <w:szCs w:val="20"/>
                <w:color w:val="auto"/>
              </w:rPr>
            </w:pPr>
            <w:r>
              <w:rPr>
                <w:rFonts w:ascii="Arial" w:cs="Arial" w:eastAsia="Arial" w:hAnsi="Arial"/>
                <w:sz w:val="18"/>
                <w:szCs w:val="18"/>
                <w:color w:val="0D0D0D"/>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D0D"/>
              </w:rPr>
              <w:t>14,080</w:t>
            </w: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0D0D0D"/>
              </w:rPr>
              <w:t>Bank of China</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0D0D0D"/>
              </w:rPr>
              <w:t>August 2022</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August 2023</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0D0D0D"/>
              </w:rPr>
              <w:t>3.15%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0D0D0D"/>
              </w:rPr>
              <w:t>RMB40,000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D0D0D"/>
              </w:rPr>
              <w:t>RMB40,000</w:t>
            </w: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0D0D0D"/>
              </w:rPr>
              <w:t>$</w:t>
            </w:r>
          </w:p>
        </w:tc>
        <w:tc>
          <w:tcPr>
            <w:tcW w:w="980" w:type="dxa"/>
            <w:vAlign w:val="bottom"/>
          </w:tcPr>
          <w:p>
            <w:pPr>
              <w:jc w:val="right"/>
              <w:spacing w:after="0"/>
              <w:rPr>
                <w:sz w:val="20"/>
                <w:szCs w:val="20"/>
                <w:color w:val="auto"/>
              </w:rPr>
            </w:pPr>
            <w:r>
              <w:rPr>
                <w:rFonts w:ascii="Arial" w:cs="Arial" w:eastAsia="Arial" w:hAnsi="Arial"/>
                <w:sz w:val="18"/>
                <w:szCs w:val="18"/>
                <w:color w:val="0D0D0D"/>
              </w:rPr>
              <w:t>5,632</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D0D0D"/>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D0D"/>
              </w:rPr>
              <w:t>5,632</w:t>
            </w: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0D0D0D"/>
              </w:rPr>
              <w:t>China Merchants Bank</w:t>
            </w: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0D0D0D"/>
              </w:rPr>
              <w:t>October 2021</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October 2022</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0D0D0D"/>
              </w:rPr>
              <w:t>3.50%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0D0D0D"/>
                <w:w w:val="91"/>
              </w:rPr>
              <w:t>RMB100,000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D0D0D"/>
              </w:rPr>
              <w:t>RMB100,000</w:t>
            </w: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0D0D0D"/>
              </w:rPr>
              <w:t>$</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0D0D0D"/>
              </w:rPr>
              <w:t>14,080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D0D0D"/>
              </w:rPr>
              <w:t>14,080.00</w:t>
            </w:r>
          </w:p>
        </w:tc>
        <w:tc>
          <w:tcPr>
            <w:tcW w:w="100" w:type="dxa"/>
            <w:vAlign w:val="bottom"/>
          </w:tcPr>
          <w:p>
            <w:pPr>
              <w:spacing w:after="0"/>
              <w:rPr>
                <w:sz w:val="18"/>
                <w:szCs w:val="18"/>
                <w:color w:val="auto"/>
              </w:rPr>
            </w:pPr>
          </w:p>
        </w:tc>
      </w:tr>
      <w:tr>
        <w:trPr>
          <w:trHeight w:val="199"/>
        </w:trPr>
        <w:tc>
          <w:tcPr>
            <w:tcW w:w="2340" w:type="dxa"/>
            <w:vAlign w:val="bottom"/>
            <w:shd w:val="clear" w:color="auto" w:fill="CCEEFF"/>
          </w:tcPr>
          <w:p>
            <w:pPr>
              <w:spacing w:after="0" w:line="200" w:lineRule="exact"/>
              <w:rPr>
                <w:sz w:val="20"/>
                <w:szCs w:val="20"/>
                <w:color w:val="auto"/>
              </w:rPr>
            </w:pPr>
            <w:r>
              <w:rPr>
                <w:rFonts w:ascii="Arial" w:cs="Arial" w:eastAsia="Arial" w:hAnsi="Arial"/>
                <w:sz w:val="18"/>
                <w:szCs w:val="18"/>
                <w:color w:val="0D0D0D"/>
              </w:rPr>
              <w:t>China Merchants Bank</w:t>
            </w:r>
          </w:p>
        </w:tc>
        <w:tc>
          <w:tcPr>
            <w:tcW w:w="232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0D0D0D"/>
              </w:rPr>
              <w:t>November 2020</w:t>
            </w: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0D0D0D"/>
              </w:rPr>
              <w:t>Repayable by</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2"/>
              <w:spacing w:after="0" w:line="200" w:lineRule="exact"/>
              <w:rPr>
                <w:sz w:val="20"/>
                <w:szCs w:val="20"/>
                <w:color w:val="auto"/>
              </w:rPr>
            </w:pPr>
            <w:r>
              <w:rPr>
                <w:rFonts w:ascii="Arial" w:cs="Arial" w:eastAsia="Arial" w:hAnsi="Arial"/>
                <w:sz w:val="18"/>
                <w:szCs w:val="18"/>
                <w:color w:val="0D0D0D"/>
                <w:w w:val="91"/>
              </w:rPr>
              <w:t>RMB128,500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0D0D0D"/>
              </w:rPr>
              <w:t>RMB109,149</w:t>
            </w:r>
          </w:p>
        </w:tc>
      </w:tr>
      <w:tr>
        <w:trPr>
          <w:trHeight w:val="212"/>
        </w:trPr>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installments and the last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installments repayable in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November 2030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0D0D0D"/>
              </w:rPr>
              <w:t>3.95%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0D0D0D"/>
              </w:rPr>
              <w:t>$</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0D0D0D"/>
              </w:rPr>
              <w:t>18,093</w:t>
            </w:r>
          </w:p>
        </w:tc>
        <w:tc>
          <w:tcPr>
            <w:tcW w:w="120" w:type="dxa"/>
            <w:vAlign w:val="bottom"/>
          </w:tcPr>
          <w:p>
            <w:pPr>
              <w:spacing w:after="0"/>
              <w:rPr>
                <w:sz w:val="20"/>
                <w:szCs w:val="20"/>
                <w:color w:val="auto"/>
              </w:rPr>
            </w:pPr>
            <w:r>
              <w:rPr>
                <w:rFonts w:ascii="Arial" w:cs="Arial" w:eastAsia="Arial" w:hAnsi="Arial"/>
                <w:sz w:val="18"/>
                <w:szCs w:val="18"/>
                <w:color w:val="0D0D0D"/>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D0D"/>
              </w:rPr>
              <w:t>15,368</w:t>
            </w:r>
          </w:p>
        </w:tc>
      </w:tr>
      <w:tr>
        <w:trPr>
          <w:trHeight w:val="199"/>
        </w:trPr>
        <w:tc>
          <w:tcPr>
            <w:tcW w:w="2340" w:type="dxa"/>
            <w:vAlign w:val="bottom"/>
            <w:shd w:val="clear" w:color="auto" w:fill="CCEEFF"/>
          </w:tcPr>
          <w:p>
            <w:pPr>
              <w:spacing w:after="0" w:line="200" w:lineRule="exact"/>
              <w:rPr>
                <w:sz w:val="20"/>
                <w:szCs w:val="20"/>
                <w:color w:val="auto"/>
              </w:rPr>
            </w:pPr>
            <w:r>
              <w:rPr>
                <w:rFonts w:ascii="Arial" w:cs="Arial" w:eastAsia="Arial" w:hAnsi="Arial"/>
                <w:sz w:val="18"/>
                <w:szCs w:val="18"/>
                <w:color w:val="0D0D0D"/>
              </w:rPr>
              <w:t>Bank of China</w:t>
            </w:r>
          </w:p>
        </w:tc>
        <w:tc>
          <w:tcPr>
            <w:tcW w:w="232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0D0D0D"/>
              </w:rPr>
              <w:t>June 2021</w:t>
            </w: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0D0D0D"/>
              </w:rPr>
              <w:t>Repayable by</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2"/>
              <w:spacing w:after="0" w:line="200" w:lineRule="exact"/>
              <w:rPr>
                <w:sz w:val="20"/>
                <w:szCs w:val="20"/>
                <w:color w:val="auto"/>
              </w:rPr>
            </w:pPr>
            <w:r>
              <w:rPr>
                <w:rFonts w:ascii="Arial" w:cs="Arial" w:eastAsia="Arial" w:hAnsi="Arial"/>
                <w:sz w:val="18"/>
                <w:szCs w:val="18"/>
                <w:color w:val="0D0D0D"/>
              </w:rPr>
              <w:t>RMB10,000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0D0D0D"/>
              </w:rPr>
              <w:t>RMB9,000</w:t>
            </w:r>
          </w:p>
        </w:tc>
      </w:tr>
      <w:tr>
        <w:trPr>
          <w:trHeight w:val="212"/>
        </w:trPr>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installments and the last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installments repayable in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June 2024</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0D0D0D"/>
              </w:rPr>
              <w:t>2.60%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2"/>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0D0D0D"/>
              </w:rPr>
              <w:t>$</w:t>
            </w:r>
          </w:p>
        </w:tc>
        <w:tc>
          <w:tcPr>
            <w:tcW w:w="980" w:type="dxa"/>
            <w:vAlign w:val="bottom"/>
          </w:tcPr>
          <w:p>
            <w:pPr>
              <w:jc w:val="right"/>
              <w:spacing w:after="0"/>
              <w:rPr>
                <w:sz w:val="20"/>
                <w:szCs w:val="20"/>
                <w:color w:val="auto"/>
              </w:rPr>
            </w:pPr>
            <w:r>
              <w:rPr>
                <w:rFonts w:ascii="Arial" w:cs="Arial" w:eastAsia="Arial" w:hAnsi="Arial"/>
                <w:sz w:val="18"/>
                <w:szCs w:val="18"/>
                <w:color w:val="0D0D0D"/>
              </w:rPr>
              <w:t>1,408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D0D0D"/>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D0D"/>
              </w:rPr>
              <w:t>1,267</w:t>
            </w:r>
          </w:p>
        </w:tc>
      </w:tr>
      <w:tr>
        <w:trPr>
          <w:trHeight w:val="199"/>
        </w:trPr>
        <w:tc>
          <w:tcPr>
            <w:tcW w:w="2340" w:type="dxa"/>
            <w:vAlign w:val="bottom"/>
            <w:shd w:val="clear" w:color="auto" w:fill="CCEEFF"/>
          </w:tcPr>
          <w:p>
            <w:pPr>
              <w:spacing w:after="0" w:line="200" w:lineRule="exact"/>
              <w:rPr>
                <w:sz w:val="20"/>
                <w:szCs w:val="20"/>
                <w:color w:val="auto"/>
              </w:rPr>
            </w:pPr>
            <w:r>
              <w:rPr>
                <w:rFonts w:ascii="Arial" w:cs="Arial" w:eastAsia="Arial" w:hAnsi="Arial"/>
                <w:sz w:val="18"/>
                <w:szCs w:val="18"/>
                <w:color w:val="0D0D0D"/>
              </w:rPr>
              <w:t>Bank of China</w:t>
            </w:r>
          </w:p>
        </w:tc>
        <w:tc>
          <w:tcPr>
            <w:tcW w:w="232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0D0D0D"/>
              </w:rPr>
              <w:t>September, 2021</w:t>
            </w: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0" w:lineRule="exact"/>
              <w:rPr>
                <w:sz w:val="20"/>
                <w:szCs w:val="20"/>
                <w:color w:val="auto"/>
              </w:rPr>
            </w:pPr>
            <w:r>
              <w:rPr>
                <w:rFonts w:ascii="Arial" w:cs="Arial" w:eastAsia="Arial" w:hAnsi="Arial"/>
                <w:sz w:val="18"/>
                <w:szCs w:val="18"/>
                <w:color w:val="0D0D0D"/>
              </w:rPr>
              <w:t>Repayable by</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2"/>
              <w:spacing w:after="0" w:line="200" w:lineRule="exact"/>
              <w:rPr>
                <w:sz w:val="20"/>
                <w:szCs w:val="20"/>
                <w:color w:val="auto"/>
              </w:rPr>
            </w:pPr>
            <w:r>
              <w:rPr>
                <w:rFonts w:ascii="Arial" w:cs="Arial" w:eastAsia="Arial" w:hAnsi="Arial"/>
                <w:sz w:val="18"/>
                <w:szCs w:val="18"/>
                <w:color w:val="0D0D0D"/>
              </w:rPr>
              <w:t>RMB35,000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0D0D0D"/>
              </w:rPr>
              <w:t>RMB31,500</w:t>
            </w:r>
          </w:p>
        </w:tc>
      </w:tr>
      <w:tr>
        <w:trPr>
          <w:trHeight w:val="212"/>
        </w:trPr>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installments and the last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installments repayable in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0D0D0D"/>
              </w:rPr>
              <w:t>September 2021</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0D0D0D"/>
              </w:rPr>
              <w:t>2.60%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8"/>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r>
      <w:tr>
        <w:trPr>
          <w:trHeight w:val="218"/>
        </w:trPr>
        <w:tc>
          <w:tcPr>
            <w:tcW w:w="2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jc w:val="both"/>
        <w:ind w:left="480" w:hanging="474"/>
        <w:spacing w:after="0" w:line="329" w:lineRule="auto"/>
        <w:tabs>
          <w:tab w:leader="none" w:pos="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Converted from RMB to dollars as of September 30, 2022. All of the amounts owing under the line of credit with Bank of Shanghai Pudong Branch are guaranteed by CleanChip Technologies LTD, a wholly-owned subsidiary of ACM Shanghai. The loan from China Merchants Bank is secured by a pledge of the property of ACM Shengwei and guaranteed by ACM Shanghai, as described above under “—Contractual Obligations.”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Effect of exchange rate changes on cash, cash equivalents and restricted cash. </w:t>
      </w:r>
      <w:r>
        <w:rPr>
          <w:rFonts w:ascii="Arial" w:cs="Arial" w:eastAsia="Arial" w:hAnsi="Arial"/>
          <w:sz w:val="18"/>
          <w:szCs w:val="18"/>
          <w:color w:val="auto"/>
        </w:rPr>
        <w:t>The value of our cash, and cash equivalents declined $42.6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nine months of 2022. The impact of fluctuations of the RMB to U.S. dollar currency exchange rate on a significant balance of these items held in RMB-denominated accounts (Note 2) contributed to the change.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Contract for State-owned Construction Land Use Right in Shanghai City</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2020 ACM Shanghai, through its wholly-owned subsidiary ACM Shengwei, entered into a Grant Contract for State-owned Construction Land Use Right in Shanghai City (Category of R&amp;D Headquarters and Industrial Projects), or the Grant Agreement, with the China (Shanghai) Pilot Free Trade Zone Lin-gang Special Area Administration, or the Grantor. ACM Shengwei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exchange for its land use rights, ACM Shengwei paid aggregate grant fees of RMB 61.7 million ($9.5 million), or the Grant Fees, and a performance deposit of RMB 12.3 million ($1.9 million), which is equal to 20% of the aggregate grant fees, to secure its achievement of the following performance milestones:</w:t>
      </w:r>
    </w:p>
    <w:p>
      <w:pPr>
        <w:spacing w:after="0" w:line="190" w:lineRule="exact"/>
        <w:rPr>
          <w:sz w:val="20"/>
          <w:szCs w:val="20"/>
          <w:color w:val="auto"/>
        </w:rPr>
      </w:pPr>
    </w:p>
    <w:p>
      <w:pPr>
        <w:ind w:left="480" w:hanging="47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start of construction within 6 months after the Delivery Date (60% of the performance deposit), or Construction Start Milestone;</w:t>
      </w:r>
    </w:p>
    <w:p>
      <w:pPr>
        <w:spacing w:after="0" w:line="16" w:lineRule="exact"/>
        <w:rPr>
          <w:rFonts w:ascii="Arial" w:cs="Arial" w:eastAsia="Arial" w:hAnsi="Arial"/>
          <w:sz w:val="18"/>
          <w:szCs w:val="18"/>
          <w:color w:val="auto"/>
        </w:rPr>
      </w:pPr>
    </w:p>
    <w:p>
      <w:pPr>
        <w:ind w:left="480" w:hanging="474"/>
        <w:spacing w:after="0"/>
        <w:tabs>
          <w:tab w:leader="none" w:pos="4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completion of construction within 30 months after the Delivery Date (20% of the performance deposit), or Construction Completion Milestone; and</w:t>
      </w:r>
    </w:p>
    <w:p>
      <w:pPr>
        <w:spacing w:after="0" w:line="39" w:lineRule="exact"/>
        <w:rPr>
          <w:rFonts w:ascii="Arial" w:cs="Arial" w:eastAsia="Arial" w:hAnsi="Arial"/>
          <w:sz w:val="15"/>
          <w:szCs w:val="15"/>
          <w:color w:val="auto"/>
        </w:rPr>
      </w:pPr>
    </w:p>
    <w:p>
      <w:pPr>
        <w:ind w:left="480" w:hanging="474"/>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start of production within 42 months after the Delivery Date (20% of the performance deposit), or Production Start Milestone.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satisfaction of a milestone, the portion of the performance deposit attributable to that milestone will be repayable to ACM Shengwei within ten business days. If the achievement of any of the above milestones is delayed or abandoned, ACM Shengwei may be subject to additional penalties and may lose its rights to both the use of the granted land and any partially completed facilities on that land.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performance milestones for the period ended September 30, 2022 is as follows:</w:t>
      </w:r>
    </w:p>
    <w:p>
      <w:pPr>
        <w:spacing w:after="0" w:line="217" w:lineRule="exact"/>
        <w:rPr>
          <w:sz w:val="20"/>
          <w:szCs w:val="20"/>
          <w:color w:val="auto"/>
        </w:rPr>
      </w:pPr>
    </w:p>
    <w:p>
      <w:pPr>
        <w:ind w:left="840" w:hanging="477"/>
        <w:spacing w:after="0"/>
        <w:tabs>
          <w:tab w:leader="none" w:pos="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ACM Shengwei achieved the Construction Start Milestone and 60% of the performance deposit was refunded to ACM Shanghai in 2020.</w:t>
      </w:r>
    </w:p>
    <w:p>
      <w:pPr>
        <w:spacing w:after="0" w:line="27" w:lineRule="exact"/>
        <w:rPr>
          <w:rFonts w:ascii="Arial" w:cs="Arial" w:eastAsia="Arial" w:hAnsi="Arial"/>
          <w:sz w:val="17"/>
          <w:szCs w:val="17"/>
          <w:color w:val="auto"/>
        </w:rPr>
      </w:pPr>
    </w:p>
    <w:p>
      <w:pPr>
        <w:jc w:val="both"/>
        <w:ind w:left="840" w:hanging="477"/>
        <w:spacing w:after="0" w:line="24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Construction Completion Milestone is required to be met prior to January 9, 2023. Although this date has not yet been reached, due to COVID-19 related restrictions, ACM Shengwei has experienced delays and does not expect to meet the milestone, and plans to file a request for an extension in December 2022. We cannot guarantee the extension will be met or that ACM Shengwei will be refunded this 20% portion of the performance deposit.</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Contractual penalties in the case of a delay of Construction Completion Milestone</w:t>
      </w:r>
      <w:r>
        <w:rPr>
          <w:rFonts w:ascii="Arial" w:cs="Arial" w:eastAsia="Arial" w:hAnsi="Arial"/>
          <w:sz w:val="18"/>
          <w:szCs w:val="18"/>
          <w:color w:val="auto"/>
        </w:rPr>
        <w:t>:</w:t>
      </w:r>
    </w:p>
    <w:p>
      <w:pPr>
        <w:spacing w:after="0" w:line="217" w:lineRule="exact"/>
        <w:rPr>
          <w:sz w:val="20"/>
          <w:szCs w:val="20"/>
          <w:color w:val="auto"/>
        </w:rPr>
      </w:pPr>
    </w:p>
    <w:p>
      <w:pPr>
        <w:ind w:left="840" w:hanging="477"/>
        <w:spacing w:after="0" w:line="267" w:lineRule="auto"/>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ACM Shengwei fails to complete the construction pursuant to the date agreed under the Grant Agreement or any extended completion date approved by the Grantor, ACM Shengwei shall pay 50% of the deposit for timely completion of construction as liquidated damages;</w:t>
      </w:r>
    </w:p>
    <w:p>
      <w:pPr>
        <w:ind w:left="840" w:hanging="477"/>
        <w:spacing w:after="0" w:line="294" w:lineRule="auto"/>
        <w:tabs>
          <w:tab w:leader="none" w:pos="8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If the ACM Shengwei delays the completion for more than six months beyond the date agreed under the Grant Agreement, or beyond any extended completion date approved by the Grantor, it shall pay the total deposit for timely completion of construction as liquidated damages.</w:t>
      </w:r>
    </w:p>
    <w:p>
      <w:pPr>
        <w:jc w:val="both"/>
        <w:ind w:left="840" w:hanging="477"/>
        <w:spacing w:after="0" w:line="269" w:lineRule="auto"/>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Shengwei.</w:t>
      </w:r>
    </w:p>
    <w:p>
      <w:pPr>
        <w:spacing w:after="0" w:line="178" w:lineRule="exact"/>
        <w:rPr>
          <w:sz w:val="20"/>
          <w:szCs w:val="20"/>
          <w:color w:val="auto"/>
        </w:rPr>
      </w:pPr>
    </w:p>
    <w:p>
      <w:pPr>
        <w:jc w:val="both"/>
        <w:ind w:left="840" w:hanging="477"/>
        <w:spacing w:after="0" w:line="254"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Production Start Milestone is required to be met prior to January 9, 2024. Although this date has not yet been reached, ACM Shengwei plans to also file a request for an extension of this milestone due to COVID-related delays. We cannot guarantee the extension will be met or that ACM Shengwei will be refunded this 20% portion of the performance deposit.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Contractual penalties in the case of a delay of Production Start Milestone</w:t>
      </w:r>
      <w:r>
        <w:rPr>
          <w:rFonts w:ascii="Arial" w:cs="Arial" w:eastAsia="Arial" w:hAnsi="Arial"/>
          <w:sz w:val="18"/>
          <w:szCs w:val="18"/>
          <w:color w:val="auto"/>
        </w:rPr>
        <w:t>:</w:t>
      </w:r>
    </w:p>
    <w:p>
      <w:pPr>
        <w:spacing w:after="0" w:line="217" w:lineRule="exact"/>
        <w:rPr>
          <w:sz w:val="20"/>
          <w:szCs w:val="20"/>
          <w:color w:val="auto"/>
        </w:rPr>
      </w:pPr>
    </w:p>
    <w:p>
      <w:pPr>
        <w:ind w:left="840" w:hanging="477"/>
        <w:spacing w:after="0" w:line="267"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ACM Shengwei fails to commence production pursuant to the date agreed under the Grant Agreement or any extended commencement date approved by the Grantor, ACM Shengwei shall pay the total deposit for timely commencement of production as liquidated damages;</w:t>
      </w:r>
    </w:p>
    <w:p>
      <w:pPr>
        <w:jc w:val="both"/>
        <w:ind w:left="840" w:hanging="477"/>
        <w:spacing w:after="0" w:line="248"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ACM Shengwei fails to commence production pursuant to the extended commencement of production date, the Grantor is entitled to terminate the Grant Agreement and take back the Land Use Right. In such case, the Grantor shall refund the Grant Fees for the remaining land use term after deducting the deposit agreed under the Grant Agreement to ACM Shengwei.</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milestones, covenants in the Grant Agreement require that, among other things, ACM Shengwei will be required to pay liquidated damages in the event that:</w:t>
      </w:r>
    </w:p>
    <w:p>
      <w:pPr>
        <w:spacing w:after="0" w:line="180" w:lineRule="exact"/>
        <w:rPr>
          <w:sz w:val="20"/>
          <w:szCs w:val="20"/>
          <w:color w:val="auto"/>
        </w:rPr>
      </w:pPr>
    </w:p>
    <w:p>
      <w:pPr>
        <w:jc w:val="both"/>
        <w:ind w:firstLine="6"/>
        <w:spacing w:after="0" w:line="254"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does not make a total investment (including the costs of construction, fixtures, equipment and grant fees) of at least RMB 450.0 million ($63.4 million). ACM Shengwei shall pay the liquidated damages equal to the same proportion of the Grant Fees as the proportion of the actual shortfall amount of investment in the total agreed investment amount or the investment intensity.</w:t>
      </w:r>
    </w:p>
    <w:p>
      <w:pPr>
        <w:spacing w:after="0" w:line="189" w:lineRule="exact"/>
        <w:rPr>
          <w:rFonts w:ascii="Arial" w:cs="Arial" w:eastAsia="Arial" w:hAnsi="Arial"/>
          <w:sz w:val="18"/>
          <w:szCs w:val="18"/>
          <w:color w:val="auto"/>
        </w:rPr>
      </w:pPr>
    </w:p>
    <w:p>
      <w:pPr>
        <w:jc w:val="both"/>
        <w:ind w:firstLine="6"/>
        <w:spacing w:after="0" w:line="251" w:lineRule="auto"/>
        <w:tabs>
          <w:tab w:leader="none" w:pos="2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six years after the Delivery Date, or prior to July 9, 2026, it does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total tax revenue of the project fails to reach but is no less than 80% of the standard agreed under the Grant Agreement, ACM Shengwei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this Contract, take back the Land Use Right, and shall refund the Grant Fees for the remaining Land Use Term to ACM Shengwei.</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Grant Agreement is terminated because of breach of any terms above, the Grantor shall take back the buildings, fixtures and auxiliary facilities on the land area and provide ACM Shengwei with corresponding compensation according to the residual value of the buildings, fixtures and auxiliary facilities when they are taken back. The total cumulative investment of land, buildings and construction in progress related to ACM Shengwei amounted to $23.1 million and $13.3 million at September 30, 2022 and December 31, 2021,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and Mortgage Contract for Lingang, Shanghai Housing Units</w:t>
      </w:r>
    </w:p>
    <w:p>
      <w:pPr>
        <w:spacing w:after="0" w:line="21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 connection with its financing the purchase of housing units in Lingang, Shanghai, or the Property, in November 2020 ACM Shengwei entered into a Loan and Mortgage Contract, or the Loan Agreement, with China Merchants Bank Co., Ltd., Shanghai Pilot Free Trade Zone Lin-Gang Special Area Sub-branch, or the Lender, pursuant to which ACM Shengwei obtained a loan in the aggregate amount of $19.6 million. The loan under the Loan Agreement is secured by a pledge of the Property, which ACM Shangwei’s subsidiary received ownership of in January 2022, and is guaranteed by ACM Shanghai. Under the Loan Agreement, ACM Shengwei must deliver the right certificate of the Property within sixty days of the execution of the Loan Agreement or the Lender has the right to, among other things, declare a breach of contract and enforce its remedies under the Loan Agreement, which remedies include the ability to declare any borrowings outstanding, together with accrued and unpaid interest and fees, to be immediately due and payable. As of the date of this report, ACM Shengwei and its developer have been unable to obtain the required right certificate of the Property due to administrative difficulties related to the COVID 19 pandemic and, as a result, the procedures of the formal pledge registration by the Lender have not been completed. The Lender delivered an updated letter to ACM Shengwei on October 21, 2022 confirming that it is aware of the cause of the delay in ACM Shengwei’s delivery of the right certificate of the Property and as of the date of this report has not taken any action to date as a result of the delay. The Lender could, however, assert at any time that the delay is a breach of contract and, among other remedies, could seek to declare the amounts owing under the Loan Agreement to be due and payable. The Shanghai Lingang Industrial Zone Public Rental Housing Construction and Operation Management Co., Ltd., or the Developer, delivered a letter to ACM Shengwei on August 4, 2022, citing a force majeure delay due to the COVID-19-related restrictions in Shanghai for the delay of the initial registration of the housing ownership, and that it expected to complete the initial registration of housing ownership by the end of August 2022. ACM Shanghai has confirmed the Developer has completed the initial registration of the housing ownership with local PRC authorities, and, as of the date of this filing, expects to receive the right certificate before December 31, 2022. See “Risks Related to International Aspects of Our Business—As the result of administrative delays in the PRC related to the COVID-19 pandemic, ACM Research’s indirect subsidiary ACM Shengwei has not been able to obtain the right certificate of property in Lingang, Shanghai as required by its Loan and Mortgage Contract, and our liquidity, financial position and business would be adversely affected if the lender bank were to assert successfully that the failure to obtain the right certificate is a breach of the Loan and Mortgage Contract” in Item 1A. Risk Factors of Part II of our Quarterly Report on Form 10-Q for the quarter ended June 30, 2022.</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217" w:lineRule="exact"/>
        <w:rPr>
          <w:sz w:val="20"/>
          <w:szCs w:val="20"/>
          <w:color w:val="auto"/>
        </w:rPr>
      </w:pPr>
    </w:p>
    <w:p>
      <w:pPr>
        <w:jc w:val="both"/>
        <w:ind w:left="480" w:hanging="474"/>
        <w:spacing w:after="0" w:line="249"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spacing w:after="0" w:line="2" w:lineRule="exact"/>
        <w:rPr>
          <w:rFonts w:ascii="Arial" w:cs="Arial" w:eastAsia="Arial" w:hAnsi="Arial"/>
          <w:sz w:val="18"/>
          <w:szCs w:val="18"/>
          <w:color w:val="auto"/>
        </w:rPr>
      </w:pPr>
    </w:p>
    <w:p>
      <w:pPr>
        <w:jc w:val="both"/>
        <w:ind w:left="480" w:hanging="474"/>
        <w:spacing w:after="0" w:line="245"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define “adjusted EBITDA” as net income excluding interest expense (net), income tax benefit (expense), depreciation and amortization, unrealized (gain) loss on trading securities, and stock-based compensation. We define adjusted EBITDA to also exclude restructuring costs, although we have not incurred any such costs to date.</w:t>
      </w:r>
    </w:p>
    <w:p>
      <w:pPr>
        <w:spacing w:after="0" w:line="1" w:lineRule="exact"/>
        <w:rPr>
          <w:rFonts w:ascii="Arial" w:cs="Arial" w:eastAsia="Arial" w:hAnsi="Arial"/>
          <w:sz w:val="18"/>
          <w:szCs w:val="18"/>
          <w:color w:val="auto"/>
        </w:rPr>
      </w:pPr>
    </w:p>
    <w:p>
      <w:pPr>
        <w:ind w:left="480" w:hanging="474"/>
        <w:spacing w:after="0"/>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define “free cash flow” as net cash provided by operating activities less purchases of property and equipment (net of proceeds from disposals).</w:t>
      </w:r>
    </w:p>
    <w:p>
      <w:pPr>
        <w:spacing w:after="0" w:line="39" w:lineRule="exact"/>
        <w:rPr>
          <w:rFonts w:ascii="Arial" w:cs="Arial" w:eastAsia="Arial" w:hAnsi="Arial"/>
          <w:sz w:val="15"/>
          <w:szCs w:val="15"/>
          <w:color w:val="auto"/>
        </w:rPr>
      </w:pPr>
    </w:p>
    <w:p>
      <w:pPr>
        <w:ind w:left="480" w:hanging="4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Shipments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consider shipments a key operating metric as it reflects the total value of products delivered to customers and prospective customers by our productive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Shipments consist of two components:</w:t>
      </w:r>
    </w:p>
    <w:p>
      <w:pPr>
        <w:spacing w:after="0" w:line="217" w:lineRule="exact"/>
        <w:rPr>
          <w:sz w:val="20"/>
          <w:szCs w:val="20"/>
          <w:color w:val="auto"/>
        </w:rPr>
      </w:pPr>
    </w:p>
    <w:p>
      <w:pPr>
        <w:ind w:left="480" w:hanging="474"/>
        <w:spacing w:after="0"/>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shipment to a customer of a type of tool that the customer has previously accepted, for which we recognize revenue when the tool is delivered; and</w:t>
      </w:r>
    </w:p>
    <w:p>
      <w:pPr>
        <w:spacing w:after="0" w:line="50" w:lineRule="exact"/>
        <w:rPr>
          <w:rFonts w:ascii="Arial" w:cs="Arial" w:eastAsia="Arial" w:hAnsi="Arial"/>
          <w:sz w:val="15"/>
          <w:szCs w:val="15"/>
          <w:color w:val="auto"/>
        </w:rPr>
      </w:pPr>
    </w:p>
    <w:p>
      <w:pPr>
        <w:jc w:val="both"/>
        <w:ind w:left="480" w:hanging="474"/>
        <w:spacing w:after="0" w:line="248"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9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Shipments in the three and nine months ended September 30, 2022 totaled $163 million and $342 million, as compared to $99 million and $255 million for the same periods in 2021. Repeat tool shipments in the three and nine months ended September 30, 2022 totaled $112 million and $209 million, as compared to $58 million and $145 million for the same periods in 2021. First tool shipments in the three- and nine-months ended September 30, 2022 totaled $51 million and $133 million, as compared to $41 million and $110 million for the same periods in 2021.</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does not have a basis to expect future revenue.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nearest GAAP equivalent. Some of these limitations are:</w:t>
      </w:r>
    </w:p>
    <w:p>
      <w:pPr>
        <w:spacing w:after="0" w:line="180" w:lineRule="exact"/>
        <w:rPr>
          <w:sz w:val="20"/>
          <w:szCs w:val="20"/>
          <w:color w:val="auto"/>
        </w:rPr>
      </w:pPr>
    </w:p>
    <w:p>
      <w:pPr>
        <w:ind w:left="480" w:hanging="474"/>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ind w:left="480" w:hanging="474"/>
        <w:spacing w:after="0" w:line="248"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2" w:lineRule="exact"/>
        <w:rPr>
          <w:rFonts w:ascii="Arial" w:cs="Arial" w:eastAsia="Arial" w:hAnsi="Arial"/>
          <w:sz w:val="18"/>
          <w:szCs w:val="18"/>
          <w:color w:val="auto"/>
        </w:rPr>
      </w:pPr>
    </w:p>
    <w:p>
      <w:pPr>
        <w:ind w:left="480" w:hanging="474"/>
        <w:spacing w:after="0" w:line="245"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4" w:lineRule="exact"/>
        <w:rPr>
          <w:rFonts w:ascii="Arial" w:cs="Arial" w:eastAsia="Arial" w:hAnsi="Arial"/>
          <w:sz w:val="18"/>
          <w:szCs w:val="18"/>
          <w:color w:val="auto"/>
        </w:rPr>
      </w:pP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4" w:lineRule="exact"/>
        <w:rPr>
          <w:rFonts w:ascii="Arial" w:cs="Arial" w:eastAsia="Arial" w:hAnsi="Arial"/>
          <w:sz w:val="18"/>
          <w:szCs w:val="18"/>
          <w:color w:val="auto"/>
        </w:rPr>
      </w:pP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4" w:lineRule="exact"/>
        <w:rPr>
          <w:rFonts w:ascii="Arial" w:cs="Arial" w:eastAsia="Arial" w:hAnsi="Arial"/>
          <w:sz w:val="18"/>
          <w:szCs w:val="18"/>
          <w:color w:val="auto"/>
        </w:rPr>
      </w:pPr>
    </w:p>
    <w:p>
      <w:pPr>
        <w:ind w:left="480" w:hanging="474"/>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16" w:lineRule="exact"/>
        <w:rPr>
          <w:rFonts w:ascii="Arial" w:cs="Arial" w:eastAsia="Arial" w:hAnsi="Arial"/>
          <w:sz w:val="17"/>
          <w:szCs w:val="17"/>
          <w:color w:val="auto"/>
        </w:rPr>
      </w:pPr>
    </w:p>
    <w:p>
      <w:pPr>
        <w:ind w:left="480" w:hanging="474"/>
        <w:spacing w:after="0" w:line="245"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480" w:hanging="474"/>
        <w:spacing w:after="0" w:line="248"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the most directly comparable GAAP financial measure, to adjusted EBITDA: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20" w:type="dxa"/>
            <w:vAlign w:val="bottom"/>
            <w:gridSpan w:val="7"/>
          </w:tcPr>
          <w:p>
            <w:pPr>
              <w:spacing w:after="0"/>
              <w:rPr>
                <w:sz w:val="20"/>
                <w:szCs w:val="20"/>
                <w:color w:val="auto"/>
              </w:rPr>
            </w:pPr>
            <w:r>
              <w:rPr>
                <w:rFonts w:ascii="Arial" w:cs="Arial" w:eastAsia="Arial" w:hAnsi="Arial"/>
                <w:sz w:val="18"/>
                <w:szCs w:val="18"/>
                <w:b w:val="1"/>
                <w:bCs w:val="1"/>
                <w:color w:val="auto"/>
                <w:w w:val="94"/>
              </w:rPr>
              <w:t>Nine Months Ended September 30,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Absolute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 Change</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6"/>
              </w:rPr>
              <w:t>Change 2022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Data:</w:t>
            </w:r>
          </w:p>
        </w:tc>
        <w:tc>
          <w:tcPr>
            <w:tcW w:w="2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3"/>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36,381</w:t>
            </w: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tcPr>
          <w:p>
            <w:pPr>
              <w:ind w:left="140"/>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8"/>
                <w:szCs w:val="18"/>
                <w:color w:val="auto"/>
              </w:rPr>
            </w:pPr>
          </w:p>
        </w:tc>
        <w:tc>
          <w:tcPr>
            <w:tcW w:w="1100" w:type="dxa"/>
            <w:vAlign w:val="bottom"/>
            <w:gridSpan w:val="2"/>
          </w:tcPr>
          <w:p>
            <w:pPr>
              <w:jc w:val="right"/>
              <w:ind w:right="17"/>
              <w:spacing w:after="0"/>
              <w:rPr>
                <w:sz w:val="20"/>
                <w:szCs w:val="20"/>
                <w:color w:val="auto"/>
              </w:rPr>
            </w:pPr>
            <w:r>
              <w:rPr>
                <w:rFonts w:ascii="Arial" w:cs="Arial" w:eastAsia="Arial" w:hAnsi="Arial"/>
                <w:sz w:val="18"/>
                <w:szCs w:val="18"/>
                <w:color w:val="auto"/>
              </w:rPr>
              <w:t>(4,979)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-1180.0%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14,138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tcPr>
          <w:p>
            <w:pPr>
              <w:ind w:left="140"/>
              <w:spacing w:after="0"/>
              <w:rPr>
                <w:sz w:val="20"/>
                <w:szCs w:val="20"/>
                <w:color w:val="auto"/>
              </w:rPr>
            </w:pPr>
            <w:r>
              <w:rPr>
                <w:rFonts w:ascii="Arial" w:cs="Arial" w:eastAsia="Arial" w:hAnsi="Arial"/>
                <w:sz w:val="18"/>
                <w:szCs w:val="18"/>
                <w:color w:val="auto"/>
              </w:rPr>
              <w:t>Unrealized (gain) loss on trading securities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(1,817)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-626.3%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25,349</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$39.1 million increase in adjusted EBITDA for the nine months ended September 30, 2022 as compared to the same period in 2021 reflected a $17.2 million impact from a change in income tax benefit (expense), a $12.1 million increase in net income, an $11.4 million increase in unrealized (gain) loss on trading securities, a $1.4 million increase in stock based compensation, and a $2.5 million increase in depreciation and amortization, partly offset by a $5.4 million impact from an increase in interest income, net.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reconciles net cash provided by (used in) operating activities, the most directly comparable GAAP financial measure, to free cash flow: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20" w:type="dxa"/>
            <w:vAlign w:val="bottom"/>
            <w:gridSpan w:val="7"/>
          </w:tcPr>
          <w:p>
            <w:pPr>
              <w:spacing w:after="0"/>
              <w:rPr>
                <w:sz w:val="20"/>
                <w:szCs w:val="20"/>
                <w:color w:val="auto"/>
              </w:rPr>
            </w:pPr>
            <w:r>
              <w:rPr>
                <w:rFonts w:ascii="Arial" w:cs="Arial" w:eastAsia="Arial" w:hAnsi="Arial"/>
                <w:sz w:val="18"/>
                <w:szCs w:val="18"/>
                <w:b w:val="1"/>
                <w:bCs w:val="1"/>
                <w:color w:val="auto"/>
                <w:w w:val="94"/>
              </w:rPr>
              <w:t>Nine Months Ended September 30,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Absolute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 Change</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6"/>
              </w:rPr>
              <w:t>Change 2022</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2022 v 2021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v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Free Cash Flow Data:</w:t>
            </w:r>
          </w:p>
        </w:tc>
        <w:tc>
          <w:tcPr>
            <w:tcW w:w="24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8"/>
                <w:szCs w:val="18"/>
                <w:i w:val="1"/>
                <w:iCs w:val="1"/>
                <w:color w:val="auto"/>
              </w:rPr>
              <w:t>(in</w:t>
            </w:r>
          </w:p>
        </w:tc>
        <w:tc>
          <w:tcPr>
            <w:tcW w:w="640" w:type="dxa"/>
            <w:vAlign w:val="bottom"/>
            <w:gridSpan w:val="3"/>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(63,530)</w:t>
            </w: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(3,822)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(59,708)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(18,417)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(5,059)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264.0%</w:t>
            </w:r>
          </w:p>
        </w:tc>
        <w:tc>
          <w:tcPr>
            <w:tcW w:w="16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w w:val="92"/>
              </w:rPr>
              <w:t>(13,358)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7"/>
              </w:rPr>
              <w:t>(81,947)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7"/>
              </w:rPr>
              <w:t>(8,881)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(73,066)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$73.1 million decrease in free cash flow for the nine months ended September 30, 2022 as compared to the same period in 2021 reflected the factors driving net cash used in operating activities, an increase of purchases of property and equipment, and an increase of purchase of intangible assets. Consistent with our methodology for calculating adjusted EBITDA, we do not adjust free cash flow for the effects of PRC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18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499173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173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247078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70785" cy="16510"/>
                    </a:xfrm>
                    <a:prstGeom prst="rect">
                      <a:avLst/>
                    </a:prstGeom>
                    <a:noFill/>
                  </pic:spPr>
                </pic:pic>
              </a:graphicData>
            </a:graphic>
          </wp:anchor>
        </w:drawing>
      </w:r>
    </w:p>
    <w:p>
      <w:pPr>
        <w:spacing w:after="0" w:line="11"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Adjusted</w:t>
      </w:r>
    </w:p>
    <w:p>
      <w:pPr>
        <w:spacing w:after="0" w:line="57" w:lineRule="exact"/>
        <w:rPr>
          <w:sz w:val="20"/>
          <w:szCs w:val="20"/>
          <w:color w:val="auto"/>
        </w:rPr>
      </w:pPr>
    </w:p>
    <w:p>
      <w:pPr>
        <w:ind w:left="3600"/>
        <w:spacing w:after="0"/>
        <w:tabs>
          <w:tab w:leader="none" w:pos="636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(Non-</w:t>
      </w:r>
    </w:p>
    <w:p>
      <w:pPr>
        <w:spacing w:after="0" w:line="5" w:lineRule="exact"/>
        <w:rPr>
          <w:sz w:val="20"/>
          <w:szCs w:val="20"/>
          <w:color w:val="auto"/>
        </w:rPr>
      </w:pPr>
    </w:p>
    <w:p>
      <w:pPr>
        <w:ind w:left="3540"/>
        <w:spacing w:after="0"/>
        <w:tabs>
          <w:tab w:leader="none" w:pos="5020" w:val="left"/>
          <w:tab w:leader="none" w:pos="6300" w:val="left"/>
        </w:tabs>
        <w:rPr>
          <w:sz w:val="20"/>
          <w:szCs w:val="20"/>
          <w:color w:val="auto"/>
        </w:rPr>
      </w:pPr>
      <w:r>
        <w:rPr>
          <w:rFonts w:ascii="Arial" w:cs="Arial" w:eastAsia="Arial" w:hAnsi="Arial"/>
          <w:sz w:val="18"/>
          <w:szCs w:val="18"/>
          <w:b w:val="1"/>
          <w:bCs w:val="1"/>
          <w:color w:val="auto"/>
        </w:rPr>
        <w:t>(GAAP)</w:t>
      </w:r>
      <w:r>
        <w:rPr>
          <w:sz w:val="20"/>
          <w:szCs w:val="20"/>
          <w:color w:val="auto"/>
        </w:rPr>
        <w:tab/>
      </w:r>
      <w:r>
        <w:rPr>
          <w:rFonts w:ascii="Arial" w:cs="Arial" w:eastAsia="Arial" w:hAnsi="Arial"/>
          <w:sz w:val="18"/>
          <w:szCs w:val="18"/>
          <w:b w:val="1"/>
          <w:bCs w:val="1"/>
          <w:color w:val="auto"/>
        </w:rPr>
        <w:t>SBC</w:t>
      </w:r>
      <w:r>
        <w:rPr>
          <w:sz w:val="20"/>
          <w:szCs w:val="20"/>
          <w:color w:val="auto"/>
        </w:rPr>
        <w:tab/>
      </w:r>
      <w:r>
        <w:rPr>
          <w:rFonts w:ascii="Arial" w:cs="Arial" w:eastAsia="Arial" w:hAnsi="Arial"/>
          <w:sz w:val="17"/>
          <w:szCs w:val="17"/>
          <w:b w:val="1"/>
          <w:bCs w:val="1"/>
          <w:color w:val="auto"/>
        </w:rPr>
        <w:t>GAAP)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14605</wp:posOffset>
            </wp:positionV>
            <wp:extent cx="238696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86965" cy="16510"/>
                    </a:xfrm>
                    <a:prstGeom prst="rect">
                      <a:avLst/>
                    </a:prstGeom>
                    <a:noFill/>
                  </pic:spPr>
                </pic:pic>
              </a:graphicData>
            </a:graphic>
          </wp:anchor>
        </w:drawing>
      </w:r>
    </w:p>
    <w:p>
      <w:pPr>
        <w:spacing w:after="0" w:line="223" w:lineRule="exact"/>
        <w:rPr>
          <w:sz w:val="20"/>
          <w:szCs w:val="20"/>
          <w:color w:val="auto"/>
        </w:rPr>
      </w:pPr>
    </w:p>
    <w:p>
      <w:pPr>
        <w:ind w:left="60"/>
        <w:spacing w:after="0"/>
        <w:tabs>
          <w:tab w:leader="none" w:pos="260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Adjusted</w:t>
      </w:r>
    </w:p>
    <w:p>
      <w:pPr>
        <w:spacing w:after="0" w:line="22" w:lineRule="exact"/>
        <w:rPr>
          <w:sz w:val="20"/>
          <w:szCs w:val="20"/>
          <w:color w:val="auto"/>
        </w:rPr>
      </w:pPr>
    </w:p>
    <w:p>
      <w:pPr>
        <w:spacing w:after="0"/>
        <w:tabs>
          <w:tab w:leader="none" w:pos="1440" w:val="left"/>
          <w:tab w:leader="none" w:pos="2440" w:val="left"/>
        </w:tabs>
        <w:rPr>
          <w:sz w:val="20"/>
          <w:szCs w:val="20"/>
          <w:color w:val="auto"/>
        </w:rPr>
      </w:pPr>
      <w:r>
        <w:rPr>
          <w:rFonts w:ascii="Arial" w:cs="Arial" w:eastAsia="Arial" w:hAnsi="Arial"/>
          <w:sz w:val="18"/>
          <w:szCs w:val="18"/>
          <w:b w:val="1"/>
          <w:bCs w:val="1"/>
          <w:color w:val="auto"/>
        </w:rPr>
        <w:t>(GAAP)</w:t>
      </w:r>
      <w:r>
        <w:rPr>
          <w:sz w:val="20"/>
          <w:szCs w:val="20"/>
          <w:color w:val="auto"/>
        </w:rPr>
        <w:tab/>
      </w:r>
      <w:r>
        <w:rPr>
          <w:rFonts w:ascii="Arial" w:cs="Arial" w:eastAsia="Arial" w:hAnsi="Arial"/>
          <w:sz w:val="18"/>
          <w:szCs w:val="18"/>
          <w:b w:val="1"/>
          <w:bCs w:val="1"/>
          <w:color w:val="auto"/>
        </w:rPr>
        <w:t>SBC</w:t>
      </w:r>
      <w:r>
        <w:rPr>
          <w:sz w:val="20"/>
          <w:szCs w:val="20"/>
          <w:color w:val="auto"/>
        </w:rPr>
        <w:tab/>
      </w:r>
      <w:r>
        <w:rPr>
          <w:rFonts w:ascii="Arial" w:cs="Arial" w:eastAsia="Arial" w:hAnsi="Arial"/>
          <w:sz w:val="17"/>
          <w:szCs w:val="17"/>
          <w:b w:val="1"/>
          <w:bCs w:val="1"/>
          <w:color w:val="auto"/>
        </w:rPr>
        <w:t>(Non-GAAP)</w:t>
      </w:r>
    </w:p>
    <w:p>
      <w:pPr>
        <w:spacing w:after="0" w:line="25" w:lineRule="exact"/>
        <w:rPr>
          <w:sz w:val="20"/>
          <w:szCs w:val="20"/>
          <w:color w:val="auto"/>
        </w:rPr>
      </w:pPr>
    </w:p>
    <w:p>
      <w:pPr>
        <w:sectPr>
          <w:pgSz w:w="11900" w:h="16838" w:orient="portrait"/>
          <w:cols w:equalWidth="0" w:num="2">
            <w:col w:w="6940" w:space="680"/>
            <w:col w:w="3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23"/>
              <w:spacing w:after="0" w:line="199" w:lineRule="exact"/>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280,290</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164,609</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(150,480)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(150,097)</w:t>
            </w:r>
          </w:p>
        </w:tc>
        <w:tc>
          <w:tcPr>
            <w:tcW w:w="4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(95,199)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(94,910)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130,193</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(26,217)</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(44,391)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(1,733)</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(42,658)</w:t>
            </w:r>
          </w:p>
        </w:tc>
        <w:tc>
          <w:tcPr>
            <w:tcW w:w="4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(21,293)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(20,492)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(13,717)</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(5,236)</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47,601</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19,576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(3,823)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operating income for the nine months ended September 30, 2022 increased by $24.2 million, as compared with the same period in 2021, due to a $22.8 million increase in income from operations and a $1.4 million increase in stock-based compensation expense.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jc w:val="right"/>
        <w:ind w:right="2680"/>
        <w:spacing w:after="0"/>
        <w:rPr>
          <w:sz w:val="20"/>
          <w:szCs w:val="20"/>
          <w:color w:val="auto"/>
        </w:rPr>
      </w:pPr>
      <w:r>
        <w:rPr>
          <w:rFonts w:ascii="Arial" w:cs="Arial" w:eastAsia="Arial" w:hAnsi="Arial"/>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499173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1735"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247078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70785" cy="16510"/>
                    </a:xfrm>
                    <a:prstGeom prst="rect">
                      <a:avLst/>
                    </a:prstGeom>
                    <a:noFill/>
                  </pic:spPr>
                </pic:pic>
              </a:graphicData>
            </a:graphic>
          </wp:anchor>
        </w:drawing>
      </w:r>
    </w:p>
    <w:p>
      <w:pPr>
        <w:spacing w:after="0" w:line="11" w:lineRule="exact"/>
        <w:rPr>
          <w:sz w:val="20"/>
          <w:szCs w:val="20"/>
          <w:color w:val="auto"/>
        </w:rPr>
      </w:pPr>
    </w:p>
    <w:p>
      <w:pPr>
        <w:ind w:left="6260"/>
        <w:spacing w:after="0"/>
        <w:rPr>
          <w:sz w:val="20"/>
          <w:szCs w:val="20"/>
          <w:color w:val="auto"/>
        </w:rPr>
      </w:pPr>
      <w:r>
        <w:rPr>
          <w:rFonts w:ascii="Arial" w:cs="Arial" w:eastAsia="Arial" w:hAnsi="Arial"/>
          <w:sz w:val="15"/>
          <w:szCs w:val="15"/>
          <w:b w:val="1"/>
          <w:bCs w:val="1"/>
          <w:color w:val="auto"/>
        </w:rPr>
        <w:t>Adjusted</w:t>
      </w:r>
    </w:p>
    <w:p>
      <w:pPr>
        <w:spacing w:after="0" w:line="57" w:lineRule="exact"/>
        <w:rPr>
          <w:sz w:val="20"/>
          <w:szCs w:val="20"/>
          <w:color w:val="auto"/>
        </w:rPr>
      </w:pPr>
    </w:p>
    <w:p>
      <w:pPr>
        <w:ind w:left="3600"/>
        <w:spacing w:after="0"/>
        <w:tabs>
          <w:tab w:leader="none" w:pos="636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(Non-</w:t>
      </w:r>
    </w:p>
    <w:p>
      <w:pPr>
        <w:spacing w:after="0" w:line="5" w:lineRule="exact"/>
        <w:rPr>
          <w:sz w:val="20"/>
          <w:szCs w:val="20"/>
          <w:color w:val="auto"/>
        </w:rPr>
      </w:pPr>
    </w:p>
    <w:p>
      <w:pPr>
        <w:ind w:left="3540"/>
        <w:spacing w:after="0"/>
        <w:tabs>
          <w:tab w:leader="none" w:pos="5020" w:val="left"/>
          <w:tab w:leader="none" w:pos="6300" w:val="left"/>
        </w:tabs>
        <w:rPr>
          <w:sz w:val="20"/>
          <w:szCs w:val="20"/>
          <w:color w:val="auto"/>
        </w:rPr>
      </w:pPr>
      <w:r>
        <w:rPr>
          <w:rFonts w:ascii="Arial" w:cs="Arial" w:eastAsia="Arial" w:hAnsi="Arial"/>
          <w:sz w:val="18"/>
          <w:szCs w:val="18"/>
          <w:b w:val="1"/>
          <w:bCs w:val="1"/>
          <w:color w:val="auto"/>
        </w:rPr>
        <w:t>(GAAP)</w:t>
      </w:r>
      <w:r>
        <w:rPr>
          <w:sz w:val="20"/>
          <w:szCs w:val="20"/>
          <w:color w:val="auto"/>
        </w:rPr>
        <w:tab/>
      </w:r>
      <w:r>
        <w:rPr>
          <w:rFonts w:ascii="Arial" w:cs="Arial" w:eastAsia="Arial" w:hAnsi="Arial"/>
          <w:sz w:val="18"/>
          <w:szCs w:val="18"/>
          <w:b w:val="1"/>
          <w:bCs w:val="1"/>
          <w:color w:val="auto"/>
        </w:rPr>
        <w:t>SBC</w:t>
      </w:r>
      <w:r>
        <w:rPr>
          <w:sz w:val="20"/>
          <w:szCs w:val="20"/>
          <w:color w:val="auto"/>
        </w:rPr>
        <w:tab/>
      </w:r>
      <w:r>
        <w:rPr>
          <w:rFonts w:ascii="Arial" w:cs="Arial" w:eastAsia="Arial" w:hAnsi="Arial"/>
          <w:sz w:val="17"/>
          <w:szCs w:val="17"/>
          <w:b w:val="1"/>
          <w:bCs w:val="1"/>
          <w:color w:val="auto"/>
        </w:rPr>
        <w:t>GAAP)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14605</wp:posOffset>
            </wp:positionV>
            <wp:extent cx="238696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86965" cy="16510"/>
                    </a:xfrm>
                    <a:prstGeom prst="rect">
                      <a:avLst/>
                    </a:prstGeom>
                    <a:noFill/>
                  </pic:spPr>
                </pic:pic>
              </a:graphicData>
            </a:graphic>
          </wp:anchor>
        </w:drawing>
      </w:r>
    </w:p>
    <w:p>
      <w:pPr>
        <w:spacing w:after="0" w:line="223" w:lineRule="exact"/>
        <w:rPr>
          <w:sz w:val="20"/>
          <w:szCs w:val="20"/>
          <w:color w:val="auto"/>
        </w:rPr>
      </w:pPr>
    </w:p>
    <w:p>
      <w:pPr>
        <w:ind w:left="60"/>
        <w:spacing w:after="0"/>
        <w:tabs>
          <w:tab w:leader="none" w:pos="260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Adjusted</w:t>
      </w:r>
    </w:p>
    <w:p>
      <w:pPr>
        <w:spacing w:after="0" w:line="22" w:lineRule="exact"/>
        <w:rPr>
          <w:sz w:val="20"/>
          <w:szCs w:val="20"/>
          <w:color w:val="auto"/>
        </w:rPr>
      </w:pPr>
    </w:p>
    <w:p>
      <w:pPr>
        <w:spacing w:after="0"/>
        <w:tabs>
          <w:tab w:leader="none" w:pos="1440" w:val="left"/>
          <w:tab w:leader="none" w:pos="2440" w:val="left"/>
        </w:tabs>
        <w:rPr>
          <w:sz w:val="20"/>
          <w:szCs w:val="20"/>
          <w:color w:val="auto"/>
        </w:rPr>
      </w:pPr>
      <w:r>
        <w:rPr>
          <w:rFonts w:ascii="Arial" w:cs="Arial" w:eastAsia="Arial" w:hAnsi="Arial"/>
          <w:sz w:val="18"/>
          <w:szCs w:val="18"/>
          <w:b w:val="1"/>
          <w:bCs w:val="1"/>
          <w:color w:val="auto"/>
        </w:rPr>
        <w:t>(GAAP)</w:t>
      </w:r>
      <w:r>
        <w:rPr>
          <w:sz w:val="20"/>
          <w:szCs w:val="20"/>
          <w:color w:val="auto"/>
        </w:rPr>
        <w:tab/>
      </w:r>
      <w:r>
        <w:rPr>
          <w:rFonts w:ascii="Arial" w:cs="Arial" w:eastAsia="Arial" w:hAnsi="Arial"/>
          <w:sz w:val="18"/>
          <w:szCs w:val="18"/>
          <w:b w:val="1"/>
          <w:bCs w:val="1"/>
          <w:color w:val="auto"/>
        </w:rPr>
        <w:t>SBC</w:t>
      </w:r>
      <w:r>
        <w:rPr>
          <w:sz w:val="20"/>
          <w:szCs w:val="20"/>
          <w:color w:val="auto"/>
        </w:rPr>
        <w:tab/>
      </w:r>
      <w:r>
        <w:rPr>
          <w:rFonts w:ascii="Arial" w:cs="Arial" w:eastAsia="Arial" w:hAnsi="Arial"/>
          <w:sz w:val="17"/>
          <w:szCs w:val="17"/>
          <w:b w:val="1"/>
          <w:bCs w:val="1"/>
          <w:color w:val="auto"/>
        </w:rPr>
        <w:t>(Non-GAAP)</w:t>
      </w:r>
    </w:p>
    <w:p>
      <w:pPr>
        <w:spacing w:after="0" w:line="25" w:lineRule="exact"/>
        <w:rPr>
          <w:sz w:val="20"/>
          <w:szCs w:val="20"/>
          <w:color w:val="auto"/>
        </w:rPr>
      </w:pPr>
    </w:p>
    <w:p>
      <w:pPr>
        <w:sectPr>
          <w:pgSz w:w="11900" w:h="16838" w:orient="portrait"/>
          <w:cols w:equalWidth="0" w:num="2">
            <w:col w:w="6940" w:space="680"/>
            <w:col w:w="36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3"/>
          </w:tcPr>
          <w:p>
            <w:pPr>
              <w:jc w:val="right"/>
              <w:ind w:right="23"/>
              <w:spacing w:after="0" w:line="199" w:lineRule="exact"/>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133,709</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133,709</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67,013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(67,742)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(67,612)</w:t>
            </w:r>
          </w:p>
        </w:tc>
        <w:tc>
          <w:tcPr>
            <w:tcW w:w="4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(37,328)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(37,220)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66,097</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(12,784)</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(15,678)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(666)</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(15,012)</w:t>
            </w:r>
          </w:p>
        </w:tc>
        <w:tc>
          <w:tcPr>
            <w:tcW w:w="4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(7,856)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(1,893)</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33,529</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11,795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(1,278)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operating income for the three months ended September 30, 2022 increased by $20.5 million, as compared with the same period in 2021, due to a $19.8 million increase in income from operations, offset by a $0.6 million increase in stock-based compensation expense.</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market risks and the ways we manage them are summarized in the section captioned “Part II, Item 7A. Quantitative and Qualitative Disclosures About Market Risk” in our Annual Report. There have been no material changes in the first nine months of 2022 to our market risks or to our management of such risks.</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7" w:lineRule="exact"/>
        <w:rPr>
          <w:sz w:val="20"/>
          <w:szCs w:val="20"/>
          <w:color w:val="auto"/>
        </w:rPr>
      </w:pPr>
    </w:p>
    <w:p>
      <w:pPr>
        <w:jc w:val="both"/>
        <w:spacing w:after="0" w:line="213" w:lineRule="exact"/>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September 30, 2022.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beginning in 2020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COVID</w:t>
      </w:r>
      <w:r>
        <w:rPr>
          <w:rFonts w:ascii="MS PGothic" w:cs="MS PGothic" w:eastAsia="MS PGothic" w:hAnsi="MS PGothic"/>
          <w:sz w:val="15"/>
          <w:szCs w:val="15"/>
          <w:color w:val="auto"/>
        </w:rPr>
        <w:t>‑</w:t>
      </w:r>
      <w:r>
        <w:rPr>
          <w:rFonts w:ascii="Arial" w:cs="Arial" w:eastAsia="Arial" w:hAnsi="Arial"/>
          <w:sz w:val="15"/>
          <w:szCs w:val="15"/>
          <w:color w:val="auto"/>
        </w:rPr>
        <w:t>19 increases.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Based on that evaluation, our Chief Executive Officer and Chief Financial Officer concluded that, as of September 30, 2022,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and Remediation Efforts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were no changes in our internal control over financial reporting during the nine months ended September 30, 2022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Risk Factors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Except as set forth below, there were no material changes to the risk factors discussed in Item 1A. “Risk Factors” of Part I in our Annual Report and in Item 1A. “Risk Factors” of Part II in our Quarterly Report on Form 10-Q for the quarter ended June 30, 2022.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Aspects of Our Business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We could be adversely affected if we are unable to comply with recent and proposed legislation and regulations regarding improved access to audit and other information and audit inspections of accounting firms, including registered public accounting firms, such as our audit firm since our initial public offering in 2017, operating in the PRC.</w:t>
      </w:r>
    </w:p>
    <w:p>
      <w:pPr>
        <w:spacing w:after="0" w:line="19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are one of the companies named in the SEC’s “Conclusive list of issuers identified under the HFCAA.” BDO China had been our independent registered public accounting firm in recent years, including for the year ended December 31, 2021, and is not inspected by the PCAOB.</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HFCA Act, which became law in December 2020, includes requirements for the SEC to identify issuers whose audit work is performed by auditors that the PCAOB is unable to inspect or investigate completely because of a restriction imposed by a non-U.S. authority in the auditor’s local jurisdiction. The HFCA Act also requires that, to the extent that the PCAOB has been unable to inspect an issuer’s auditor for three consecutive years since 2021, the SEC shall prohibit the issuer’s securities registered in the United States from being traded on any national securities exchange or over-the-counter market in the United States.</w:t>
      </w:r>
    </w:p>
    <w:p>
      <w:pPr>
        <w:spacing w:after="0" w:line="192" w:lineRule="exact"/>
        <w:rPr>
          <w:sz w:val="20"/>
          <w:szCs w:val="20"/>
          <w:color w:val="auto"/>
        </w:rPr>
      </w:pPr>
    </w:p>
    <w:p>
      <w:pPr>
        <w:jc w:val="both"/>
        <w:ind w:left="640" w:hanging="316"/>
        <w:spacing w:after="0" w:line="296" w:lineRule="auto"/>
        <w:tabs>
          <w:tab w:leader="none" w:pos="6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On March 24, 2021, the SEC adopted interim final amendments to implement congressionally mandated submission and disclosure required of the HFCA Act, and on December 2, 2021, the SEC adopted final amendments to finalize rules implementing the submission and disclosures in the HFCA Act. These final amendments apply to registrants that the SEC identifies as having filed an Annual Report on Form 10-K (or certain other forms) with an audit report issued by a registered public accounting firm that is located in a foreign jurisdiction and that the PCAOB has determined it is unable to inspect or investigate completely because of a position taken by an authority in that jurisdiction.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4" w:lineRule="exact"/>
        <w:rPr>
          <w:rFonts w:ascii="Arial" w:cs="Arial" w:eastAsia="Arial" w:hAnsi="Arial"/>
          <w:sz w:val="15"/>
          <w:szCs w:val="15"/>
          <w:color w:val="auto"/>
        </w:rPr>
      </w:pPr>
    </w:p>
    <w:p>
      <w:pPr>
        <w:jc w:val="both"/>
        <w:ind w:left="640" w:hanging="316"/>
        <w:spacing w:after="0" w:line="259"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Furthermore, on June 22, 2021, the U.S. Senate passed the Accelerating Holding Foreign Companies Accountable Act, which, if enacted, would amend the HFCA Act to require the SEC to prohibit an issuer’s securities from trading on any national securities exchange or over-the-counter market in the United States if the PCAOB has been unable to inspect an issuer’s auditor for two, rather than three, consecutive years.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4" w:lineRule="exact"/>
        <w:rPr>
          <w:rFonts w:ascii="Arial" w:cs="Arial" w:eastAsia="Arial" w:hAnsi="Arial"/>
          <w:sz w:val="17"/>
          <w:szCs w:val="17"/>
          <w:color w:val="auto"/>
        </w:rPr>
      </w:pPr>
    </w:p>
    <w:p>
      <w:pPr>
        <w:jc w:val="both"/>
        <w:ind w:left="640" w:hanging="316"/>
        <w:spacing w:after="0" w:line="245"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December 16, 2021, the PCAOB designated China and Hong Kong as jurisdictions where the PCAOB is not allowed to conduct full and complete audit inspections and has identified firms registered in such jurisdictions, including BDO China. Pursuant to each annual determination by the PCAOB, the SEC will, on an annual basis, identify issuers that have used non-inspected audit firms.</w:t>
      </w:r>
    </w:p>
    <w:p>
      <w:pPr>
        <w:spacing w:after="0" w:line="1" w:lineRule="exact"/>
        <w:rPr>
          <w:rFonts w:ascii="Arial" w:cs="Arial" w:eastAsia="Arial" w:hAnsi="Arial"/>
          <w:sz w:val="18"/>
          <w:szCs w:val="18"/>
          <w:color w:val="auto"/>
        </w:rPr>
      </w:pPr>
    </w:p>
    <w:p>
      <w:pPr>
        <w:jc w:val="both"/>
        <w:ind w:left="640" w:hanging="316"/>
        <w:spacing w:after="0" w:line="248"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March 8, 2022, the SEC published its first “Provisional list of issuers identified under the HFCAA.” Our company was identified on the SEC’s provisional list after we filed the Annual Report, which included an audit report issued by BDO China. According to current SEC guidelines, a trading prohibition on our Class A common stock could be invoked as early as 2024.</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March 30, 2022, our company was transferred to the SEC’s “Conclusive list of issuers identified under the HFCAA.”</w:t>
      </w:r>
    </w:p>
    <w:p>
      <w:pPr>
        <w:spacing w:after="0" w:line="16" w:lineRule="exact"/>
        <w:rPr>
          <w:rFonts w:ascii="Arial" w:cs="Arial" w:eastAsia="Arial" w:hAnsi="Arial"/>
          <w:sz w:val="18"/>
          <w:szCs w:val="18"/>
          <w:color w:val="auto"/>
        </w:rPr>
      </w:pPr>
    </w:p>
    <w:p>
      <w:pPr>
        <w:jc w:val="both"/>
        <w:ind w:left="640" w:hanging="316"/>
        <w:spacing w:after="0" w:line="261"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August 26, 2022, the PCAOB signed a Statement of Protocol, or SOP, Agreement with the CSRC and China’s Ministry of Finance. The SOP, together with two protocol agreements governing inspections and investigation, establishes a specific, accountable framework to make possible complete inspections and investigations by the PCAOB of audit firms based in China and Hong Kong, as required under U.S. law. Pursuant to the fact sheet with respect to the SOP disclosed by the SEC, the PCAOB has sole discretion to select the audit firms, engagements and potential violations that it inspects or investigates and has the ability to transfer information to the SEC in the normal course. PCAOB inspectors and investigators can view all audit documentation without redaction, and the PCAOB can retain any audit information it reviews as needed to support the findings of its inspections and investigations. In addition, the SOP allows the PCAOB to interview and take testimony of personnel associated with the audits that the PCAOB inspects or investigates. However, uncertainties still exist as to whether and how the SOP will be implemented and whether the PCAOB can make a determination that it is able to inspect and investigate completely audit firms based in mainland China and Hong Kong. When the PCAOB reassesses its determinations by the end of 2022, it could determine that it is still unable to inspect and investigate completely audit firms based in mainland China and Hong Kong.</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Per current regulations, if ACM Research were to appear three consecutive times on the “Conclusive list of issuers identified under the HFCAA”, which could occur should our independent auditor that signs our 2022 and 2023 annual report be located in a jurisdiction that does not allow for PCAOB inspections, the value of our securities may significantly decline or become worthless, and our securities may eventually be delisted. If enacted, the Accelerating Holding Foreign Companies Accountable Act could reduce the threshold to two consecutive appearances on the “Conclusive List of issuers identified under the HFCAA”, and thus could trigger a de-listing should our independent auditor that signs our 2022 annual report be located in a jurisdiction that does not allow for PCAOB inspections.</w:t>
      </w:r>
    </w:p>
    <w:p>
      <w:pPr>
        <w:spacing w:after="0" w:line="194"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Our independent registered public accounting firm for the year ended December 31, 2022 is Armanino LLP, which is registered with the PCAOB. On June 30, 2022, stockholders of ACM Research ratified the appointment of Armanino LLP as our independent auditor for the fiscal year ending December 31, 2022. Armanino LLP is neither headquartered in the PRC or Hong Kong nor is it subject to the determinations announced by the PCAOB.</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It remains unclear what further actions the SEC, the PCAOB or Nasdaq may take to address these issues and what impact those actions will have on U.S. companies, such as ours, that have significant operations in the PRC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b w:val="1"/>
          <w:bCs w:val="1"/>
          <w:i w:val="1"/>
          <w:iCs w:val="1"/>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PRC central government authorities have taken steps to preclude, or significantly discourage, certain PRC companies from listing on U.S. and other exchanges outside the PRC. Investments activities in the PRC by non-PRC investors are principally governed by the Encouraged Industries Catalog for Foreign Investment (2020 version) and the Special Administrative Measures for Foreign Investment Access (Negative List 2021), both of which were promulgated by the PRC’s Ministry of Commerce, or MOFCOM, and National Development and Reform Commission. These regulations set forth the industries in which foreign investments are encouraged, restricted and prohibited.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Industries that are not listed in any of these three categories are generally open to foreign investment unless otherwise specifically restricted by other PRC rules and regulations. We believe that our operations do not fall within any industry that is restricted or prohibited under these regulations and that the regulations therefore do not apply to us.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PRC-based companies that seek to list their shares in the United States but are subject to PRC restrictions on investments by non-PRC investors sometimes use a special purpose vehicle known as a variable interest entity, or VIE, created in an off-shore jurisdiction such as the Cayman Islands. In these structures, a VIE enters into a series of contractual arrangements with the PRC-based operating company and its PRC-based shareholders that afford those shareholders, rather than the shareholders of the VIE, effective control over the finances and operations of the operating company. The VIE, effectively a shell company, issues shares that are listed for trading on a U.S. exchange, but the enterprise is controlled by the legacy PRC-based shareholders and is subject to PRC laws and regulations. ACM Research is not a VIE or other special purpose, or shell, company, and its relationship with ACM Shanghai does not involve the types of contractual arrangements existing between a VIE and a PRC-based operating company. ACM Research is a Delaware corporation founded in California in 1998 that formed ACM Shanghai to conduct business operations in the PRC. ACM Research controls the operations of ACM Shanghai through its direct ownership of ACM Shanghai shares, and it also conducts sales and marketing activities focused on sales of ACM Shanghai products in North America, Europe and certain regions in Asia outside mainland China.</w:t>
      </w:r>
    </w:p>
    <w:p>
      <w:pPr>
        <w:spacing w:after="0" w:line="18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do not believe that our corporate structure or any other matters relating to our business operations currently require that ACM Shanghai obtain any permissions or approvals from the China Securities Regulatory Commission, or CSRC, or any other PRC central government authority in connection with ACM’s listing, or offering for sale in the future, shares of our Class A common stock in the United States. We, including ACM Shanghai, therefore have never solicited any permission or approval from any PRC central government authority in connection with ACM Research’s seeking and maintaining the listing of our Class A common stock in the United States. In the event that we inadvertently conclude that permissions or approvals are not required, or either the CSRC or another PRC central government authority were to determine that existing PRC laws or regulations require that ACM Shanghai obtain the authority’s permission or approval to continue ACM Research’s listing of Class A common stock in the United States or if those existing PRC laws and regulations, or interpretations thereof, were to change to require such permission or approval, ACM Shanghai could be unable to obtain any such permission or approval or could be able to obtain such permission or approval only on terms and conditions that impose material new operating or other restrictions and limitations on ACM Shanghai. In such circumstances, it would materially and adversely affect the value of our Class A common stock, which may decline in value or become worthless. In addition, ACM Shanghai could face sanctions by the CSRC or other PRC central government authorities or pressure from the PRC government in various business matters for failure to obtain such permission or approval. Such potential sanctions or pressure may include fines and penalties on ACM Shanghai’s operations in the PRC, limitations on its operating privileges in the PRC, delays in or restrictions on the transfer of proceeds from a public offering of ACM Research securities in the United States to ACM Shanghai, restrictions on or prohibition of the payments or remittance of dividends by ACM Shanghai to ACM Research, or other actions that could have a material and adverse effect on our business, financial condition, results of operations, reputation and prospects, as well as the trading price of ACM Research Class A common stock, which could decline in value or become worthless.</w:t>
      </w:r>
    </w:p>
    <w:p>
      <w:pPr>
        <w:spacing w:after="0" w:line="3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8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of ACM Shanghai or ACM Research. We cannot assure you, however, that future changes in PRC laws and regulations will not materially and adversely affect our PRC-based operations. For example: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ind w:left="840" w:hanging="477"/>
        <w:spacing w:after="0" w:line="302" w:lineRule="auto"/>
        <w:tabs>
          <w:tab w:leader="none" w:pos="840"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Our commercial success depends in part on our ability to obtain and maintain patent and trade secret protection for our intellectual property, including our SAPS, TEBO, Tahoe, ECP, furnace and other technologies and the design of our Ultra C equipment. See “Risks Related to Our Intellectual Property and Data Security¾</w:t>
      </w:r>
      <w:r>
        <w:rPr>
          <w:rFonts w:ascii="Arial" w:cs="Arial" w:eastAsia="Arial" w:hAnsi="Arial"/>
          <w:sz w:val="15"/>
          <w:szCs w:val="15"/>
          <w:i w:val="1"/>
          <w:iCs w:val="1"/>
          <w:color w:val="auto"/>
        </w:rPr>
        <w:t>Our success depends on our ability to protect our intellectual property, including our</w:t>
      </w:r>
      <w:r>
        <w:rPr>
          <w:rFonts w:ascii="Arial" w:cs="Arial" w:eastAsia="Arial" w:hAnsi="Arial"/>
          <w:sz w:val="15"/>
          <w:szCs w:val="15"/>
          <w:color w:val="auto"/>
        </w:rPr>
        <w:t xml:space="preserve"> </w:t>
      </w:r>
      <w:r>
        <w:rPr>
          <w:rFonts w:ascii="Arial" w:cs="Arial" w:eastAsia="Arial" w:hAnsi="Arial"/>
          <w:sz w:val="15"/>
          <w:szCs w:val="15"/>
          <w:i w:val="1"/>
          <w:iCs w:val="1"/>
          <w:color w:val="auto"/>
        </w:rPr>
        <w:t>SAPS, TEBO, Tahoe, ECP, furnace and other technologies</w:t>
      </w:r>
      <w:r>
        <w:rPr>
          <w:rFonts w:ascii="Arial" w:cs="Arial" w:eastAsia="Arial" w:hAnsi="Arial"/>
          <w:sz w:val="15"/>
          <w:szCs w:val="15"/>
          <w:color w:val="auto"/>
        </w:rPr>
        <w:t>.” in Item 1A, “Risk Factors” of Part I of our Annual Report. The significant majority of</w:t>
      </w:r>
      <w:r>
        <w:rPr>
          <w:rFonts w:ascii="Arial" w:cs="Arial" w:eastAsia="Arial" w:hAnsi="Arial"/>
          <w:sz w:val="15"/>
          <w:szCs w:val="15"/>
          <w:i w:val="1"/>
          <w:iCs w:val="1"/>
          <w:color w:val="auto"/>
        </w:rPr>
        <w:t xml:space="preserve"> </w:t>
      </w:r>
      <w:r>
        <w:rPr>
          <w:rFonts w:ascii="Arial" w:cs="Arial" w:eastAsia="Arial" w:hAnsi="Arial"/>
          <w:sz w:val="15"/>
          <w:szCs w:val="15"/>
          <w:color w:val="auto"/>
        </w:rPr>
        <w:t>our intellectual property has been developed in the PRC and is owned by ACM Shanghai. Implementation and enforcement of intellectual property-related laws in the PRC has historically been lacking due primarily to ambiguities in PRC intellectual property law. See “Risks Related to Our Intellectual Property and Data Security¾</w:t>
      </w:r>
      <w:r>
        <w:rPr>
          <w:rFonts w:ascii="Arial" w:cs="Arial" w:eastAsia="Arial" w:hAnsi="Arial"/>
          <w:sz w:val="15"/>
          <w:szCs w:val="15"/>
          <w:i w:val="1"/>
          <w:iCs w:val="1"/>
          <w:color w:val="auto"/>
        </w:rPr>
        <w:t>We may not be able to protect our intellectual property rights throughout the world, including the</w:t>
      </w:r>
      <w:r>
        <w:rPr>
          <w:rFonts w:ascii="Arial" w:cs="Arial" w:eastAsia="Arial" w:hAnsi="Arial"/>
          <w:sz w:val="15"/>
          <w:szCs w:val="15"/>
          <w:color w:val="auto"/>
        </w:rPr>
        <w:t xml:space="preserve"> </w:t>
      </w:r>
      <w:r>
        <w:rPr>
          <w:rFonts w:ascii="Arial" w:cs="Arial" w:eastAsia="Arial" w:hAnsi="Arial"/>
          <w:sz w:val="15"/>
          <w:szCs w:val="15"/>
          <w:i w:val="1"/>
          <w:iCs w:val="1"/>
          <w:color w:val="auto"/>
        </w:rPr>
        <w:t>PRC, which could materially, negatively affect our business</w:t>
      </w:r>
      <w:r>
        <w:rPr>
          <w:rFonts w:ascii="Arial" w:cs="Arial" w:eastAsia="Arial" w:hAnsi="Arial"/>
          <w:sz w:val="15"/>
          <w:szCs w:val="15"/>
          <w:color w:val="auto"/>
        </w:rPr>
        <w:t>.” in Item 1A, “Risk Factors” of Part I of our Annual Report. In the event PRC central</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 authorities were to significantly revise or revamp the current scope and structure of intellectual property protection in the PRC, our ability to protect and enforce our intellectual property rights for our key proprietary technologies may be adversely impacted and competitors may be able to match our technologies and tools in order to compete with us.</w:t>
      </w:r>
    </w:p>
    <w:p>
      <w:pPr>
        <w:spacing w:after="0" w:line="370" w:lineRule="exact"/>
        <w:rPr>
          <w:rFonts w:ascii="Arial" w:cs="Arial" w:eastAsia="Arial" w:hAnsi="Arial"/>
          <w:sz w:val="15"/>
          <w:szCs w:val="15"/>
          <w:color w:val="auto"/>
        </w:rPr>
      </w:pPr>
    </w:p>
    <w:p>
      <w:pPr>
        <w:jc w:val="both"/>
        <w:ind w:left="840" w:hanging="477"/>
        <w:spacing w:after="0" w:line="308" w:lineRule="auto"/>
        <w:tabs>
          <w:tab w:leader="none" w:pos="840"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Title Defect in Leased Premises</w:t>
      </w:r>
      <w:r>
        <w:rPr>
          <w:rFonts w:ascii="Arial" w:cs="Arial" w:eastAsia="Arial" w:hAnsi="Arial"/>
          <w:sz w:val="15"/>
          <w:szCs w:val="15"/>
          <w:color w:val="auto"/>
        </w:rPr>
        <w:t>. We conduct research and development, service support operations, and a portion of our manufacturing at ACM Shanghai’s headquarters located in the Zhangjiang Hi Tech Park in Shanghai, which ACM Shanghai leases from Zhangjiang Group. Zhangjiang Group has not obtained a certificate of property title for the premises, although it has represented to ACM Shanghai that it has the right to rent the premises to ACM Shanghai. If any adjustment in local regional overall planning of Shanghai, or any other reason, results in the demolition of such premises, the premises could not continue to be leased to ACM Shanghai and the day-to-day production and operation of ACM Shanghai would be materially and adversely affected. See Item 2, “Properties” of Part I of our Annual Report.</w:t>
      </w:r>
    </w:p>
    <w:p>
      <w:pPr>
        <w:spacing w:after="0" w:line="154" w:lineRule="exact"/>
        <w:rPr>
          <w:rFonts w:ascii="Arial" w:cs="Arial" w:eastAsia="Arial" w:hAnsi="Arial"/>
          <w:sz w:val="15"/>
          <w:szCs w:val="15"/>
          <w:color w:val="auto"/>
        </w:rPr>
      </w:pPr>
    </w:p>
    <w:p>
      <w:pPr>
        <w:jc w:val="both"/>
        <w:ind w:left="840" w:hanging="477"/>
        <w:spacing w:after="0" w:line="213" w:lineRule="exact"/>
        <w:tabs>
          <w:tab w:leader="none" w:pos="84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COVID-19 Pandemic</w:t>
      </w:r>
      <w:r>
        <w:rPr>
          <w:rFonts w:ascii="Arial" w:cs="Arial" w:eastAsia="Arial" w:hAnsi="Arial"/>
          <w:sz w:val="17"/>
          <w:szCs w:val="17"/>
          <w:color w:val="auto"/>
        </w:rPr>
        <w:t>. We conduct substantially all of our product development, manufacturing, support and services in the PRC, and those activities have been directly impacted by COVID-19 and related restrictions on transportation and public appearances, including implementation by PRC government authorities of “spot” and full-city quarantines in the city of Shanghai, where substantially all of our operations are located. Furthermore, a number of our key customers have substantial operations based in operations areas of the PRC, including in the City of Shanghai, which required us to defer, in the first quarter of 2022, shipments of finished products to those customers. Protective measures taken by PRC government authorities in upcoming months could result in closures or reductions of PRC operations or production, whether of ACM Shanghai or of some of its key customers, or other business interruptions, any of which could materially adversely affect our operations. See “</w:t>
      </w:r>
      <w:r>
        <w:rPr>
          <w:rFonts w:ascii="Arial" w:cs="Arial" w:eastAsia="Arial" w:hAnsi="Arial"/>
          <w:sz w:val="17"/>
          <w:szCs w:val="17"/>
          <w:i w:val="1"/>
          <w:iCs w:val="1"/>
          <w:color w:val="auto"/>
        </w:rPr>
        <w:t>Substantially all</w:t>
      </w:r>
      <w:r>
        <w:rPr>
          <w:rFonts w:ascii="Arial" w:cs="Arial" w:eastAsia="Arial" w:hAnsi="Arial"/>
          <w:sz w:val="17"/>
          <w:szCs w:val="17"/>
          <w:color w:val="auto"/>
        </w:rPr>
        <w:t xml:space="preserve"> </w:t>
      </w:r>
      <w:r>
        <w:rPr>
          <w:rFonts w:ascii="Arial" w:cs="Arial" w:eastAsia="Arial" w:hAnsi="Arial"/>
          <w:sz w:val="17"/>
          <w:szCs w:val="17"/>
          <w:i w:val="1"/>
          <w:iCs w:val="1"/>
          <w:color w:val="auto"/>
        </w:rPr>
        <w:t>of our operations, as well as significant operations of a number of our key customers, are located in areas of the PRC impacted by the COVID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19 pandemic, and our operations have been, and may continue to be, adversely affected by the effects of PRC restrictions imposed as the result of COVID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19.</w:t>
      </w:r>
      <w:r>
        <w:rPr>
          <w:rFonts w:ascii="Arial" w:cs="Arial" w:eastAsia="Arial" w:hAnsi="Arial"/>
          <w:sz w:val="17"/>
          <w:szCs w:val="17"/>
          <w:color w:val="auto"/>
        </w:rPr>
        <w:t>” in Item 1A, “Risk Factors” of Part II of this report.</w:t>
      </w:r>
    </w:p>
    <w:p>
      <w:pPr>
        <w:spacing w:after="0" w:line="203" w:lineRule="exact"/>
        <w:rPr>
          <w:rFonts w:ascii="Arial" w:cs="Arial" w:eastAsia="Arial" w:hAnsi="Arial"/>
          <w:sz w:val="17"/>
          <w:szCs w:val="17"/>
          <w:color w:val="auto"/>
        </w:rPr>
      </w:pPr>
    </w:p>
    <w:p>
      <w:pPr>
        <w:ind w:left="840" w:right="20" w:hanging="477"/>
        <w:spacing w:after="0" w:line="299" w:lineRule="auto"/>
        <w:tabs>
          <w:tab w:leader="none" w:pos="840"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Data Security</w:t>
      </w:r>
      <w:r>
        <w:rPr>
          <w:rFonts w:ascii="Arial" w:cs="Arial" w:eastAsia="Arial" w:hAnsi="Arial"/>
          <w:sz w:val="15"/>
          <w:szCs w:val="15"/>
          <w:color w:val="auto"/>
        </w:rPr>
        <w:t>. The Standing Committee of the National People’s Congress, or the Standing Committee, has promulgated the Cyber Security Law, which imposes requirements on entities who build and operate the PRC’s internet architecture or provide services in the PRC over the internet, and the Data Security Law, which imposes data security and privacy obligations on entities and individuals carrying out data activities. The Data Security Law also provides for a national security review procedure for data activities that may affect national security and imposes export restrictions on certain data an information. ACM Shanghai is not subject to the existing restrictions imposed by the Cyber Security Law or the Data Security Law, in part because its business operations do not involve the collection, processing or use of data or information involving personal privacy or private information of customers. In addition, ACM Shanghai is subject to oversight by the Cyberspace Administration of China, or the CAC, regarding data security. ACM Shanghai does not collect or maintain personal information except for routine personal information necessary to process payroll payments and other benefits and emergency contact information, and as a result, ACM Shanghai is not currently subject to significant restrictions or limitations in addressing and managing data security issues and complying with CAC regulations. To date, ACM Shanghai has not been involved in any investigations on cybersecurity review initiated by the CAC or any related PRC central government authority and has not received any inquiry, notice, warning, or sanction in such respect. However, cybersecurity is increasingly a focus of the PRC central government. If the CAC or other PRC central government authorities should in the future require ACM Shanghai to comply with these or additional, or more restrictive, PRC cybersecurity regulations, it could require ACM Shanghai to make changes to its operations, and any failure to satisfy or delay in meeting such requirements may subject ACM Shanghai to restrictions and penalties imposed by the CAC or other PRC regulatory authorities, which may include regulatory actions, fines and penalties on our operations in the PRC, which could materially harm our business, financial condition, results of operations, reputation and prospects.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ind w:left="840" w:hanging="477"/>
        <w:spacing w:after="0" w:line="298" w:lineRule="auto"/>
        <w:tabs>
          <w:tab w:leader="none" w:pos="840"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Anti-Monopoly</w:t>
      </w:r>
      <w:r>
        <w:rPr>
          <w:rFonts w:ascii="Arial" w:cs="Arial" w:eastAsia="Arial" w:hAnsi="Arial"/>
          <w:sz w:val="15"/>
          <w:szCs w:val="15"/>
          <w:color w:val="auto"/>
        </w:rPr>
        <w:t>. A number of PRC laws and regulations have established procedures and requirements that could make merger and acquisition activities in China by foreign investors more time consuming and complex. These laws and regulations, which include the Anti-Monopoly Law and the Rules of the Ministry of Commerce on Implementation of Security Review System of Mergers and Acquisitions of Domestic Enterprises by Foreign Investors, impose requirements that in some instances that MOFCOM be notified in advance of, for example, any change-of-control transaction in which a foreign investor takes control of a PRC domestic enterprise. In addition, such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In February 2021, the Anti-Monopoly Committee of the State Council published the Anti-Monopoly Guidelines for the Internet Platform Economy Sector, which stipulate that any concentration of undertakings involving VIEs is subject to anti-monopoly review. Those Guidelines provide more stringent rules for Internet platform operators, including regulations on the use of data and algorithms, technology and platform to commit abusive acts. The Measures for the Security Review for Foreign Investment, which was promulgated jointly by National Development and Reform Commission and MOFCOM effective January 18, 2021, and the Standing Committee on Amending the Anti-Monopoly Law of the People’s Republic of China, which was promulgated by the Standing Committee effective August 1, 2022, delineated provisions concerning the security review procedures on foreign investment, including the types of investments subject to review and the scopes and procedures of the review. ACM Shanghai does not have the concentration of business operators stipulated in the Anti-Monopoly Law, and our operations and activities to date have not otherwise subjected us to restrictive provisions or limitations set forth in applicable PRC laws and regulations govern merger and acquisition activities. Among other things, ACM Shanghai’s business operations do not constitute identified “national defense and security” concerns associated with the arms industry, any industry ancillary to the arms industry, or any other field related to national defense security. We cannot assure you, however, that future changes in PRC laws and regulations governing mergers and acquisitions, including activities in the PRC by foreign investors, will not extend or otherwise modify existing requirements, which could materially and adversely affect our PRC-based operations or our ability to expand by investments or acquisitions.</w:t>
      </w:r>
    </w:p>
    <w:p>
      <w:pPr>
        <w:spacing w:after="0" w:line="200" w:lineRule="exact"/>
        <w:rPr>
          <w:rFonts w:ascii="Arial" w:cs="Arial" w:eastAsia="Arial" w:hAnsi="Arial"/>
          <w:sz w:val="15"/>
          <w:szCs w:val="15"/>
          <w:color w:val="auto"/>
        </w:rPr>
      </w:pPr>
    </w:p>
    <w:p>
      <w:pPr>
        <w:spacing w:after="0" w:line="389" w:lineRule="exact"/>
        <w:rPr>
          <w:rFonts w:ascii="Arial" w:cs="Arial" w:eastAsia="Arial" w:hAnsi="Arial"/>
          <w:sz w:val="15"/>
          <w:szCs w:val="15"/>
          <w:color w:val="auto"/>
        </w:rPr>
      </w:pPr>
    </w:p>
    <w:p>
      <w:pPr>
        <w:jc w:val="both"/>
        <w:ind w:left="840" w:hanging="477"/>
        <w:spacing w:after="0" w:line="318" w:lineRule="auto"/>
        <w:tabs>
          <w:tab w:leader="none" w:pos="840"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Permits</w:t>
      </w:r>
      <w:r>
        <w:rPr>
          <w:rFonts w:ascii="Arial" w:cs="Arial" w:eastAsia="Arial" w:hAnsi="Arial"/>
          <w:sz w:val="15"/>
          <w:szCs w:val="15"/>
          <w:color w:val="auto"/>
        </w:rPr>
        <w:t>. In the ordinary course of business, ACM Shanghai has obtained all of the permits and licenses it believes are necessary for it to operate in the PRC. ACM Shanghai may be adversely affected, however, by the complexity, uncertainties and changes in PRC laws and regulations applicable to, or otherwise affecting, the semiconductor equipment industry and related businesses, and any lack of requisite approvals, licenses or permits applicable to ACM Shanghai’s business may have a material adverse effect on its business and results of operations.</w:t>
      </w:r>
    </w:p>
    <w:p>
      <w:pPr>
        <w:spacing w:after="0" w:line="144" w:lineRule="exact"/>
        <w:rPr>
          <w:rFonts w:ascii="Arial" w:cs="Arial" w:eastAsia="Arial" w:hAnsi="Arial"/>
          <w:sz w:val="15"/>
          <w:szCs w:val="15"/>
          <w:color w:val="auto"/>
        </w:rPr>
      </w:pPr>
    </w:p>
    <w:p>
      <w:pPr>
        <w:jc w:val="both"/>
        <w:ind w:left="840" w:hanging="477"/>
        <w:spacing w:after="0" w:line="301" w:lineRule="auto"/>
        <w:tabs>
          <w:tab w:leader="none" w:pos="840"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Trade Policies</w:t>
      </w:r>
      <w:r>
        <w:rPr>
          <w:rFonts w:ascii="Arial" w:cs="Arial" w:eastAsia="Arial" w:hAnsi="Arial"/>
          <w:sz w:val="15"/>
          <w:szCs w:val="15"/>
          <w:color w:val="auto"/>
        </w:rPr>
        <w:t>. Since 2018, general trade tensions between the United States and the PRC have escalated. See “Regulatory Risks —</w:t>
      </w:r>
      <w:r>
        <w:rPr>
          <w:rFonts w:ascii="Arial" w:cs="Arial" w:eastAsia="Arial" w:hAnsi="Arial"/>
          <w:sz w:val="15"/>
          <w:szCs w:val="15"/>
          <w:i w:val="1"/>
          <w:iCs w:val="1"/>
          <w:color w:val="auto"/>
        </w:rPr>
        <w:t>Changes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government trade policies could limit the demand for our tools and increase the cost of our tools.” </w:t>
      </w:r>
      <w:r>
        <w:rPr>
          <w:rFonts w:ascii="Arial" w:cs="Arial" w:eastAsia="Arial" w:hAnsi="Arial"/>
          <w:sz w:val="15"/>
          <w:szCs w:val="15"/>
          <w:color w:val="auto"/>
        </w:rPr>
        <w:t>in Item 1A, “Risk Factors” of Part I of our</w:t>
      </w:r>
      <w:r>
        <w:rPr>
          <w:rFonts w:ascii="Arial" w:cs="Arial" w:eastAsia="Arial" w:hAnsi="Arial"/>
          <w:sz w:val="15"/>
          <w:szCs w:val="15"/>
          <w:i w:val="1"/>
          <w:iCs w:val="1"/>
          <w:color w:val="auto"/>
        </w:rPr>
        <w:t xml:space="preserve"> </w:t>
      </w:r>
      <w:r>
        <w:rPr>
          <w:rFonts w:ascii="Arial" w:cs="Arial" w:eastAsia="Arial" w:hAnsi="Arial"/>
          <w:sz w:val="15"/>
          <w:szCs w:val="15"/>
          <w:color w:val="auto"/>
        </w:rPr>
        <w:t>Annual Report. 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2"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Moreover, by imposing industrial policies and other economic measures, such as control of foreign exchange, taxation and foreign investment, the PRC central government exerts considerable direct and indirect influence on the development of the PRC economy. Other political, economic and social factors may also lead to further legal and regulatory changes and reforms, which may adversely affect our operations and business development.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our tools to Chinese customers may be restricted by regulatory actions.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ACM Shanghai utilizes certain items subject to export controls under the U.S. Export Administration Regulations (EAR) in manufacturing its products. The EAR applies to exports of commodities, software and technology from the U.S. (including for use in manufacturing products outside the U.S.), as well as to certain products manufactured outside the U.S.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the PRC, including through licensing requirements with a presumption of denial. These types of restrictions may impact the operations of ACM Shanghai.</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restrictions include the designation of additional PRC companies on certain restricted party lists under the EAR, such as the Entity List and the Unverified List. These designations result in the imposition of special requirements in connection with the supply of products to such companies. In addition, more recently, BIS imposed a series of new restrictions on exports of designated products and exports for designated uses and users in connection with the supercomputer, artificial intelligence, integrated circuit (IC) and semiconductor manufacturing sectors in the PRC. These new restrictions may have some impacts on the procurement by ACM Shanghai of certain items from the U.S. for use in manufacturing its products and the ongoing feasibility of supplying ACM Shanghai products to certain end users and for certain end uses in the PRC.</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For example, BIS has added a number of PRC entities to the Entity List under the EAR. Any items subject to the EAR, including certain foreign produced products with specified U.S. content, now require a BIS export license for supply to the newly listed PRC entities. Along with other companies, in December 2020, SMIC, one of the largest chip manufacturers in the PRC, was added to the Entity List. Challenges faced by SMIC and its key suppliers as a result of the listing could indirectly impact SMIC’s demand for, or ACM Shanghai’s ability to supply, ACM Shanghai products. As part of the recent October 2022 actions, Yangtze Memory Technologies Co., Ltd. (YMTC), a leading PRC memory chip company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Challenges faced by YMTC and its key suppliers as a result of the listing could indirectly impact YMTC’s demand for, or ACM Shanghai’s ability to supply, ACM Shanghai products.</w:t>
      </w:r>
    </w:p>
    <w:p>
      <w:pPr>
        <w:spacing w:after="0" w:line="3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Also in October 2022, BIS announced new rules that significantly expand U.S. export controls as applied to advanced IC products, related manufacturing equipment and technology, and supercomputers, where the destination or ultimate end user is based in China. In the case of semiconductor manufacturing equipment, the new rules require an export license with a presumption of denial for the export from the U.S. to the PRC of additional types of semiconductor manufacturing equipment and of items for use in manufacturing designated types of semiconductor manufacturing equipment in the PRC, as well as for the supply of semiconductor manufacturing equipment to certain IC manufacturing and development facilities in the PRC. In addition, U.S. persons are effectively barred from engaging in certain activities related to the development and production of certain semiconductors in China, even if no items subject to the EAR are involved.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evaluating the potential direct impact of the rules, including any necessary modifications to our business policies and practices in China, and any expected changes in the capital spending plans of our customer base. We cannot be certain what additional actions the U.S. government may take with respect to PRC entities, and whether such actions will impact our relationships with our PRC-based customers, including by virtue of changes to the Entity List or Unverified List, other export regulations, tariffs or other trade restrictions. We also cannot know whether the PRC government may take any actions in response to the various U.S. government actions that may adversely affect our ability to do business with our PRC-based customers. Even in the absence of further restrictions, tariffs or trade actions imposed by the U.S. or PRC governments, our PRC-based customers could take actions to reduce dependence on the supply of products subject to potential U.S. trade regulations (including potentially our tools). This could have a material adverse effect on our operating results. We are unable to predict the duration of the restrictions imposed by the U.S. government or the effects of any future governmental actions that may impact our relationships with our PRC-based customers, any of which could have a long-term adverse effect on our business, operating results and financial condition.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three months ended September 30, 2022, ACM Research issued, pursuant to the exercise of stock options at a per share exercise prices ranging from $0.25 to $0.50 per share, an aggregate of 131,884 shares of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rPr>
              <w:t>Excercised</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7"/>
        </w:trPr>
        <w:tc>
          <w:tcPr>
            <w:tcW w:w="2820" w:type="dxa"/>
            <w:vAlign w:val="bottom"/>
          </w:tcPr>
          <w:p>
            <w:pPr>
              <w:spacing w:after="0"/>
              <w:rPr>
                <w:sz w:val="20"/>
                <w:szCs w:val="20"/>
                <w:color w:val="auto"/>
              </w:rPr>
            </w:pPr>
          </w:p>
        </w:tc>
        <w:tc>
          <w:tcPr>
            <w:tcW w:w="4080" w:type="dxa"/>
            <w:vAlign w:val="bottom"/>
            <w:tcBorders>
              <w:bottom w:val="single" w:sz="8" w:color="auto"/>
            </w:tcBorders>
          </w:tcPr>
          <w:p>
            <w:pPr>
              <w:jc w:val="right"/>
              <w:ind w:right="1594"/>
              <w:spacing w:after="0"/>
              <w:rPr>
                <w:sz w:val="20"/>
                <w:szCs w:val="20"/>
                <w:color w:val="auto"/>
              </w:rPr>
            </w:pPr>
            <w:r>
              <w:rPr>
                <w:rFonts w:ascii="Arial" w:cs="Arial" w:eastAsia="Arial" w:hAnsi="Arial"/>
                <w:sz w:val="18"/>
                <w:szCs w:val="18"/>
                <w:b w:val="1"/>
                <w:bCs w:val="1"/>
                <w:color w:val="auto"/>
              </w:rPr>
              <w:t>Sale Date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Shares (Net)</w:t>
            </w: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2"/>
        </w:trPr>
        <w:tc>
          <w:tcPr>
            <w:tcW w:w="2820" w:type="dxa"/>
            <w:vAlign w:val="bottom"/>
          </w:tcPr>
          <w:p>
            <w:pPr>
              <w:spacing w:after="0"/>
              <w:rPr>
                <w:sz w:val="18"/>
                <w:szCs w:val="18"/>
                <w:color w:val="auto"/>
              </w:rPr>
            </w:pP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2022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39,407</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2"/>
        </w:trPr>
        <w:tc>
          <w:tcPr>
            <w:tcW w:w="2820" w:type="dxa"/>
            <w:vAlign w:val="bottom"/>
          </w:tcPr>
          <w:p>
            <w:pPr>
              <w:spacing w:after="0"/>
              <w:rPr>
                <w:sz w:val="18"/>
                <w:szCs w:val="18"/>
                <w:color w:val="auto"/>
              </w:rPr>
            </w:pPr>
          </w:p>
        </w:tc>
        <w:tc>
          <w:tcPr>
            <w:tcW w:w="4080" w:type="dxa"/>
            <w:vAlign w:val="bottom"/>
          </w:tcPr>
          <w:p>
            <w:pPr>
              <w:jc w:val="right"/>
              <w:spacing w:after="0"/>
              <w:rPr>
                <w:sz w:val="20"/>
                <w:szCs w:val="20"/>
                <w:color w:val="auto"/>
              </w:rPr>
            </w:pPr>
            <w:r>
              <w:rPr>
                <w:rFonts w:ascii="Arial" w:cs="Arial" w:eastAsia="Arial" w:hAnsi="Arial"/>
                <w:sz w:val="18"/>
                <w:szCs w:val="18"/>
                <w:color w:val="auto"/>
              </w:rPr>
              <w:t>August 4, 2022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19,421</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2"/>
        </w:trPr>
        <w:tc>
          <w:tcPr>
            <w:tcW w:w="2820" w:type="dxa"/>
            <w:vAlign w:val="bottom"/>
          </w:tcPr>
          <w:p>
            <w:pPr>
              <w:spacing w:after="0"/>
              <w:rPr>
                <w:sz w:val="18"/>
                <w:szCs w:val="18"/>
                <w:color w:val="auto"/>
              </w:rPr>
            </w:pP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8, 2022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36,519</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8"/>
        </w:trPr>
        <w:tc>
          <w:tcPr>
            <w:tcW w:w="2820" w:type="dxa"/>
            <w:vAlign w:val="bottom"/>
          </w:tcPr>
          <w:p>
            <w:pPr>
              <w:spacing w:after="0"/>
              <w:rPr>
                <w:sz w:val="18"/>
                <w:szCs w:val="18"/>
                <w:color w:val="auto"/>
              </w:rPr>
            </w:pP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August 15, 2022</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36,537</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8"/>
        </w:trPr>
        <w:tc>
          <w:tcPr>
            <w:tcW w:w="2820" w:type="dxa"/>
            <w:vAlign w:val="bottom"/>
          </w:tcPr>
          <w:p>
            <w:pPr>
              <w:spacing w:after="0"/>
              <w:rPr>
                <w:sz w:val="18"/>
                <w:szCs w:val="18"/>
                <w:color w:val="auto"/>
              </w:rPr>
            </w:pPr>
          </w:p>
        </w:tc>
        <w:tc>
          <w:tcPr>
            <w:tcW w:w="4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131,884</w:t>
            </w:r>
          </w:p>
        </w:tc>
        <w:tc>
          <w:tcPr>
            <w:tcW w:w="100" w:type="dxa"/>
            <w:vAlign w:val="bottom"/>
            <w:tcBorders>
              <w:bottom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558"/>
        </w:trPr>
        <w:tc>
          <w:tcPr>
            <w:tcW w:w="2820" w:type="dxa"/>
            <w:vAlign w:val="bottom"/>
          </w:tcPr>
          <w:p>
            <w:pPr>
              <w:spacing w:after="0"/>
              <w:rPr>
                <w:sz w:val="24"/>
                <w:szCs w:val="24"/>
                <w:color w:val="auto"/>
              </w:rPr>
            </w:pPr>
          </w:p>
        </w:tc>
        <w:tc>
          <w:tcPr>
            <w:tcW w:w="4080" w:type="dxa"/>
            <w:vAlign w:val="bottom"/>
          </w:tcPr>
          <w:p>
            <w:pPr>
              <w:jc w:val="right"/>
              <w:ind w:right="1114"/>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4"/>
        </w:trPr>
        <w:tc>
          <w:tcPr>
            <w:tcW w:w="282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No.</w:t>
            </w:r>
          </w:p>
        </w:tc>
        <w:tc>
          <w:tcPr>
            <w:tcW w:w="1000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2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01</w:t>
            </w:r>
          </w:p>
        </w:tc>
        <w:tc>
          <w:tcPr>
            <w:tcW w:w="100" w:type="dxa"/>
            <w:vAlign w:val="bottom"/>
            <w:shd w:val="clear" w:color="auto" w:fill="CCEEFF"/>
          </w:tcPr>
          <w:p>
            <w:pPr>
              <w:spacing w:after="0"/>
              <w:rPr>
                <w:sz w:val="14"/>
                <w:szCs w:val="14"/>
                <w:color w:val="auto"/>
              </w:rPr>
            </w:pPr>
          </w:p>
        </w:tc>
        <w:tc>
          <w:tcPr>
            <w:tcW w:w="100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4"/>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gridSpan w:val="2"/>
          </w:tcPr>
          <w:p>
            <w:pPr>
              <w:spacing w:after="0" w:line="172"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02</w:t>
            </w:r>
          </w:p>
        </w:tc>
        <w:tc>
          <w:tcPr>
            <w:tcW w:w="100" w:type="dxa"/>
            <w:vAlign w:val="bottom"/>
          </w:tcPr>
          <w:p>
            <w:pPr>
              <w:spacing w:after="0"/>
              <w:rPr>
                <w:sz w:val="14"/>
                <w:szCs w:val="14"/>
                <w:color w:val="auto"/>
              </w:rPr>
            </w:pPr>
          </w:p>
        </w:tc>
        <w:tc>
          <w:tcPr>
            <w:tcW w:w="10000" w:type="dxa"/>
            <w:vAlign w:val="bottom"/>
          </w:tcPr>
          <w:p>
            <w:pPr>
              <w:ind w:left="20"/>
              <w:spacing w:after="0" w:line="172" w:lineRule="exact"/>
              <w:rPr>
                <w:sz w:val="20"/>
                <w:szCs w:val="20"/>
                <w:color w:val="auto"/>
              </w:rPr>
            </w:pPr>
            <w:r>
              <w:rPr>
                <w:rFonts w:ascii="Arial" w:cs="Arial" w:eastAsia="Arial" w:hAnsi="Arial"/>
                <w:sz w:val="18"/>
                <w:szCs w:val="18"/>
                <w:color w:val="auto"/>
                <w:w w:val="94"/>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2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01</w:t>
            </w: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3"/>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20" w:type="dxa"/>
            <w:vAlign w:val="bottom"/>
            <w:gridSpan w:val="3"/>
          </w:tcPr>
          <w:p>
            <w:pPr>
              <w:spacing w:after="0" w:line="200" w:lineRule="exact"/>
              <w:rPr>
                <w:sz w:val="20"/>
                <w:szCs w:val="20"/>
                <w:color w:val="auto"/>
              </w:rPr>
            </w:pPr>
            <w:r>
              <w:rPr>
                <w:rFonts w:ascii="Arial" w:cs="Arial" w:eastAsia="Arial" w:hAnsi="Arial"/>
                <w:sz w:val="18"/>
                <w:szCs w:val="18"/>
                <w:color w:val="auto"/>
              </w:rPr>
              <w:t>101.INS</w:t>
            </w:r>
          </w:p>
        </w:tc>
        <w:tc>
          <w:tcPr>
            <w:tcW w:w="10000" w:type="dxa"/>
            <w:vAlign w:val="bottom"/>
          </w:tcPr>
          <w:p>
            <w:pPr>
              <w:ind w:left="20"/>
              <w:spacing w:after="0" w:line="200" w:lineRule="exact"/>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0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Pr>
          <w:p>
            <w:pPr>
              <w:ind w:left="432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35"/>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7580" w:type="dxa"/>
            <w:vAlign w:val="bottom"/>
            <w:gridSpan w:val="3"/>
          </w:tcPr>
          <w:p>
            <w:pPr>
              <w:ind w:left="1980"/>
              <w:spacing w:after="0"/>
              <w:rPr>
                <w:sz w:val="20"/>
                <w:szCs w:val="20"/>
                <w:color w:val="auto"/>
              </w:rPr>
            </w:pPr>
            <w:r>
              <w:rPr>
                <w:rFonts w:ascii="Arial" w:cs="Arial" w:eastAsia="Arial" w:hAnsi="Arial"/>
                <w:sz w:val="18"/>
                <w:szCs w:val="18"/>
                <w:color w:val="auto"/>
              </w:rPr>
              <w:t>ACM RESEARCH, INC.</w:t>
            </w:r>
          </w:p>
        </w:tc>
      </w:tr>
      <w:tr>
        <w:trPr>
          <w:trHeight w:val="231"/>
        </w:trPr>
        <w:tc>
          <w:tcPr>
            <w:tcW w:w="3660" w:type="dxa"/>
            <w:vAlign w:val="bottom"/>
          </w:tcPr>
          <w:p>
            <w:pPr>
              <w:spacing w:after="0"/>
              <w:rPr>
                <w:sz w:val="20"/>
                <w:szCs w:val="20"/>
                <w:color w:val="auto"/>
              </w:rPr>
            </w:pPr>
            <w:r>
              <w:rPr>
                <w:rFonts w:ascii="Arial" w:cs="Arial" w:eastAsia="Arial" w:hAnsi="Arial"/>
                <w:sz w:val="18"/>
                <w:szCs w:val="18"/>
                <w:color w:val="auto"/>
              </w:rPr>
              <w:t>Date: November 8, 2022</w:t>
            </w:r>
          </w:p>
        </w:tc>
        <w:tc>
          <w:tcPr>
            <w:tcW w:w="7580" w:type="dxa"/>
            <w:vAlign w:val="bottom"/>
            <w:gridSpan w:val="3"/>
          </w:tcPr>
          <w:p>
            <w:pPr>
              <w:ind w:left="1980"/>
              <w:spacing w:after="0"/>
              <w:rPr>
                <w:sz w:val="20"/>
                <w:szCs w:val="20"/>
                <w:color w:val="auto"/>
              </w:rPr>
            </w:pPr>
            <w:r>
              <w:rPr>
                <w:rFonts w:ascii="Arial" w:cs="Arial" w:eastAsia="Arial" w:hAnsi="Arial"/>
                <w:sz w:val="18"/>
                <w:szCs w:val="18"/>
                <w:color w:val="auto"/>
              </w:rPr>
              <w:t>By: /s/ Mark McKechnie</w:t>
            </w:r>
          </w:p>
        </w:tc>
      </w:tr>
      <w:tr>
        <w:trPr>
          <w:trHeight w:val="199"/>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5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Mark McKechnie</w:t>
            </w:r>
          </w:p>
        </w:tc>
        <w:tc>
          <w:tcPr>
            <w:tcW w:w="1680" w:type="dxa"/>
            <w:vAlign w:val="bottom"/>
          </w:tcPr>
          <w:p>
            <w:pPr>
              <w:spacing w:after="0"/>
              <w:rPr>
                <w:sz w:val="17"/>
                <w:szCs w:val="17"/>
                <w:color w:val="auto"/>
              </w:rPr>
            </w:pPr>
          </w:p>
        </w:tc>
      </w:tr>
      <w:tr>
        <w:trPr>
          <w:trHeight w:val="212"/>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Financial Officer, Executive Vice President and</w:t>
            </w:r>
          </w:p>
        </w:tc>
      </w:tr>
      <w:tr>
        <w:trPr>
          <w:trHeight w:val="212"/>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Treasurer</w:t>
            </w:r>
          </w:p>
        </w:tc>
      </w:tr>
      <w:tr>
        <w:trPr>
          <w:trHeight w:val="223"/>
        </w:trPr>
        <w:tc>
          <w:tcPr>
            <w:tcW w:w="3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586"/>
        </w:trPr>
        <w:tc>
          <w:tcPr>
            <w:tcW w:w="3660" w:type="dxa"/>
            <w:vAlign w:val="bottom"/>
          </w:tcPr>
          <w:p>
            <w:pPr>
              <w:spacing w:after="0"/>
              <w:rPr>
                <w:sz w:val="24"/>
                <w:szCs w:val="24"/>
                <w:color w:val="auto"/>
              </w:rPr>
            </w:pPr>
          </w:p>
        </w:tc>
        <w:tc>
          <w:tcPr>
            <w:tcW w:w="2320" w:type="dxa"/>
            <w:vAlign w:val="bottom"/>
          </w:tcPr>
          <w:p>
            <w:pPr>
              <w:jc w:val="right"/>
              <w:ind w:right="198"/>
              <w:spacing w:after="0"/>
              <w:rPr>
                <w:sz w:val="20"/>
                <w:szCs w:val="20"/>
                <w:color w:val="auto"/>
              </w:rPr>
            </w:pPr>
            <w:r>
              <w:rPr>
                <w:rFonts w:ascii="Arial" w:cs="Arial" w:eastAsia="Arial" w:hAnsi="Arial"/>
                <w:sz w:val="14"/>
                <w:szCs w:val="14"/>
                <w:color w:val="auto"/>
              </w:rPr>
              <w:t>79</w:t>
            </w:r>
          </w:p>
        </w:tc>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4"/>
        </w:trPr>
        <w:tc>
          <w:tcPr>
            <w:tcW w:w="366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31.01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I, David H. Wang, certify that:</w:t>
      </w:r>
    </w:p>
    <w:p>
      <w:pPr>
        <w:spacing w:after="0" w:line="235" w:lineRule="exact"/>
        <w:rPr>
          <w:sz w:val="20"/>
          <w:szCs w:val="20"/>
          <w:color w:val="auto"/>
        </w:rPr>
      </w:pPr>
    </w:p>
    <w:p>
      <w:pPr>
        <w:ind w:left="220" w:hanging="214"/>
        <w:spacing w:after="0"/>
        <w:tabs>
          <w:tab w:leader="none" w:pos="220" w:val="left"/>
        </w:tabs>
        <w:numPr>
          <w:ilvl w:val="0"/>
          <w:numId w:val="47"/>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ACM Research, Inc.</w:t>
      </w:r>
    </w:p>
    <w:p>
      <w:pPr>
        <w:spacing w:after="0" w:line="234" w:lineRule="exact"/>
        <w:rPr>
          <w:rFonts w:ascii="Arial" w:cs="Arial" w:eastAsia="Arial" w:hAnsi="Arial"/>
          <w:sz w:val="21"/>
          <w:szCs w:val="21"/>
          <w:color w:val="auto"/>
        </w:rPr>
      </w:pPr>
    </w:p>
    <w:p>
      <w:pPr>
        <w:jc w:val="both"/>
        <w:ind w:firstLine="6"/>
        <w:spacing w:after="0" w:line="250" w:lineRule="auto"/>
        <w:tabs>
          <w:tab w:leader="none" w:pos="239" w:val="left"/>
        </w:tabs>
        <w:numPr>
          <w:ilvl w:val="0"/>
          <w:numId w:val="4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8" w:lineRule="exact"/>
        <w:rPr>
          <w:rFonts w:ascii="Arial" w:cs="Arial" w:eastAsia="Arial" w:hAnsi="Arial"/>
          <w:sz w:val="21"/>
          <w:szCs w:val="21"/>
          <w:color w:val="auto"/>
        </w:rPr>
      </w:pPr>
    </w:p>
    <w:p>
      <w:pPr>
        <w:jc w:val="both"/>
        <w:ind w:firstLine="6"/>
        <w:spacing w:after="0" w:line="250" w:lineRule="auto"/>
        <w:tabs>
          <w:tab w:leader="none" w:pos="236" w:val="left"/>
        </w:tabs>
        <w:numPr>
          <w:ilvl w:val="0"/>
          <w:numId w:val="4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21"/>
          <w:szCs w:val="21"/>
          <w:color w:val="auto"/>
        </w:rPr>
      </w:pPr>
    </w:p>
    <w:p>
      <w:pPr>
        <w:jc w:val="both"/>
        <w:ind w:firstLine="6"/>
        <w:spacing w:after="0" w:line="250" w:lineRule="auto"/>
        <w:tabs>
          <w:tab w:leader="none" w:pos="22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sz w:val="20"/>
          <w:szCs w:val="20"/>
          <w:color w:val="auto"/>
        </w:rPr>
      </w:pPr>
    </w:p>
    <w:p>
      <w:pPr>
        <w:jc w:val="both"/>
        <w:ind w:firstLine="6"/>
        <w:spacing w:after="0" w:line="268" w:lineRule="auto"/>
        <w:tabs>
          <w:tab w:leader="none" w:pos="303" w:val="left"/>
        </w:tabs>
        <w:numPr>
          <w:ilvl w:val="0"/>
          <w:numId w:val="4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20"/>
          <w:szCs w:val="20"/>
          <w:color w:val="auto"/>
        </w:rPr>
      </w:pPr>
    </w:p>
    <w:p>
      <w:pPr>
        <w:jc w:val="both"/>
        <w:ind w:firstLine="6"/>
        <w:spacing w:after="0" w:line="250" w:lineRule="auto"/>
        <w:tabs>
          <w:tab w:leader="none" w:pos="317" w:val="left"/>
        </w:tabs>
        <w:numPr>
          <w:ilvl w:val="0"/>
          <w:numId w:val="48"/>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21"/>
          <w:szCs w:val="21"/>
          <w:color w:val="auto"/>
        </w:rPr>
      </w:pPr>
    </w:p>
    <w:p>
      <w:pPr>
        <w:jc w:val="both"/>
        <w:ind w:firstLine="6"/>
        <w:spacing w:after="0" w:line="250" w:lineRule="auto"/>
        <w:tabs>
          <w:tab w:leader="none" w:pos="311" w:val="left"/>
        </w:tabs>
        <w:numPr>
          <w:ilvl w:val="0"/>
          <w:numId w:val="4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21"/>
          <w:szCs w:val="21"/>
          <w:color w:val="auto"/>
        </w:rPr>
      </w:pPr>
    </w:p>
    <w:p>
      <w:pPr>
        <w:jc w:val="both"/>
        <w:ind w:firstLine="6"/>
        <w:spacing w:after="0" w:line="250" w:lineRule="auto"/>
        <w:tabs>
          <w:tab w:leader="none" w:pos="355" w:val="left"/>
        </w:tabs>
        <w:numPr>
          <w:ilvl w:val="0"/>
          <w:numId w:val="4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8" w:lineRule="exact"/>
        <w:rPr>
          <w:sz w:val="20"/>
          <w:szCs w:val="20"/>
          <w:color w:val="auto"/>
        </w:rPr>
      </w:pPr>
    </w:p>
    <w:p>
      <w:pPr>
        <w:jc w:val="both"/>
        <w:ind w:firstLine="6"/>
        <w:spacing w:after="0" w:line="250" w:lineRule="auto"/>
        <w:tabs>
          <w:tab w:leader="none" w:pos="252"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sz w:val="20"/>
          <w:szCs w:val="20"/>
          <w:color w:val="auto"/>
        </w:rPr>
      </w:pPr>
    </w:p>
    <w:p>
      <w:pPr>
        <w:ind w:right="20" w:firstLine="6"/>
        <w:spacing w:after="0" w:line="316" w:lineRule="auto"/>
        <w:tabs>
          <w:tab w:leader="none" w:pos="29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9"/>
          <w:szCs w:val="19"/>
          <w:color w:val="auto"/>
        </w:rPr>
      </w:pPr>
    </w:p>
    <w:p>
      <w:pPr>
        <w:ind w:firstLine="6"/>
        <w:spacing w:after="0" w:line="263" w:lineRule="auto"/>
        <w:tabs>
          <w:tab w:leader="none" w:pos="308" w:val="left"/>
        </w:tabs>
        <w:numPr>
          <w:ilvl w:val="0"/>
          <w:numId w:val="5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3620" cy="1651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H. Wang</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President</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373380</wp:posOffset>
            </wp:positionV>
            <wp:extent cx="713486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31.02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I, Mark McKechnie, certify that:</w:t>
      </w:r>
    </w:p>
    <w:p>
      <w:pPr>
        <w:spacing w:after="0" w:line="235" w:lineRule="exact"/>
        <w:rPr>
          <w:sz w:val="20"/>
          <w:szCs w:val="20"/>
          <w:color w:val="auto"/>
        </w:rPr>
      </w:pPr>
    </w:p>
    <w:p>
      <w:pPr>
        <w:ind w:left="220" w:hanging="214"/>
        <w:spacing w:after="0"/>
        <w:tabs>
          <w:tab w:leader="none" w:pos="2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ACM Research, Inc.</w:t>
      </w:r>
    </w:p>
    <w:p>
      <w:pPr>
        <w:spacing w:after="0" w:line="234" w:lineRule="exact"/>
        <w:rPr>
          <w:rFonts w:ascii="Arial" w:cs="Arial" w:eastAsia="Arial" w:hAnsi="Arial"/>
          <w:sz w:val="21"/>
          <w:szCs w:val="21"/>
          <w:color w:val="auto"/>
        </w:rPr>
      </w:pPr>
    </w:p>
    <w:p>
      <w:pPr>
        <w:jc w:val="both"/>
        <w:ind w:firstLine="6"/>
        <w:spacing w:after="0" w:line="250" w:lineRule="auto"/>
        <w:tabs>
          <w:tab w:leader="none" w:pos="239" w:val="left"/>
        </w:tabs>
        <w:numPr>
          <w:ilvl w:val="0"/>
          <w:numId w:val="5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8" w:lineRule="exact"/>
        <w:rPr>
          <w:rFonts w:ascii="Arial" w:cs="Arial" w:eastAsia="Arial" w:hAnsi="Arial"/>
          <w:sz w:val="21"/>
          <w:szCs w:val="21"/>
          <w:color w:val="auto"/>
        </w:rPr>
      </w:pPr>
    </w:p>
    <w:p>
      <w:pPr>
        <w:jc w:val="both"/>
        <w:ind w:firstLine="6"/>
        <w:spacing w:after="0" w:line="250" w:lineRule="auto"/>
        <w:tabs>
          <w:tab w:leader="none" w:pos="236" w:val="left"/>
        </w:tabs>
        <w:numPr>
          <w:ilvl w:val="0"/>
          <w:numId w:val="51"/>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21"/>
          <w:szCs w:val="21"/>
          <w:color w:val="auto"/>
        </w:rPr>
      </w:pPr>
    </w:p>
    <w:p>
      <w:pPr>
        <w:jc w:val="both"/>
        <w:ind w:firstLine="6"/>
        <w:spacing w:after="0" w:line="250" w:lineRule="auto"/>
        <w:tabs>
          <w:tab w:leader="none" w:pos="2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sz w:val="20"/>
          <w:szCs w:val="20"/>
          <w:color w:val="auto"/>
        </w:rPr>
      </w:pPr>
    </w:p>
    <w:p>
      <w:pPr>
        <w:jc w:val="both"/>
        <w:ind w:firstLine="6"/>
        <w:spacing w:after="0" w:line="268" w:lineRule="auto"/>
        <w:tabs>
          <w:tab w:leader="none" w:pos="303"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20"/>
          <w:szCs w:val="20"/>
          <w:color w:val="auto"/>
        </w:rPr>
      </w:pPr>
    </w:p>
    <w:p>
      <w:pPr>
        <w:jc w:val="both"/>
        <w:ind w:firstLine="6"/>
        <w:spacing w:after="0" w:line="250" w:lineRule="auto"/>
        <w:tabs>
          <w:tab w:leader="none" w:pos="317" w:val="left"/>
        </w:tabs>
        <w:numPr>
          <w:ilvl w:val="0"/>
          <w:numId w:val="52"/>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21"/>
          <w:szCs w:val="21"/>
          <w:color w:val="auto"/>
        </w:rPr>
      </w:pPr>
    </w:p>
    <w:p>
      <w:pPr>
        <w:jc w:val="both"/>
        <w:ind w:firstLine="6"/>
        <w:spacing w:after="0" w:line="250" w:lineRule="auto"/>
        <w:tabs>
          <w:tab w:leader="none" w:pos="311" w:val="left"/>
        </w:tabs>
        <w:numPr>
          <w:ilvl w:val="0"/>
          <w:numId w:val="5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21"/>
          <w:szCs w:val="21"/>
          <w:color w:val="auto"/>
        </w:rPr>
      </w:pPr>
    </w:p>
    <w:p>
      <w:pPr>
        <w:jc w:val="both"/>
        <w:ind w:firstLine="6"/>
        <w:spacing w:after="0" w:line="250" w:lineRule="auto"/>
        <w:tabs>
          <w:tab w:leader="none" w:pos="355" w:val="left"/>
        </w:tabs>
        <w:numPr>
          <w:ilvl w:val="0"/>
          <w:numId w:val="52"/>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8" w:lineRule="exact"/>
        <w:rPr>
          <w:sz w:val="20"/>
          <w:szCs w:val="20"/>
          <w:color w:val="auto"/>
        </w:rPr>
      </w:pPr>
    </w:p>
    <w:p>
      <w:pPr>
        <w:jc w:val="both"/>
        <w:ind w:firstLine="6"/>
        <w:spacing w:after="0" w:line="250" w:lineRule="auto"/>
        <w:tabs>
          <w:tab w:leader="none" w:pos="252"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8" w:lineRule="exact"/>
        <w:rPr>
          <w:sz w:val="20"/>
          <w:szCs w:val="20"/>
          <w:color w:val="auto"/>
        </w:rPr>
      </w:pPr>
    </w:p>
    <w:p>
      <w:pPr>
        <w:ind w:right="20" w:firstLine="6"/>
        <w:spacing w:after="0" w:line="316" w:lineRule="auto"/>
        <w:tabs>
          <w:tab w:leader="none" w:pos="29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9"/>
          <w:szCs w:val="19"/>
          <w:color w:val="auto"/>
        </w:rPr>
      </w:pPr>
    </w:p>
    <w:p>
      <w:pPr>
        <w:ind w:firstLine="6"/>
        <w:spacing w:after="0" w:line="263" w:lineRule="auto"/>
        <w:tabs>
          <w:tab w:leader="none" w:pos="308" w:val="left"/>
        </w:tabs>
        <w:numPr>
          <w:ilvl w:val="0"/>
          <w:numId w:val="54"/>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3620" cy="1651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McKechnie</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373380</wp:posOffset>
            </wp:positionV>
            <wp:extent cx="71348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32.01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18 U.S.C.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ADOPTED PURSUANT TO SECTION 906 OF THE SARBANES-OXLEY ACT OF 2002</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connection with the Quarterly Report on Form 10-Q of ACM Research, Inc. for the quarterly period ended September 30, 2022,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205" w:lineRule="exact"/>
        <w:rPr>
          <w:sz w:val="20"/>
          <w:szCs w:val="20"/>
          <w:color w:val="auto"/>
        </w:rPr>
      </w:pPr>
    </w:p>
    <w:p>
      <w:pPr>
        <w:ind w:left="220" w:hanging="214"/>
        <w:spacing w:after="0"/>
        <w:tabs>
          <w:tab w:leader="none" w:pos="2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and</w:t>
      </w:r>
    </w:p>
    <w:p>
      <w:pPr>
        <w:spacing w:after="0" w:line="234" w:lineRule="exact"/>
        <w:rPr>
          <w:rFonts w:ascii="Arial" w:cs="Arial" w:eastAsia="Arial" w:hAnsi="Arial"/>
          <w:sz w:val="21"/>
          <w:szCs w:val="21"/>
          <w:color w:val="auto"/>
        </w:rPr>
      </w:pPr>
    </w:p>
    <w:p>
      <w:pPr>
        <w:ind w:firstLine="6"/>
        <w:spacing w:after="0" w:line="263" w:lineRule="auto"/>
        <w:tabs>
          <w:tab w:leader="none" w:pos="222"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ACM Research, Inc. for the period presented therein.</w:t>
      </w:r>
    </w:p>
    <w:p>
      <w:pPr>
        <w:spacing w:after="0" w:line="19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3620" cy="1651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H. Wang</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President</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3620" cy="1651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McKechnie</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223"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3486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sectPr>
      <w:pgSz w:w="11900" w:h="16838" w:orient="portrait"/>
      <w:cols w:equalWidth="0" w:num="1">
        <w:col w:w="11240"/>
      </w:cols>
      <w:pgMar w:left="320" w:top="2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o"/>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o"/>
      <w:numFmt w:val="bullet"/>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decimal"/>
      <w:start w:val="5"/>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decimal"/>
      <w:start w:val="5"/>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2022-11-08T18:12:08Z</dcterms:created>
  <dcterms:modified xsi:type="dcterms:W3CDTF">2022-11-08T18:12:08Z</dcterms:modified>
</cp:coreProperties>
</file>