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5" w:lineRule="exact"/>
        <w:rPr>
          <w:sz w:val="24"/>
          <w:szCs w:val="24"/>
          <w:color w:val="auto"/>
        </w:rPr>
      </w:pPr>
    </w:p>
    <w:p>
      <w:pPr>
        <w:ind w:left="500" w:right="2020" w:hanging="492"/>
        <w:spacing w:after="0" w:line="250"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500" w:right="2000" w:hanging="492"/>
        <w:spacing w:after="0" w:line="261"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_____________</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frCommission file number: 001-38273</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5500" w:type="dxa"/>
            <w:vAlign w:val="bottom"/>
          </w:tcPr>
          <w:p>
            <w:pPr>
              <w:jc w:val="center"/>
              <w:ind w:right="1032"/>
              <w:spacing w:after="0"/>
              <w:rPr>
                <w:sz w:val="20"/>
                <w:szCs w:val="20"/>
                <w:color w:val="auto"/>
              </w:rPr>
            </w:pPr>
            <w:r>
              <w:rPr>
                <w:rFonts w:ascii="Arial" w:cs="Arial" w:eastAsia="Arial" w:hAnsi="Arial"/>
                <w:sz w:val="18"/>
                <w:szCs w:val="18"/>
                <w:b w:val="1"/>
                <w:bCs w:val="1"/>
                <w:color w:val="auto"/>
                <w:w w:val="88"/>
              </w:rPr>
              <w:t>Delaware</w:t>
            </w:r>
          </w:p>
        </w:tc>
        <w:tc>
          <w:tcPr>
            <w:tcW w:w="3640" w:type="dxa"/>
            <w:vAlign w:val="bottom"/>
          </w:tcPr>
          <w:p>
            <w:pPr>
              <w:jc w:val="right"/>
              <w:ind w:right="732"/>
              <w:spacing w:after="0"/>
              <w:rPr>
                <w:sz w:val="20"/>
                <w:szCs w:val="20"/>
                <w:color w:val="auto"/>
              </w:rPr>
            </w:pPr>
            <w:r>
              <w:rPr>
                <w:rFonts w:ascii="Arial" w:cs="Arial" w:eastAsia="Arial" w:hAnsi="Arial"/>
                <w:sz w:val="18"/>
                <w:szCs w:val="18"/>
                <w:b w:val="1"/>
                <w:bCs w:val="1"/>
                <w:color w:val="auto"/>
              </w:rPr>
              <w:t>94-3290283</w:t>
            </w:r>
          </w:p>
        </w:tc>
      </w:tr>
      <w:tr>
        <w:trPr>
          <w:trHeight w:val="222"/>
        </w:trPr>
        <w:tc>
          <w:tcPr>
            <w:tcW w:w="5500" w:type="dxa"/>
            <w:vAlign w:val="bottom"/>
          </w:tcPr>
          <w:p>
            <w:pPr>
              <w:jc w:val="center"/>
              <w:ind w:right="1032"/>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3640" w:type="dxa"/>
            <w:vAlign w:val="bottom"/>
          </w:tcPr>
          <w:p>
            <w:pPr>
              <w:jc w:val="center"/>
              <w:ind w:left="105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20"/>
        </w:trPr>
        <w:tc>
          <w:tcPr>
            <w:tcW w:w="5500" w:type="dxa"/>
            <w:vAlign w:val="bottom"/>
          </w:tcPr>
          <w:p>
            <w:pPr>
              <w:jc w:val="center"/>
              <w:ind w:right="1052"/>
              <w:spacing w:after="0"/>
              <w:rPr>
                <w:sz w:val="20"/>
                <w:szCs w:val="20"/>
                <w:color w:val="auto"/>
              </w:rPr>
            </w:pPr>
            <w:r>
              <w:rPr>
                <w:rFonts w:ascii="Arial" w:cs="Arial" w:eastAsia="Arial" w:hAnsi="Arial"/>
                <w:sz w:val="18"/>
                <w:szCs w:val="18"/>
                <w:b w:val="1"/>
                <w:bCs w:val="1"/>
                <w:color w:val="auto"/>
                <w:w w:val="87"/>
              </w:rPr>
              <w:t>42307 Osgood Road, Suite I</w:t>
            </w:r>
          </w:p>
        </w:tc>
        <w:tc>
          <w:tcPr>
            <w:tcW w:w="3640" w:type="dxa"/>
            <w:vAlign w:val="bottom"/>
          </w:tcPr>
          <w:p>
            <w:pPr>
              <w:spacing w:after="0"/>
              <w:rPr>
                <w:sz w:val="24"/>
                <w:szCs w:val="24"/>
                <w:color w:val="auto"/>
              </w:rPr>
            </w:pPr>
          </w:p>
        </w:tc>
      </w:tr>
      <w:tr>
        <w:trPr>
          <w:trHeight w:val="222"/>
        </w:trPr>
        <w:tc>
          <w:tcPr>
            <w:tcW w:w="5500" w:type="dxa"/>
            <w:vAlign w:val="bottom"/>
          </w:tcPr>
          <w:p>
            <w:pPr>
              <w:jc w:val="center"/>
              <w:ind w:right="1032"/>
              <w:spacing w:after="0"/>
              <w:rPr>
                <w:sz w:val="20"/>
                <w:szCs w:val="20"/>
                <w:color w:val="auto"/>
              </w:rPr>
            </w:pPr>
            <w:r>
              <w:rPr>
                <w:rFonts w:ascii="Arial" w:cs="Arial" w:eastAsia="Arial" w:hAnsi="Arial"/>
                <w:sz w:val="18"/>
                <w:szCs w:val="18"/>
                <w:b w:val="1"/>
                <w:bCs w:val="1"/>
                <w:color w:val="auto"/>
                <w:w w:val="90"/>
              </w:rPr>
              <w:t>Fremont, California</w:t>
            </w:r>
          </w:p>
        </w:tc>
        <w:tc>
          <w:tcPr>
            <w:tcW w:w="3640" w:type="dxa"/>
            <w:vAlign w:val="bottom"/>
          </w:tcPr>
          <w:p>
            <w:pPr>
              <w:jc w:val="right"/>
              <w:ind w:right="952"/>
              <w:spacing w:after="0"/>
              <w:rPr>
                <w:sz w:val="20"/>
                <w:szCs w:val="20"/>
                <w:color w:val="auto"/>
              </w:rPr>
            </w:pPr>
            <w:r>
              <w:rPr>
                <w:rFonts w:ascii="Arial" w:cs="Arial" w:eastAsia="Arial" w:hAnsi="Arial"/>
                <w:sz w:val="18"/>
                <w:szCs w:val="18"/>
                <w:b w:val="1"/>
                <w:bCs w:val="1"/>
                <w:color w:val="auto"/>
              </w:rPr>
              <w:t>94539</w:t>
            </w:r>
          </w:p>
        </w:tc>
      </w:tr>
      <w:tr>
        <w:trPr>
          <w:trHeight w:val="222"/>
        </w:trPr>
        <w:tc>
          <w:tcPr>
            <w:tcW w:w="5500" w:type="dxa"/>
            <w:vAlign w:val="bottom"/>
          </w:tcPr>
          <w:p>
            <w:pPr>
              <w:jc w:val="center"/>
              <w:ind w:right="105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3640" w:type="dxa"/>
            <w:vAlign w:val="bottom"/>
          </w:tcPr>
          <w:p>
            <w:pPr>
              <w:jc w:val="center"/>
              <w:ind w:left="1052"/>
              <w:spacing w:after="0"/>
              <w:rPr>
                <w:sz w:val="20"/>
                <w:szCs w:val="20"/>
                <w:color w:val="auto"/>
              </w:rPr>
            </w:pPr>
            <w:r>
              <w:rPr>
                <w:rFonts w:ascii="Arial" w:cs="Arial" w:eastAsia="Arial" w:hAnsi="Arial"/>
                <w:sz w:val="18"/>
                <w:szCs w:val="18"/>
                <w:i w:val="1"/>
                <w:iCs w:val="1"/>
                <w:color w:val="auto"/>
                <w:w w:val="91"/>
              </w:rPr>
              <w:t>(Zip Code)</w:t>
            </w: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Registrant’s telephone number, including area code: </w:t>
      </w:r>
      <w:r>
        <w:rPr>
          <w:rFonts w:ascii="Arial" w:cs="Arial" w:eastAsia="Arial" w:hAnsi="Arial"/>
          <w:sz w:val="18"/>
          <w:szCs w:val="18"/>
          <w:b w:val="1"/>
          <w:bCs w:val="1"/>
          <w:color w:val="auto"/>
        </w:rPr>
        <w:t>(510) 445-3700</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Trading Symbol(s)</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2"/>
        </w:trPr>
        <w:tc>
          <w:tcPr>
            <w:tcW w:w="4580" w:type="dxa"/>
            <w:vAlign w:val="bottom"/>
          </w:tcPr>
          <w:p>
            <w:pPr>
              <w:jc w:val="center"/>
              <w:ind w:right="12"/>
              <w:spacing w:after="0"/>
              <w:rPr>
                <w:sz w:val="20"/>
                <w:szCs w:val="20"/>
                <w:color w:val="auto"/>
              </w:rPr>
            </w:pPr>
            <w:r>
              <w:rPr>
                <w:rFonts w:ascii="Arial" w:cs="Arial" w:eastAsia="Arial" w:hAnsi="Arial"/>
                <w:sz w:val="18"/>
                <w:szCs w:val="18"/>
                <w:color w:val="auto"/>
                <w:w w:val="87"/>
              </w:rPr>
              <w:t>Class A Common Stock, $0.0001 par value per share</w:t>
            </w:r>
          </w:p>
        </w:tc>
        <w:tc>
          <w:tcPr>
            <w:tcW w:w="2400" w:type="dxa"/>
            <w:vAlign w:val="bottom"/>
          </w:tcPr>
          <w:p>
            <w:pPr>
              <w:jc w:val="center"/>
              <w:spacing w:after="0"/>
              <w:rPr>
                <w:sz w:val="20"/>
                <w:szCs w:val="20"/>
                <w:color w:val="auto"/>
              </w:rPr>
            </w:pPr>
            <w:r>
              <w:rPr>
                <w:rFonts w:ascii="Arial" w:cs="Arial" w:eastAsia="Arial" w:hAnsi="Arial"/>
                <w:sz w:val="18"/>
                <w:szCs w:val="18"/>
                <w:color w:val="auto"/>
                <w:w w:val="98"/>
              </w:rPr>
              <w:t>ACMR</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Nasdaq Global Market</w:t>
            </w:r>
          </w:p>
        </w:tc>
      </w:tr>
    </w:tbl>
    <w:p>
      <w:pPr>
        <w:spacing w:after="0" w:line="22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3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0"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260" w:type="dxa"/>
            <w:vAlign w:val="bottom"/>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 of Shares Outstanding</w:t>
            </w:r>
          </w:p>
        </w:tc>
      </w:tr>
      <w:tr>
        <w:trPr>
          <w:trHeight w:val="208"/>
        </w:trPr>
        <w:tc>
          <w:tcPr>
            <w:tcW w:w="5580" w:type="dxa"/>
            <w:vAlign w:val="bottom"/>
          </w:tcPr>
          <w:p>
            <w:pPr>
              <w:jc w:val="center"/>
              <w:spacing w:after="0"/>
              <w:rPr>
                <w:sz w:val="20"/>
                <w:szCs w:val="20"/>
                <w:color w:val="auto"/>
              </w:rPr>
            </w:pPr>
            <w:r>
              <w:rPr>
                <w:rFonts w:ascii="Arial" w:cs="Arial" w:eastAsia="Arial" w:hAnsi="Arial"/>
                <w:sz w:val="18"/>
                <w:szCs w:val="18"/>
                <w:color w:val="auto"/>
                <w:w w:val="88"/>
              </w:rPr>
              <w:t>Class A Common Stock, $0.0001 par value</w:t>
            </w:r>
          </w:p>
        </w:tc>
        <w:tc>
          <w:tcPr>
            <w:tcW w:w="26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7"/>
              </w:rPr>
              <w:t>14,259,479 shares outstanding as of August 5, 2019</w:t>
            </w:r>
          </w:p>
        </w:tc>
      </w:tr>
      <w:tr>
        <w:trPr>
          <w:trHeight w:val="222"/>
        </w:trPr>
        <w:tc>
          <w:tcPr>
            <w:tcW w:w="5580" w:type="dxa"/>
            <w:vAlign w:val="bottom"/>
          </w:tcPr>
          <w:p>
            <w:pPr>
              <w:jc w:val="center"/>
              <w:spacing w:after="0"/>
              <w:rPr>
                <w:sz w:val="20"/>
                <w:szCs w:val="20"/>
                <w:color w:val="auto"/>
              </w:rPr>
            </w:pPr>
            <w:r>
              <w:rPr>
                <w:rFonts w:ascii="Arial" w:cs="Arial" w:eastAsia="Arial" w:hAnsi="Arial"/>
                <w:sz w:val="18"/>
                <w:szCs w:val="18"/>
                <w:color w:val="auto"/>
                <w:w w:val="87"/>
              </w:rPr>
              <w:t>Class B Common Stock, $0.0001 par value</w:t>
            </w:r>
          </w:p>
        </w:tc>
        <w:tc>
          <w:tcPr>
            <w:tcW w:w="26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6"/>
              </w:rPr>
              <w:t>1,883,423 shares outstanding as of August 5, 2019</w:t>
            </w:r>
          </w:p>
        </w:tc>
      </w:tr>
      <w:tr>
        <w:trPr>
          <w:trHeight w:val="218"/>
        </w:trPr>
        <w:tc>
          <w:tcPr>
            <w:tcW w:w="5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r>
      <w:tr>
        <w:trPr>
          <w:trHeight w:val="136"/>
        </w:trPr>
        <w:tc>
          <w:tcPr>
            <w:tcW w:w="5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58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706"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340" w:type="dxa"/>
            <w:vAlign w:val="bottom"/>
            <w:gridSpan w:val="8"/>
          </w:tcPr>
          <w:p>
            <w:pPr>
              <w:ind w:left="22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60" w:type="dxa"/>
            <w:vAlign w:val="bottom"/>
            <w:gridSpan w:val="1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560" w:type="dxa"/>
            <w:vAlign w:val="bottom"/>
            <w:gridSpan w:val="16"/>
            <w:shd w:val="clear" w:color="auto" w:fill="CCEEFF"/>
          </w:tcPr>
          <w:p>
            <w:pPr>
              <w:ind w:left="3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2019 and December 31, 2018</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60" w:type="dxa"/>
            <w:vAlign w:val="bottom"/>
            <w:gridSpan w:val="16"/>
          </w:tcPr>
          <w:p>
            <w:pPr>
              <w:ind w:left="320"/>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Income for the Three and Six Months Ended June 30, 2019 and 2018</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560" w:type="dxa"/>
            <w:vAlign w:val="bottom"/>
            <w:gridSpan w:val="16"/>
            <w:shd w:val="clear" w:color="auto" w:fill="CCEEFF"/>
          </w:tcPr>
          <w:p>
            <w:pPr>
              <w:ind w:left="3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Stockholders’ Equity for the Six Months Ended June 30, 2019 and 2018</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60" w:type="dxa"/>
            <w:vAlign w:val="bottom"/>
            <w:gridSpan w:val="16"/>
          </w:tcPr>
          <w:p>
            <w:pPr>
              <w:ind w:left="3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2019 and 2018</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560" w:type="dxa"/>
            <w:vAlign w:val="bottom"/>
            <w:gridSpan w:val="16"/>
            <w:shd w:val="clear" w:color="auto" w:fill="CCEEFF"/>
          </w:tcPr>
          <w:p>
            <w:pPr>
              <w:ind w:left="3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60" w:type="dxa"/>
            <w:vAlign w:val="bottom"/>
            <w:gridSpan w:val="16"/>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100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Risks</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gridSpan w:val="2"/>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4280" w:type="dxa"/>
            <w:vAlign w:val="bottom"/>
            <w:tcBorders>
              <w:top w:val="single" w:sz="8" w:color="0000EE"/>
            </w:tcBorders>
            <w:gridSpan w:val="8"/>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760" w:type="dxa"/>
            <w:vAlign w:val="bottom"/>
            <w:tcBorders>
              <w:top w:val="single" w:sz="8" w:color="CCEEFF"/>
            </w:tcBorders>
            <w:gridSpan w:val="6"/>
          </w:tcPr>
          <w:p>
            <w:pPr>
              <w:spacing w:after="0"/>
              <w:rPr>
                <w:sz w:val="15"/>
                <w:szCs w:val="15"/>
                <w:color w:val="auto"/>
              </w:rPr>
            </w:pPr>
          </w:p>
        </w:tc>
        <w:tc>
          <w:tcPr>
            <w:tcW w:w="5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60" w:type="dxa"/>
            <w:vAlign w:val="bottom"/>
            <w:gridSpan w:val="16"/>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426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Unregistered Sales of Equity Securities and Use of Proceeds</w:t>
              </w:r>
            </w:hyperlink>
          </w:p>
        </w:tc>
        <w:tc>
          <w:tcPr>
            <w:tcW w:w="5780" w:type="dxa"/>
            <w:vAlign w:val="bottom"/>
            <w:tcBorders>
              <w:bottom w:val="single" w:sz="8" w:color="CCEEFF"/>
            </w:tcBorders>
            <w:gridSpan w:val="7"/>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gridSpan w:val="2"/>
          </w:tcPr>
          <w:p>
            <w:pPr>
              <w:spacing w:after="0" w:line="17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6.</w:t>
              </w:r>
            </w:hyperlink>
          </w:p>
        </w:tc>
        <w:tc>
          <w:tcPr>
            <w:tcW w:w="10040" w:type="dxa"/>
            <w:vAlign w:val="bottom"/>
            <w:gridSpan w:val="14"/>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2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80" w:type="dxa"/>
            <w:vAlign w:val="bottom"/>
            <w:gridSpan w:val="17"/>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w:t>
              </w:r>
            </w:hyperlink>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conduct our business operations principally through ACM Research (Shanghai), Inc., or ACM Shanghai, a subsidiary of ACM Research, Inc., or ACM Research. Unless the context requires otherwise, references in this report to “our company,” “our,” “us,” “we” and similar terms refer to ACM Research, Inc. (including its predecessor prior to its redomestication from California to Delaware in November 2016) and its subsidiaries (including ACM Shanghai), collectively.</w:t>
      </w:r>
    </w:p>
    <w:p>
      <w:pPr>
        <w:spacing w:after="0" w:line="197"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SAPS, TEBO and ULTRA C are our trademarks. For convenience, these trademarks appear in this report without ™ symbols, but that practice does not mean that we will not assert, to the fullest extent under applicable law, our rights to the trademarks. This report also contains other companies’ trademarks, registered marks and trade names, which are the property of those companies.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spacing w:after="0" w:line="17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w w:val="99"/>
              </w:rPr>
              <w:t>June 30,</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w:t>
            </w: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89"/>
              </w:rPr>
              <w:t>Accounts receivable, less allowance for doubtful accounts of $0 as of June 30, 2019 and $0 as of December 31, 2018 (note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24,608</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 (note 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38,764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96,028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(note 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lease right-of-use assets, net (note 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 (note 15)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(note 10)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120,269</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29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borrowings (note 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Advances from customers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payables and accrued expenses (note 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liability (note 8)</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operating lease liability (note 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long-term liabilities (note 9)</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60,554</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Common stock – Class A, par value $0.0001: 50,000,000 shares authorized as of June 30, 2019 and December 31, 2018.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w w:val="95"/>
              </w:rPr>
              <w:t>14,229,942 shares issued and outstanding as of June 30, 2019 and 14,110,315 shares issued and outstanding as of</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December 31, 2018 (note 13)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stock–Class B, par value $0.0001: 2,409,738 shares authorized as of June 30, 2019 and December 31, 2018.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88"/>
              </w:rPr>
              <w:t>1,883,423 shares issued and outstanding as of June 30, 2019 and 1,898,423 shares issued and outstanding as of December</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31, 2018 (note 13)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56,567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surplus (deficit)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(3,387)</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59,715</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120,269</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103,047</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w w:val="94"/>
              </w:rPr>
              <w:t>Three Months Ended June 30,</w:t>
            </w:r>
          </w:p>
        </w:tc>
        <w:tc>
          <w:tcPr>
            <w:tcW w:w="240" w:type="dxa"/>
            <w:vAlign w:val="bottom"/>
          </w:tcPr>
          <w:p>
            <w:pPr>
              <w:spacing w:after="0"/>
              <w:rPr>
                <w:sz w:val="15"/>
                <w:szCs w:val="15"/>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5"/>
                <w:szCs w:val="15"/>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Arial" w:cs="Arial" w:eastAsia="Arial" w:hAnsi="Arial"/>
                <w:sz w:val="18"/>
                <w:szCs w:val="18"/>
                <w:b w:val="1"/>
                <w:bCs w:val="1"/>
                <w:color w:val="auto"/>
              </w:rPr>
              <w:t>Total operating expenses, net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15,045</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(note 15)</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380"/>
              <w:spacing w:after="0"/>
              <w:rPr>
                <w:sz w:val="20"/>
                <w:szCs w:val="20"/>
                <w:color w:val="auto"/>
              </w:rPr>
            </w:pPr>
            <w:r>
              <w:rPr>
                <w:rFonts w:ascii="Arial" w:cs="Arial" w:eastAsia="Arial" w:hAnsi="Arial"/>
                <w:sz w:val="18"/>
                <w:szCs w:val="18"/>
                <w:b w:val="1"/>
                <w:bCs w:val="1"/>
                <w:color w:val="auto"/>
              </w:rPr>
              <w:t>Total comprehensive Income (note 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common share (note 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common shares outstanding used in computing per share amounts (note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16,090,937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15,838,540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16,067,924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15,611,863</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0"/>
        </w:trPr>
        <w:tc>
          <w:tcPr>
            <w:tcW w:w="6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18,604,347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18,119,733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18,455,534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17,669,650</w:t>
            </w:r>
          </w:p>
        </w:tc>
        <w:tc>
          <w:tcPr>
            <w:tcW w:w="1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Three Months Ended June 30, 2019 and 2018</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40" w:type="dxa"/>
            <w:vAlign w:val="bottom"/>
            <w:gridSpan w:val="3"/>
          </w:tcPr>
          <w:p>
            <w:pPr>
              <w:jc w:val="center"/>
              <w:ind w:left="646"/>
              <w:spacing w:after="0"/>
              <w:rPr>
                <w:sz w:val="20"/>
                <w:szCs w:val="20"/>
                <w:color w:val="auto"/>
              </w:rPr>
            </w:pPr>
            <w:r>
              <w:rPr>
                <w:rFonts w:ascii="Arial" w:cs="Arial" w:eastAsia="Arial" w:hAnsi="Arial"/>
                <w:sz w:val="15"/>
                <w:szCs w:val="15"/>
                <w:b w:val="1"/>
                <w:bCs w:val="1"/>
                <w:color w:val="auto"/>
                <w:w w:val="89"/>
              </w:rPr>
              <w:t>Common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center"/>
              <w:ind w:left="46"/>
              <w:spacing w:after="0"/>
              <w:rPr>
                <w:sz w:val="20"/>
                <w:szCs w:val="20"/>
                <w:color w:val="auto"/>
              </w:rPr>
            </w:pPr>
            <w:r>
              <w:rPr>
                <w:rFonts w:ascii="Arial" w:cs="Arial" w:eastAsia="Arial" w:hAnsi="Arial"/>
                <w:sz w:val="15"/>
                <w:szCs w:val="15"/>
                <w:b w:val="1"/>
                <w:bCs w:val="1"/>
                <w:color w:val="auto"/>
                <w:w w:val="92"/>
              </w:rPr>
              <w:t>Common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5"/>
              </w:rPr>
              <w:t>Stock Class A</w:t>
            </w:r>
          </w:p>
        </w:tc>
        <w:tc>
          <w:tcPr>
            <w:tcW w:w="220" w:type="dxa"/>
            <w:vAlign w:val="bottom"/>
          </w:tcPr>
          <w:p>
            <w:pPr>
              <w:spacing w:after="0"/>
              <w:rPr>
                <w:sz w:val="15"/>
                <w:szCs w:val="15"/>
                <w:color w:val="auto"/>
              </w:rPr>
            </w:pPr>
          </w:p>
        </w:tc>
        <w:tc>
          <w:tcPr>
            <w:tcW w:w="1920" w:type="dxa"/>
            <w:vAlign w:val="bottom"/>
            <w:tcBorders>
              <w:bottom w:val="single" w:sz="8" w:color="auto"/>
            </w:tcBorders>
            <w:gridSpan w:val="3"/>
          </w:tcPr>
          <w:p>
            <w:pPr>
              <w:jc w:val="center"/>
              <w:ind w:left="46"/>
              <w:spacing w:after="0"/>
              <w:rPr>
                <w:sz w:val="20"/>
                <w:szCs w:val="20"/>
                <w:color w:val="auto"/>
              </w:rPr>
            </w:pPr>
            <w:r>
              <w:rPr>
                <w:rFonts w:ascii="Arial" w:cs="Arial" w:eastAsia="Arial" w:hAnsi="Arial"/>
                <w:sz w:val="15"/>
                <w:szCs w:val="15"/>
                <w:b w:val="1"/>
                <w:bCs w:val="1"/>
                <w:color w:val="auto"/>
                <w:w w:val="87"/>
              </w:rPr>
              <w:t>Stock Class B</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Additional</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Accumulated</w:t>
            </w:r>
          </w:p>
        </w:tc>
        <w:tc>
          <w:tcPr>
            <w:tcW w:w="180" w:type="dxa"/>
            <w:vAlign w:val="bottom"/>
          </w:tcPr>
          <w:p>
            <w:pPr>
              <w:spacing w:after="0"/>
              <w:rPr>
                <w:sz w:val="14"/>
                <w:szCs w:val="14"/>
                <w:color w:val="auto"/>
              </w:rPr>
            </w:pPr>
          </w:p>
        </w:tc>
        <w:tc>
          <w:tcPr>
            <w:tcW w:w="96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91"/>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9"/>
              </w:rPr>
              <w:t>Surplus</w:t>
            </w:r>
          </w:p>
        </w:tc>
        <w:tc>
          <w:tcPr>
            <w:tcW w:w="114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9"/>
              </w:rPr>
              <w:t>Comprehensive</w:t>
            </w: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8"/>
              </w:rPr>
              <w:t>Stockholders’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88"/>
              </w:rPr>
              <w:t>Amount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1"/>
              </w:rPr>
              <w:t>Capital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93"/>
              </w:rPr>
              <w:t>(Deficit)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79"/>
              </w:rPr>
              <w:t>Loss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April 1, 2019</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14,176,690</w:t>
            </w:r>
          </w:p>
        </w:tc>
        <w:tc>
          <w:tcPr>
            <w:tcW w:w="4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1,898,423</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3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57,371</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(1,530)</w:t>
            </w: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(200)</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55,642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4,311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4,311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Foreign currency translation</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adjustment</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(968)</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Exercise of stock option</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38,252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2"/>
              </w:rPr>
              <w:t>Conversion of class B common shares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to Class A common shares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15,000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(15,000)</w:t>
            </w:r>
          </w:p>
        </w:tc>
        <w:tc>
          <w:tcPr>
            <w:tcW w:w="780" w:type="dxa"/>
            <w:vAlign w:val="bottom"/>
          </w:tcPr>
          <w:p>
            <w:pPr>
              <w:spacing w:after="0"/>
              <w:rPr>
                <w:sz w:val="14"/>
                <w:szCs w:val="14"/>
                <w:color w:val="auto"/>
              </w:rPr>
            </w:pPr>
          </w:p>
        </w:tc>
        <w:tc>
          <w:tcPr>
            <w:tcW w:w="1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June 30, 2019</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14,229,942</w:t>
            </w:r>
          </w:p>
        </w:tc>
        <w:tc>
          <w:tcPr>
            <w:tcW w:w="4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1,883,423</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3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58,101</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2,781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(1,168)</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59,715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gridSpan w:val="3"/>
          </w:tcPr>
          <w:p>
            <w:pPr>
              <w:jc w:val="center"/>
              <w:ind w:left="646"/>
              <w:spacing w:after="0"/>
              <w:rPr>
                <w:sz w:val="20"/>
                <w:szCs w:val="20"/>
                <w:color w:val="auto"/>
              </w:rPr>
            </w:pPr>
            <w:r>
              <w:rPr>
                <w:rFonts w:ascii="Arial" w:cs="Arial" w:eastAsia="Arial" w:hAnsi="Arial"/>
                <w:sz w:val="15"/>
                <w:szCs w:val="15"/>
                <w:b w:val="1"/>
                <w:bCs w:val="1"/>
                <w:color w:val="auto"/>
                <w:w w:val="89"/>
              </w:rPr>
              <w:t>Common</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jc w:val="center"/>
              <w:ind w:left="46"/>
              <w:spacing w:after="0"/>
              <w:rPr>
                <w:sz w:val="20"/>
                <w:szCs w:val="20"/>
                <w:color w:val="auto"/>
              </w:rPr>
            </w:pPr>
            <w:r>
              <w:rPr>
                <w:rFonts w:ascii="Arial" w:cs="Arial" w:eastAsia="Arial" w:hAnsi="Arial"/>
                <w:sz w:val="15"/>
                <w:szCs w:val="15"/>
                <w:b w:val="1"/>
                <w:bCs w:val="1"/>
                <w:color w:val="auto"/>
                <w:w w:val="92"/>
              </w:rPr>
              <w:t>Common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5"/>
              </w:rPr>
              <w:t>Stock Class A</w:t>
            </w:r>
          </w:p>
        </w:tc>
        <w:tc>
          <w:tcPr>
            <w:tcW w:w="220" w:type="dxa"/>
            <w:vAlign w:val="bottom"/>
          </w:tcPr>
          <w:p>
            <w:pPr>
              <w:spacing w:after="0"/>
              <w:rPr>
                <w:sz w:val="15"/>
                <w:szCs w:val="15"/>
                <w:color w:val="auto"/>
              </w:rPr>
            </w:pPr>
          </w:p>
        </w:tc>
        <w:tc>
          <w:tcPr>
            <w:tcW w:w="1920" w:type="dxa"/>
            <w:vAlign w:val="bottom"/>
            <w:tcBorders>
              <w:bottom w:val="single" w:sz="8" w:color="auto"/>
            </w:tcBorders>
            <w:gridSpan w:val="3"/>
          </w:tcPr>
          <w:p>
            <w:pPr>
              <w:jc w:val="center"/>
              <w:ind w:left="46"/>
              <w:spacing w:after="0"/>
              <w:rPr>
                <w:sz w:val="20"/>
                <w:szCs w:val="20"/>
                <w:color w:val="auto"/>
              </w:rPr>
            </w:pPr>
            <w:r>
              <w:rPr>
                <w:rFonts w:ascii="Arial" w:cs="Arial" w:eastAsia="Arial" w:hAnsi="Arial"/>
                <w:sz w:val="15"/>
                <w:szCs w:val="15"/>
                <w:b w:val="1"/>
                <w:bCs w:val="1"/>
                <w:color w:val="auto"/>
                <w:w w:val="87"/>
              </w:rPr>
              <w:t>Stock Class B</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Additional</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Accumulated</w:t>
            </w:r>
          </w:p>
        </w:tc>
        <w:tc>
          <w:tcPr>
            <w:tcW w:w="180" w:type="dxa"/>
            <w:vAlign w:val="bottom"/>
          </w:tcPr>
          <w:p>
            <w:pPr>
              <w:spacing w:after="0"/>
              <w:rPr>
                <w:sz w:val="14"/>
                <w:szCs w:val="14"/>
                <w:color w:val="auto"/>
              </w:rPr>
            </w:pPr>
          </w:p>
        </w:tc>
        <w:tc>
          <w:tcPr>
            <w:tcW w:w="96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91"/>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9"/>
              </w:rPr>
              <w:t>Surplus</w:t>
            </w:r>
          </w:p>
        </w:tc>
        <w:tc>
          <w:tcPr>
            <w:tcW w:w="114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9"/>
              </w:rPr>
              <w:t>Comprehensive</w:t>
            </w: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8"/>
              </w:rPr>
              <w:t>Stockholders’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88"/>
              </w:rPr>
              <w:t>Amount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1"/>
              </w:rPr>
              <w:t>Capital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93"/>
              </w:rPr>
              <w:t>(Deficit)</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86"/>
              </w:rPr>
              <w:t>Income (Loss)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April 1, 2018</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13,390,270</w:t>
            </w:r>
          </w:p>
        </w:tc>
        <w:tc>
          <w:tcPr>
            <w:tcW w:w="4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2,409,738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54,915</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(12,741)</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827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43,002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3,215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3,215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Foreign currency translation</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adjustment</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(1,036)</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(1,036)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Exercise of stock option</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77,504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231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2"/>
              </w:rPr>
              <w:t>Conversion of class B common shares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to Class A common shares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489,565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(489,565)</w:t>
            </w:r>
          </w:p>
        </w:tc>
        <w:tc>
          <w:tcPr>
            <w:tcW w:w="780" w:type="dxa"/>
            <w:vAlign w:val="bottom"/>
          </w:tcPr>
          <w:p>
            <w:pPr>
              <w:spacing w:after="0"/>
              <w:rPr>
                <w:sz w:val="14"/>
                <w:szCs w:val="14"/>
                <w:color w:val="auto"/>
              </w:rPr>
            </w:pPr>
          </w:p>
        </w:tc>
        <w:tc>
          <w:tcPr>
            <w:tcW w:w="1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June 30, 2018</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13,957,339</w:t>
            </w:r>
          </w:p>
        </w:tc>
        <w:tc>
          <w:tcPr>
            <w:tcW w:w="4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1,920,173</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55,331</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(9,526)</w:t>
            </w: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(209)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45,597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left="4760"/>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40" w:type="dxa"/>
            <w:vAlign w:val="bottom"/>
            <w:gridSpan w:val="3"/>
          </w:tcPr>
          <w:p>
            <w:pPr>
              <w:jc w:val="center"/>
              <w:ind w:left="646"/>
              <w:spacing w:after="0"/>
              <w:rPr>
                <w:sz w:val="20"/>
                <w:szCs w:val="20"/>
                <w:color w:val="auto"/>
              </w:rPr>
            </w:pPr>
            <w:r>
              <w:rPr>
                <w:rFonts w:ascii="Arial" w:cs="Arial" w:eastAsia="Arial" w:hAnsi="Arial"/>
                <w:sz w:val="15"/>
                <w:szCs w:val="15"/>
                <w:b w:val="1"/>
                <w:bCs w:val="1"/>
                <w:color w:val="auto"/>
                <w:w w:val="89"/>
              </w:rPr>
              <w:t>Common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3"/>
          </w:tcPr>
          <w:p>
            <w:pPr>
              <w:jc w:val="center"/>
              <w:ind w:left="46"/>
              <w:spacing w:after="0"/>
              <w:rPr>
                <w:sz w:val="20"/>
                <w:szCs w:val="20"/>
                <w:color w:val="auto"/>
              </w:rPr>
            </w:pPr>
            <w:r>
              <w:rPr>
                <w:rFonts w:ascii="Arial" w:cs="Arial" w:eastAsia="Arial" w:hAnsi="Arial"/>
                <w:sz w:val="15"/>
                <w:szCs w:val="15"/>
                <w:b w:val="1"/>
                <w:bCs w:val="1"/>
                <w:color w:val="auto"/>
                <w:w w:val="92"/>
              </w:rPr>
              <w:t>Common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5"/>
              </w:rPr>
              <w:t>Stock Class A</w:t>
            </w:r>
          </w:p>
        </w:tc>
        <w:tc>
          <w:tcPr>
            <w:tcW w:w="220" w:type="dxa"/>
            <w:vAlign w:val="bottom"/>
          </w:tcPr>
          <w:p>
            <w:pPr>
              <w:spacing w:after="0"/>
              <w:rPr>
                <w:sz w:val="15"/>
                <w:szCs w:val="15"/>
                <w:color w:val="auto"/>
              </w:rPr>
            </w:pPr>
          </w:p>
        </w:tc>
        <w:tc>
          <w:tcPr>
            <w:tcW w:w="1920" w:type="dxa"/>
            <w:vAlign w:val="bottom"/>
            <w:tcBorders>
              <w:bottom w:val="single" w:sz="8" w:color="auto"/>
            </w:tcBorders>
            <w:gridSpan w:val="3"/>
          </w:tcPr>
          <w:p>
            <w:pPr>
              <w:jc w:val="center"/>
              <w:ind w:left="46"/>
              <w:spacing w:after="0"/>
              <w:rPr>
                <w:sz w:val="20"/>
                <w:szCs w:val="20"/>
                <w:color w:val="auto"/>
              </w:rPr>
            </w:pPr>
            <w:r>
              <w:rPr>
                <w:rFonts w:ascii="Arial" w:cs="Arial" w:eastAsia="Arial" w:hAnsi="Arial"/>
                <w:sz w:val="15"/>
                <w:szCs w:val="15"/>
                <w:b w:val="1"/>
                <w:bCs w:val="1"/>
                <w:color w:val="auto"/>
                <w:w w:val="87"/>
              </w:rPr>
              <w:t>Stock Class B</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Additional</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Accumulated</w:t>
            </w:r>
          </w:p>
        </w:tc>
        <w:tc>
          <w:tcPr>
            <w:tcW w:w="180" w:type="dxa"/>
            <w:vAlign w:val="bottom"/>
          </w:tcPr>
          <w:p>
            <w:pPr>
              <w:spacing w:after="0"/>
              <w:rPr>
                <w:sz w:val="14"/>
                <w:szCs w:val="14"/>
                <w:color w:val="auto"/>
              </w:rPr>
            </w:pPr>
          </w:p>
        </w:tc>
        <w:tc>
          <w:tcPr>
            <w:tcW w:w="96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91"/>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9"/>
              </w:rPr>
              <w:t>Surplus</w:t>
            </w:r>
          </w:p>
        </w:tc>
        <w:tc>
          <w:tcPr>
            <w:tcW w:w="114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9"/>
              </w:rPr>
              <w:t>Comprehensive</w:t>
            </w: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8"/>
              </w:rPr>
              <w:t>Stockholders’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88"/>
              </w:rPr>
              <w:t>Amount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1"/>
              </w:rPr>
              <w:t>Capital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93"/>
              </w:rPr>
              <w:t>(Deficit)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79"/>
              </w:rPr>
              <w:t>Loss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January 1, 2019</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14,110,315</w:t>
            </w:r>
          </w:p>
        </w:tc>
        <w:tc>
          <w:tcPr>
            <w:tcW w:w="4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1,898,423</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3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56,567</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(3,387)</w:t>
            </w: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(857)</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52,324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6,168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6,168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Foreign currency translation</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adjustment</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(311)</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Exercise of stock option</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104,627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1,362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2"/>
              </w:rPr>
              <w:t>Conversion of class B common shares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to Class A common shares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15,000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(15,000)</w:t>
            </w:r>
          </w:p>
        </w:tc>
        <w:tc>
          <w:tcPr>
            <w:tcW w:w="780" w:type="dxa"/>
            <w:vAlign w:val="bottom"/>
          </w:tcPr>
          <w:p>
            <w:pPr>
              <w:spacing w:after="0"/>
              <w:rPr>
                <w:sz w:val="14"/>
                <w:szCs w:val="14"/>
                <w:color w:val="auto"/>
              </w:rPr>
            </w:pPr>
          </w:p>
        </w:tc>
        <w:tc>
          <w:tcPr>
            <w:tcW w:w="1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June 30, 2019</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14,229,942</w:t>
            </w:r>
          </w:p>
        </w:tc>
        <w:tc>
          <w:tcPr>
            <w:tcW w:w="4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1,883,423</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32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58,101</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2,781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(1,168)</w:t>
            </w:r>
          </w:p>
        </w:tc>
        <w:tc>
          <w:tcPr>
            <w:tcW w:w="16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59,715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gridSpan w:val="3"/>
          </w:tcPr>
          <w:p>
            <w:pPr>
              <w:jc w:val="center"/>
              <w:ind w:left="646"/>
              <w:spacing w:after="0"/>
              <w:rPr>
                <w:sz w:val="20"/>
                <w:szCs w:val="20"/>
                <w:color w:val="auto"/>
              </w:rPr>
            </w:pPr>
            <w:r>
              <w:rPr>
                <w:rFonts w:ascii="Arial" w:cs="Arial" w:eastAsia="Arial" w:hAnsi="Arial"/>
                <w:sz w:val="15"/>
                <w:szCs w:val="15"/>
                <w:b w:val="1"/>
                <w:bCs w:val="1"/>
                <w:color w:val="auto"/>
                <w:w w:val="89"/>
              </w:rPr>
              <w:t>Common</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3"/>
          </w:tcPr>
          <w:p>
            <w:pPr>
              <w:jc w:val="center"/>
              <w:ind w:left="46"/>
              <w:spacing w:after="0"/>
              <w:rPr>
                <w:sz w:val="20"/>
                <w:szCs w:val="20"/>
                <w:color w:val="auto"/>
              </w:rPr>
            </w:pPr>
            <w:r>
              <w:rPr>
                <w:rFonts w:ascii="Arial" w:cs="Arial" w:eastAsia="Arial" w:hAnsi="Arial"/>
                <w:sz w:val="15"/>
                <w:szCs w:val="15"/>
                <w:b w:val="1"/>
                <w:bCs w:val="1"/>
                <w:color w:val="auto"/>
                <w:w w:val="92"/>
              </w:rPr>
              <w:t>Common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5"/>
              </w:rPr>
              <w:t>Stock Class A</w:t>
            </w:r>
          </w:p>
        </w:tc>
        <w:tc>
          <w:tcPr>
            <w:tcW w:w="220" w:type="dxa"/>
            <w:vAlign w:val="bottom"/>
          </w:tcPr>
          <w:p>
            <w:pPr>
              <w:spacing w:after="0"/>
              <w:rPr>
                <w:sz w:val="15"/>
                <w:szCs w:val="15"/>
                <w:color w:val="auto"/>
              </w:rPr>
            </w:pPr>
          </w:p>
        </w:tc>
        <w:tc>
          <w:tcPr>
            <w:tcW w:w="1920" w:type="dxa"/>
            <w:vAlign w:val="bottom"/>
            <w:tcBorders>
              <w:bottom w:val="single" w:sz="8" w:color="auto"/>
            </w:tcBorders>
            <w:gridSpan w:val="3"/>
          </w:tcPr>
          <w:p>
            <w:pPr>
              <w:jc w:val="center"/>
              <w:ind w:left="46"/>
              <w:spacing w:after="0"/>
              <w:rPr>
                <w:sz w:val="20"/>
                <w:szCs w:val="20"/>
                <w:color w:val="auto"/>
              </w:rPr>
            </w:pPr>
            <w:r>
              <w:rPr>
                <w:rFonts w:ascii="Arial" w:cs="Arial" w:eastAsia="Arial" w:hAnsi="Arial"/>
                <w:sz w:val="15"/>
                <w:szCs w:val="15"/>
                <w:b w:val="1"/>
                <w:bCs w:val="1"/>
                <w:color w:val="auto"/>
                <w:w w:val="87"/>
              </w:rPr>
              <w:t>Stock Class B</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Accumulated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89"/>
              </w:rPr>
              <w:t>Additional</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w w:val="89"/>
              </w:rPr>
              <w:t>Accumulated</w:t>
            </w:r>
          </w:p>
        </w:tc>
        <w:tc>
          <w:tcPr>
            <w:tcW w:w="180" w:type="dxa"/>
            <w:vAlign w:val="bottom"/>
          </w:tcPr>
          <w:p>
            <w:pPr>
              <w:spacing w:after="0"/>
              <w:rPr>
                <w:sz w:val="14"/>
                <w:szCs w:val="14"/>
                <w:color w:val="auto"/>
              </w:rPr>
            </w:pPr>
          </w:p>
        </w:tc>
        <w:tc>
          <w:tcPr>
            <w:tcW w:w="96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auto"/>
                <w:w w:val="91"/>
              </w:rPr>
              <w:t>Paid-in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9"/>
              </w:rPr>
              <w:t>Surplus</w:t>
            </w:r>
          </w:p>
        </w:tc>
        <w:tc>
          <w:tcPr>
            <w:tcW w:w="114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w w:val="99"/>
              </w:rPr>
              <w:t>Comprehensive</w:t>
            </w:r>
          </w:p>
        </w:tc>
        <w:tc>
          <w:tcPr>
            <w:tcW w:w="10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88"/>
              </w:rPr>
              <w:t>Stockholders’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w w:val="88"/>
              </w:rPr>
              <w:t>Amount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1"/>
              </w:rPr>
              <w:t>Capital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6"/>
              <w:spacing w:after="0"/>
              <w:rPr>
                <w:sz w:val="20"/>
                <w:szCs w:val="20"/>
                <w:color w:val="auto"/>
              </w:rPr>
            </w:pPr>
            <w:r>
              <w:rPr>
                <w:rFonts w:ascii="Arial" w:cs="Arial" w:eastAsia="Arial" w:hAnsi="Arial"/>
                <w:sz w:val="15"/>
                <w:szCs w:val="15"/>
                <w:b w:val="1"/>
                <w:bCs w:val="1"/>
                <w:color w:val="auto"/>
                <w:w w:val="93"/>
              </w:rPr>
              <w:t>(Deficit)</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86"/>
              </w:rPr>
              <w:t>Income (Loss)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January 1, 2018</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12,935,546</w:t>
            </w:r>
          </w:p>
        </w:tc>
        <w:tc>
          <w:tcPr>
            <w:tcW w:w="4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2,409,738</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49,695</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(9,961)</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122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39,857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435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Foreign currency translation</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adjustment</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(331)</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Exercise of stock option</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134,726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295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2,360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2"/>
              </w:rPr>
              <w:t>Conversion of class B common shares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to Class A common shares</w:t>
            </w:r>
          </w:p>
        </w:tc>
        <w:tc>
          <w:tcPr>
            <w:tcW w:w="920" w:type="dxa"/>
            <w:vAlign w:val="bottom"/>
          </w:tcPr>
          <w:p>
            <w:pPr>
              <w:jc w:val="right"/>
              <w:spacing w:after="0" w:line="172" w:lineRule="exact"/>
              <w:rPr>
                <w:sz w:val="20"/>
                <w:szCs w:val="20"/>
                <w:color w:val="auto"/>
              </w:rPr>
            </w:pPr>
            <w:r>
              <w:rPr>
                <w:rFonts w:ascii="Arial" w:cs="Arial" w:eastAsia="Arial" w:hAnsi="Arial"/>
                <w:sz w:val="15"/>
                <w:szCs w:val="15"/>
                <w:color w:val="auto"/>
              </w:rPr>
              <w:t>489,565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360" w:type="dxa"/>
            <w:vAlign w:val="bottom"/>
            <w:gridSpan w:val="3"/>
          </w:tcPr>
          <w:p>
            <w:pPr>
              <w:jc w:val="right"/>
              <w:ind w:right="180"/>
              <w:spacing w:after="0" w:line="172" w:lineRule="exact"/>
              <w:rPr>
                <w:sz w:val="20"/>
                <w:szCs w:val="20"/>
                <w:color w:val="auto"/>
              </w:rPr>
            </w:pPr>
            <w:r>
              <w:rPr>
                <w:rFonts w:ascii="Arial" w:cs="Arial" w:eastAsia="Arial" w:hAnsi="Arial"/>
                <w:sz w:val="15"/>
                <w:szCs w:val="15"/>
                <w:color w:val="auto"/>
              </w:rPr>
              <w:t>(489,565)</w:t>
            </w:r>
          </w:p>
        </w:tc>
        <w:tc>
          <w:tcPr>
            <w:tcW w:w="780" w:type="dxa"/>
            <w:vAlign w:val="bottom"/>
          </w:tcPr>
          <w:p>
            <w:pPr>
              <w:spacing w:after="0"/>
              <w:rPr>
                <w:sz w:val="14"/>
                <w:szCs w:val="14"/>
                <w:color w:val="auto"/>
              </w:rPr>
            </w:pPr>
          </w:p>
        </w:tc>
        <w:tc>
          <w:tcPr>
            <w:tcW w:w="1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Exercise of common stock warrant</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issued to SMC</w:t>
            </w: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397,502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spacing w:after="0" w:line="172" w:lineRule="exact"/>
              <w:rPr>
                <w:sz w:val="20"/>
                <w:szCs w:val="20"/>
                <w:color w:val="auto"/>
              </w:rPr>
            </w:pPr>
            <w:r>
              <w:rPr>
                <w:rFonts w:ascii="Arial" w:cs="Arial" w:eastAsia="Arial" w:hAnsi="Arial"/>
                <w:sz w:val="15"/>
                <w:szCs w:val="15"/>
                <w:color w:val="auto"/>
              </w:rPr>
              <w:t>2,981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2,981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b w:val="1"/>
                <w:bCs w:val="1"/>
                <w:color w:val="auto"/>
              </w:rPr>
              <w:t>Balance at June 30, 2018</w:t>
            </w:r>
          </w:p>
        </w:tc>
        <w:tc>
          <w:tcPr>
            <w:tcW w:w="9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13,957,339</w:t>
            </w:r>
          </w:p>
        </w:tc>
        <w:tc>
          <w:tcPr>
            <w:tcW w:w="420" w:type="dxa"/>
            <w:vAlign w:val="bottom"/>
            <w:gridSpan w:val="2"/>
          </w:tcPr>
          <w:p>
            <w:pPr>
              <w:jc w:val="right"/>
              <w:ind w:right="120"/>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w:t>
            </w:r>
          </w:p>
        </w:tc>
        <w:tc>
          <w:tcPr>
            <w:tcW w:w="114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1,920,173</w:t>
            </w:r>
          </w:p>
        </w:tc>
        <w:tc>
          <w:tcPr>
            <w:tcW w:w="220" w:type="dxa"/>
            <w:vAlign w:val="bottom"/>
          </w:tcPr>
          <w:p>
            <w:pPr>
              <w:spacing w:after="0"/>
              <w:rPr>
                <w:sz w:val="14"/>
                <w:szCs w:val="14"/>
                <w:color w:val="auto"/>
              </w:rPr>
            </w:pPr>
          </w:p>
        </w:tc>
        <w:tc>
          <w:tcPr>
            <w:tcW w:w="780" w:type="dxa"/>
            <w:vAlign w:val="bottom"/>
          </w:tcPr>
          <w:p>
            <w:pPr>
              <w:jc w:val="right"/>
              <w:ind w:right="626"/>
              <w:spacing w:after="0" w:line="162" w:lineRule="exact"/>
              <w:rPr>
                <w:sz w:val="20"/>
                <w:szCs w:val="20"/>
                <w:color w:val="auto"/>
              </w:rPr>
            </w:pPr>
            <w:r>
              <w:rPr>
                <w:rFonts w:ascii="Arial" w:cs="Arial" w:eastAsia="Arial" w:hAnsi="Arial"/>
                <w:sz w:val="15"/>
                <w:szCs w:val="15"/>
                <w:b w:val="1"/>
                <w:bCs w:val="1"/>
                <w:color w:val="auto"/>
                <w:w w:val="71"/>
              </w:rPr>
              <w:t>$</w:t>
            </w:r>
          </w:p>
        </w:tc>
        <w:tc>
          <w:tcPr>
            <w:tcW w:w="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55,331</w:t>
            </w:r>
          </w:p>
        </w:tc>
        <w:tc>
          <w:tcPr>
            <w:tcW w:w="36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ind w:right="180"/>
              <w:spacing w:after="0" w:line="162" w:lineRule="exact"/>
              <w:rPr>
                <w:sz w:val="20"/>
                <w:szCs w:val="20"/>
                <w:color w:val="auto"/>
              </w:rPr>
            </w:pPr>
            <w:r>
              <w:rPr>
                <w:rFonts w:ascii="Arial" w:cs="Arial" w:eastAsia="Arial" w:hAnsi="Arial"/>
                <w:sz w:val="15"/>
                <w:szCs w:val="15"/>
                <w:b w:val="1"/>
                <w:bCs w:val="1"/>
                <w:color w:val="auto"/>
              </w:rPr>
              <w:t>(9,526)</w:t>
            </w:r>
          </w:p>
        </w:tc>
        <w:tc>
          <w:tcPr>
            <w:tcW w:w="180" w:type="dxa"/>
            <w:vAlign w:val="bottom"/>
          </w:tcPr>
          <w:p>
            <w:pPr>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180"/>
              <w:spacing w:after="0" w:line="162" w:lineRule="exact"/>
              <w:rPr>
                <w:sz w:val="20"/>
                <w:szCs w:val="20"/>
                <w:color w:val="auto"/>
              </w:rPr>
            </w:pPr>
            <w:r>
              <w:rPr>
                <w:rFonts w:ascii="Arial" w:cs="Arial" w:eastAsia="Arial" w:hAnsi="Arial"/>
                <w:sz w:val="15"/>
                <w:szCs w:val="15"/>
                <w:b w:val="1"/>
                <w:bCs w:val="1"/>
                <w:color w:val="auto"/>
              </w:rPr>
              <w:t>(209)</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45,597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6,168</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from operations to net cash used 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Loss on disposals of property, plant and equipment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income in net income of affiliates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Net changes in operating assets and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Advances from customers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Income tax payable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short-term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stock option exercise to common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Research, Inc. (“ACM”) and its subsidiaries (collectively with ACM, the “Company”) develop, manufacture and sell single-wafer wet cleaning equipment used to improve the manufacturing process and yield for advanced integrated chips. The Company markets and sells its single-wafer wet-cleaning equipment, under the brand name “Ultra C,” based on the Company’s proprietary Space Alternated Phase Shift (“SAPS”) and Timely Energized Bubble Oscillation (“TEBO”) technologies. These tools are designed to remove random defects from a wafer surface efficiently, without damaging the wafer or its features, even at increasingly advanced process nodes.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ACM was incorporated in California in 1998, and it initially focused on developing tools for manufacturing process steps involving the integration of ultra low-K materials and copper. The Company’s early efforts focused on stress-free copper-polishing technology, and it sold tools based on that technology in the early 2000s.</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2006 the Company established its operational center in Shanghai in the People’s Republic of China (the “PRC”), where it operates through ACM’s subsidiary ACM Research (Shanghai), Inc. (“ACM Shanghai”). ACM Shanghai was formed to help establish and build relationships with integrated circuit manufacturers in the PRC, and the Company initially financed its Shanghai operations in part through sales of non-controlling equity interests in ACM Shanghai.</w:t>
      </w:r>
    </w:p>
    <w:p>
      <w:pPr>
        <w:spacing w:after="0" w:line="16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2007 the Company began to focus its development efforts on single-wafer wet-cleaning solutions for the front-end chip fabrication process. The Company introduced its SAPS megasonic technology, which can be applied in wet wafer cleaning at numerous steps during the chip fabrication process, in 2009. It introduced its TEBO technology, which can be applied at numerous steps during the fabrication of small node two-dimensional conventional and three-dimensional patterned wafers, in March 2016. The Company has designed its equipment models for SAPS and TEBO solutions using a modular configuration that enables it to create a wet-cleaning tool meeting the specific requirements of a customer, while using pre-existing designs for chamber, electrical, chemical delivery and other modules. In August 2018, the Company introduced its Ultra-C Tahoe wafer cleaning tool, which can deliver high cleaning performance with significantly less sulfuric acid than typically consumed by conventional high-temperature single-wafer cleaning tools. The Company also offers a range of custom-made equipment, including cleaners, coaters and developers, to back-end wafer assembly and packaging factories, principally in the PRC.</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2011 ACM Shanghai formed a wholly owned subsidiary in the PRC, ACM Research (Wuxi), Inc. (“ACM Wuxi”), to manage sales and service operations.</w:t>
      </w:r>
    </w:p>
    <w:p>
      <w:pPr>
        <w:spacing w:after="0" w:line="24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 November 2016 ACM redomesticated from California to Delaware pursuant to a merger in which ACM Research, Inc., a California corporation, was merged into a newly formed, wholly owned Delaware subsidiary, also named ACM Research, Inc.</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ACM formed a wholly owned subsidiary in Hong Kong, CleanChip Technologies Limited (“CleanChip”), to act on the Company’s behalf in Asian markets outside the PRC by, for example, serving as a trading partner between ACM Shanghai and its customers, procuring raw materials and components, performing sales and marketing activities, and making strategic investments.</w:t>
      </w:r>
    </w:p>
    <w:p>
      <w:pPr>
        <w:spacing w:after="0" w:line="19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 August 2017 ACM purchased 18.77% of ACM Shanghai’s equity interests held by Shanghai Science and Technology Venture Capital Co., Ltd. On November 8, 2017, ACM purchased the remaining 18.36% of ACM Shanghai’s equity interest held by third parties, Shanghai Pudong High-Tech Investment Co., Ltd. (“PDHTI”) and Shanghai Zhangjiang Science &amp; Technology Venture Capital Co., Ltd. (“ZSTVC”). At December 31, 2017, ACM owned all of the outstanding equity interests of ACM Shanghai, and indirectly through ACM Shanghai, owned all of the outstanding equity interests of ACM Wuxi.</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13, 2017, ACM effectuated a 1-for-3 reverse stock split of Class A and Class B common stock. Unless otherwise indicated, all share numbers, per share amount, share prices, exercise prices and conversion rates set forth in these notes and the accompanying condensed consolidated financial statements have been adjusted retrospectively to reflect the reverse stock split.</w:t>
      </w:r>
    </w:p>
    <w:p>
      <w:pPr>
        <w:spacing w:after="0" w:line="194"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 December 2017 ACM formed a wholly owned subsidiary in the Republic of Korea, ACM Research Korea CO., LTD. (“ACM Korea”), to serve customers based in Republic of Korea and perform sales, marketing, research and development activities for new products and solutions.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June 17, 2019 ACM announced plans to complete over the next three years a listing (the “Listing”) of shares of ACM Shanghai on the Shanghai Stock Exchange’s new Sci-Tech innovAtion boaRd, known as the STAR Market, and a concurrent initial public offering (the “IPO”), of ACM Shanghai shares in the PRC. ACM Shanghai is currently our principal operating company and a wholly-owned subsidiary of ACM Research. Following the Listing and IPO, ACM Shanghai will be a majority-owned subsidiary of ACM Research.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an initial step in qualifying for the Listing and IPO, on June 12, 2019 ACM Shanghai entered into agreements with seven investors pursuant to which those investors agreed to pay a purchase price totaling RMB 187.9 million (equivalent to $27.3 million) to ACM Shanghai for shares representing 4.2% of the then-outstanding ACM Shanghai shares. Pursuant to these agreements, the investors are obligated to fund their purchases (see note 17) after ACM Shanghai made the required filings for the capital increase with the local agency of the PRC Ministry of Commerce. Once it has received payment of the purchase prices from all of the parties, ACM Shanghai is obligated to process necessary PRC governmental registrations for the capital increase with the local branch of the PRC State Administration for Market Regulation. Upon completion of those registrations, the investors will be regarded as the owners of their subscribed shares.</w:t>
      </w:r>
    </w:p>
    <w:p>
      <w:pPr>
        <w:spacing w:after="0" w:line="1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2019, ACM Shanghai formed a wholly owned subsidiary in the PRC, Shengwei Research (Shanghai), Inc., to manage activities related to addition of future long-term production capacity. The subsidiary was formed with registered capital of RMB 5.0 million ($727). As of June 30, 2019, no capital had been injected in this new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consolidated accounts include ACM and its subsidiaries ACM Shanghai, ACM Wuxi, CleanChip and ACM Korea. Subsidiaries are those entities in which ACM, directly and indirectly, controls more than one half of the voting power. All significant intercompany transactions and balances have been eliminated upon consolidation.</w:t>
      </w:r>
    </w:p>
    <w:p>
      <w:pPr>
        <w:spacing w:after="0" w:line="194"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accompanying condensed consolidated financial statements of the Company have been prepared in accordance with accounting principles generally accepted in the United States of America (“GAAP”) for interim financial information and the rules and regulations of the SEC for reporting on Form 10-Q. Accordingly, they do not include all the information and footnotes required by GAAP for complete financial statements herein. The unaudited condensed consolidated financial statements herein should be read in conjunction with the historical consolidated financial statements of the Company for the year ended December 31, 2018 included in the Company’s Annual Report on Form 10-K for the year ended December 31, 2018.</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accompanying condensed consolidated balance sheet as of June 30, 2019, the condensed consolidated statements of operations and comprehensive income for the three and six months ended June 30, 2019 and 2018, the condensed consolidated statements of changes in stockholders’ equity for the six months ended June 30, 2019 and 2018, and the condensed consolidated statements of cash flows for the six months ended June 30, 2019 and 2018 are unaudited. In the opinion of management, the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June 30, 2019 and the results of operations for the three and six months ended June 30, 2019 are not necessarily indicative of the results to be expected for any future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 and expenses during the reported period in the condensed consolidated financial statements and accompanying notes. The Company’s significant accounting estimates and assumptions include, but are not limited to, those used for the valuation and recognition of stock-based compensation arrangements and warrant liability, realization of deferred tax assets, assessment for impairment of long-lived assets, allowance for doubtful accounts, inventory valuation for excess and obsolete inventories, lower of cost and market value or net realizable value of inventories, depreciable lives of property and equipment, and useful life of intangible assets. Management of the Company believes that the estimates, judgments and assumptions are reasonable, based on information available at the time they are made. Actual results could differ materially from those estimates.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Net Income per Common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per common share is calculated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4"/>
          </w:tcPr>
          <w:p>
            <w:pPr>
              <w:jc w:val="right"/>
              <w:ind w:right="194"/>
              <w:spacing w:after="0"/>
              <w:rPr>
                <w:sz w:val="20"/>
                <w:szCs w:val="20"/>
                <w:color w:val="auto"/>
              </w:rPr>
            </w:pPr>
            <w:r>
              <w:rPr>
                <w:rFonts w:ascii="Arial" w:cs="Arial" w:eastAsia="Arial" w:hAnsi="Arial"/>
                <w:sz w:val="15"/>
                <w:szCs w:val="15"/>
                <w:b w:val="1"/>
                <w:bCs w:val="1"/>
                <w:color w:val="auto"/>
                <w:w w:val="94"/>
              </w:rPr>
              <w:t>Three Months Ended June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160"/>
              <w:spacing w:after="0"/>
              <w:rPr>
                <w:sz w:val="20"/>
                <w:szCs w:val="20"/>
                <w:color w:val="auto"/>
              </w:rPr>
            </w:pPr>
            <w:r>
              <w:rPr>
                <w:rFonts w:ascii="Arial" w:cs="Arial" w:eastAsia="Arial" w:hAnsi="Arial"/>
                <w:sz w:val="15"/>
                <w:szCs w:val="15"/>
                <w:b w:val="1"/>
                <w:bCs w:val="1"/>
                <w:color w:val="auto"/>
              </w:rPr>
              <w:t>Six Months Ended June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2019</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16,090,937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15,838,540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16,067,924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15,611,863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00"/>
              <w:spacing w:after="0"/>
              <w:rPr>
                <w:sz w:val="20"/>
                <w:szCs w:val="20"/>
                <w:color w:val="auto"/>
              </w:rPr>
            </w:pPr>
            <w:r>
              <w:rPr>
                <w:rFonts w:ascii="Arial" w:cs="Arial" w:eastAsia="Arial" w:hAnsi="Arial"/>
                <w:sz w:val="18"/>
                <w:szCs w:val="18"/>
                <w:color w:val="auto"/>
              </w:rPr>
              <w:t>Effect of dilutive securities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2,513,410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2,281,193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2,387,610</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2,057,787</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Weighted average shares outstanding, diluted</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18,604,347</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18,119,733</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18,455,534</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17,669,650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has been authorized to issue Class A and Class B common stock since redomesticating in Delaware in November 2016. The two classes of common stock are substantially identical in all material respects, except for voting rights. Since ACM did not declare any dividends during the three and six months ended June 30, 2019 and 2018, the net income per common share attributable to each class is the same under the “two-class” method. As such, the two classes of common stock have been presented on a combined basis in the condensed consolidated statements of operations and comprehensive income and in the above computation of net income per common share.</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Diluted net income per common share reflects the potential dilution from securities that could share in ACM’s earnings. ACM’s potential dilutive securities consist warrants and stock options for the three and six months ended June 30, 2019 and 2018. Certain potential dilutive securities were excluded from the net income per share calculation because the impact would be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amendments in ASU 2016-02 create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supersede the leases requirements in Topic 840, </w:t>
      </w:r>
      <w:r>
        <w:rPr>
          <w:rFonts w:ascii="Arial" w:cs="Arial" w:eastAsia="Arial" w:hAnsi="Arial"/>
          <w:sz w:val="16"/>
          <w:szCs w:val="16"/>
          <w:i w:val="1"/>
          <w:iCs w:val="1"/>
          <w:color w:val="auto"/>
        </w:rPr>
        <w:t>Leases</w:t>
      </w:r>
      <w:r>
        <w:rPr>
          <w:rFonts w:ascii="Arial" w:cs="Arial" w:eastAsia="Arial" w:hAnsi="Arial"/>
          <w:sz w:val="16"/>
          <w:szCs w:val="16"/>
          <w:color w:val="auto"/>
        </w:rPr>
        <w:t>. Topic 842 specifies the accounting for leases. The objective of Topic 842 is to establish the principles that lessees and lessors shall apply to report useful information to users of financial statements about the amount, timing, and uncertainty of cash flows arising from a lease. The main difference between Topic 842 and Topic 840 is the recognition of lease assets and lease liabilities for those leases classified as operating leases under Topic 840. Topic 842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The result of retaining a distinction between finance leases and operating leases is that under the lessee accounting model in Topic 842, the effect of leases in the statement of comprehensive income and the statement of cash flows is largely unchanged from previous GAAP.</w:t>
      </w:r>
    </w:p>
    <w:p>
      <w:pPr>
        <w:spacing w:after="0" w:line="17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Effective January 1, 2019, the Company adopted ASU 2016-02. The original guidance required application on a modified retrospective basis with the earliest period presented. In August 2018, the FASB issued ASU 2018-11, </w:t>
      </w:r>
      <w:r>
        <w:rPr>
          <w:rFonts w:ascii="Arial" w:cs="Arial" w:eastAsia="Arial" w:hAnsi="Arial"/>
          <w:sz w:val="18"/>
          <w:szCs w:val="18"/>
          <w:i w:val="1"/>
          <w:iCs w:val="1"/>
          <w:color w:val="auto"/>
        </w:rPr>
        <w:t>Targeted Improvements to ASC 842</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which included an option to not restate comparative periods in transition and elect to use the effective date of Accounting Standards Codification (“ASC”) 842 as the date of initial application of transition, which the Company elected. As a result of its adoption of ASC 842 as of January 1, 2019, the Company recorded operating lease right-of-use assets of $5,109 and lease liabilities of $5,109. The adoption of ASC 842 had no impact on the Company’s profit or cash flows for the three and six month period ended June 30, 2019. In addition, the Company elected the package of practical expedients permitted under the transition guidance within the new standard, which allowed the Company to carry forward the historical lease classification. Additional information and disclosures required by this new standard are contained in note 8.</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nonemployee share-based payment transactions resulting from expanding the scope of Topic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 include share-based payment transactions for acquiring goods and services from nonemployees. Some of the areas for simplification apply only to nonpublic entities. ASU 2018-07 specifies that Topic 718 applies to all share-based payment transactions in which a grantor acquires goods or services to be used or consumed in a grantor’s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the new revenue recognition standard set forth in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Effective January 1, 2019, the Company adopted ASU 2018-07, which did not have a material impact on the Company’s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which eliminates, adds and modifies certain disclosure requirements for fair value measurements. The modified standard eliminates the 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The Company is evaluating the impact of the adoption of ASU 2018-13 on its consolidated financial statements.</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ASU 2017-04 does not amend the optional qualitative assessment of goodwill impairment. A business entity that files periodic reports with the Securities and Exchange Commission must adopt the amendments in ASU 2017-04 for its annual or any interim goodwill impairment test in fiscal years beginning after December 15, 2019. Early adoption is permitted for interim or annual goodwill impairment tests performed on testing dates after January 1, 2017. The Company is evaluating the impact of the adoption of ASU 2017-04 on its consolidated financial statements.</w:t>
      </w:r>
    </w:p>
    <w:p>
      <w:pPr>
        <w:spacing w:after="0" w:line="17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ASU 2016-13 replaced the incurred loss impairment methodology under current GAAP with a 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is effective for fiscal years beginning after December 15, 2019, with early adoption permitted. Adoption of the standard requires using a modified retrospective approach through a cumulative-effect adjustment to retained earnings as of the effective date to align existing credit loss methodology with the new standard. The Company will adopt ASU 2016-13 effective January 1, 2020. The Company is evaluating the impact of this standard on its consolidated financial statements, including accounting policies, processes, and systems, but does not expect the standard will have a material impact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ACCOUNTS RECEIVABLE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and December 31, 2018, accounts receivable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198"/>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FF0000"/>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Company reviews accounts receivable on a periodic basis and makes general and specific allowances when there is doubt as to the collectability of individual balances. No allowance for doubtful accounts was considered necessary at June 30, 2019 or December 31, 2018. At June 30, 2019 and December 31, 2018, accounts receivable of $0 and $1,457, respectively, were pledged as collateral for borrowings from financial institutions.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and December 31, 2018, inventory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9,631</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inventory, gross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38,764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inventory,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45,494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38,764</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2019 and December 31, 2018, the Company did not have an inventory reserve and no inventory was pledged as collateral for borrowings from financial institutions. System shipments of first-tools to an existing or prospective customer, for which ownership does not transfer until customer acceptance, are classified as finished goods inventory and carried at cost until ownership is transferred.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PLANT AND EQUIPMENT, NET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and December 31, 2018, property, plant and equipment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w w:val="99"/>
              </w:rPr>
              <w:t>June 30,</w:t>
            </w:r>
          </w:p>
        </w:tc>
        <w:tc>
          <w:tcPr>
            <w:tcW w:w="1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86"/>
              </w:rPr>
              <w:t>December 31,</w:t>
            </w: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improvement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Total accumulated depreciation</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(8,102)</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Depreciation expense was $177 and $88 for the three months ended June 30, 2019 and 2018, respectively, and $352 and $173 for the six months ended June 30, 2019 and 2018, respectively.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SHORT-TERM BORROWINGS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and December 31, 2018, short-term borrowings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4"/>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Line of credit up to RMB 50,000 from Bank of Shanghai Pudong Branch, due on April 17,2019 with an annual interest rate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 4.99%, guaranteed by the Company’s CEO and fully repaid on March 27, 2019.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Line of credit up to RMB 50,000 from Bank of Shanghai Pudong Branch, due on February 14,2019 with an annual interest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rate of 5.15%, guaranteed by the Company’s CEO and fully repaid on February 14, 2019.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1"/>
              </w:rPr>
              <w:t>Line of credit up to RMB 50,000 from Bank of Shanghai Pudong Branch, due on January 23, 2020 with an annual interest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rate of 5.22%, guaranteed by the Company’s CEO and Cleanchip Technologies Limited.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4"/>
              </w:rPr>
              <w:t>Line of credit up to RMB 30,000 from Bank of China Pudong Branch, due on June 6,2019 with annual interest rate of</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w w:val="90"/>
              </w:rPr>
              <w:t>5.22%,secured by certain of the Company’s intellectual property and the Company’s CEO and fully repaid on June 6,2019.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Line of credit up to RMB 30,000 from Bank of China Pudong Branch, due on June 13,2019 with annual interest rate of</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5.22%,secured by certain of the Company’s intellectual property and the Company’s CEO and fully repaid on June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13,2019.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Line of credit up to RMB 10,000 from Shanghai Rural Commercial Bank, due on January 23, 2019 with an annual interest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w w:val="93"/>
              </w:rPr>
              <w:t>rate of 5.44%, guaranteed by the Company’s CEO and pledged by accounts receivable,and fully repaid on January 23,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6"/>
              </w:rPr>
              <w:t>Line of credit up to RMB 20,000 from Shanghai Rural Commercial Bank, due on February 21, 2020 with an annual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5.66%, guaranteed by the Company’s CEO and pledged by accounts receivable.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Line of credit up to RMB 20,000 from Bank of Communications, due on January 18, 2020 with an annual interest rate of</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2"/>
              </w:rPr>
              <w:t>Line of credit up to RMB 20,000 from Bank of Communications, due on January 22, 2020 with an annual interest rate of</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Line of credit up to RMB 20,000 from Bank of Communications, due on February 14, 2020 with an annual interest rate of</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5"/>
              </w:rPr>
              <w:t>Line of credit up to RMB 50,000 from China Everbright Bank, due on March 25, 2020 with an annual interest rate of</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4.94%, guaranteed by the Company’s CEO.</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Line of credit up to RMB 50,000 from China Everbright Bank, due on April 17, 2020 with an annual interest rate of 5.66%,</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guaranteed by the Company’s CEO.</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Line of credit up to RMB 50,000 from China Everbright Bank, due on June 26, 2020 with an annual interest rate of 5.66%,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guaranteed by the Company’s CEO.</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15,110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9,447</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Interest expense related to short-term borrowings amounted to $194 and $149 for the three months ended June 30, 2019 and 2018, respectively, and $333 and $252 for the six months ended June 30, 2019 and 2018,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PAYABLE AND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and December 31, 2018, other payable and accrued expenses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 expenses and payable for leasehold improvement due to a related party (note 11)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commissions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machine testing fees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11,993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10,410</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31"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spacing w:after="0" w:line="139" w:lineRule="exact"/>
        <w:rPr>
          <w:sz w:val="20"/>
          <w:szCs w:val="20"/>
          <w:color w:val="auto"/>
        </w:rPr>
      </w:pPr>
    </w:p>
    <w:p>
      <w:pPr>
        <w:jc w:val="both"/>
        <w:ind w:firstLine="324"/>
        <w:spacing w:after="0" w:line="335" w:lineRule="auto"/>
        <w:rPr>
          <w:sz w:val="20"/>
          <w:szCs w:val="20"/>
          <w:color w:val="auto"/>
        </w:rPr>
      </w:pPr>
      <w:r>
        <w:rPr>
          <w:rFonts w:ascii="Arial" w:cs="Arial" w:eastAsia="Arial" w:hAnsi="Arial"/>
          <w:sz w:val="15"/>
          <w:szCs w:val="15"/>
          <w:color w:val="auto"/>
        </w:rPr>
        <w:t>Most leases include one or more options to renew. The exercise of lease renewal options is typically at the Company’s sole discretion; therefore, the majority of renewals to extend the lease terms are not included in the Company’s right-of-use assets and lease liabilities as they are not reasonably certain of exercise. The Company regularly evaluates the renewal options, and when they are reasonably certain of exercise, the Company includes the renewal period in its lease term.</w:t>
      </w:r>
    </w:p>
    <w:p>
      <w:pPr>
        <w:spacing w:after="0" w:line="14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based on the information available at the lease commencement date in determining the present value of the lease payments. The Company has a centrally managed treasury function; therefore, based on the applicable lease terms and the current economic environment, it applies a portfolio approach for determining the incremental borrowing rate.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1"/>
              <w:spacing w:after="0"/>
              <w:rPr>
                <w:sz w:val="20"/>
                <w:szCs w:val="20"/>
                <w:color w:val="auto"/>
              </w:rPr>
            </w:pPr>
            <w:r>
              <w:rPr>
                <w:rFonts w:ascii="Arial" w:cs="Arial" w:eastAsia="Arial" w:hAnsi="Arial"/>
                <w:sz w:val="15"/>
                <w:szCs w:val="15"/>
                <w:b w:val="1"/>
                <w:bCs w:val="1"/>
                <w:color w:val="auto"/>
                <w:w w:val="88"/>
              </w:rPr>
              <w:t>Three months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Six months</w:t>
            </w: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85"/>
              </w:rPr>
              <w:t>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5"/>
              </w:rPr>
              <w:t>ended</w:t>
            </w: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89"/>
              </w:rPr>
              <w:t>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6"/>
              </w:rPr>
              <w:t>June 30,</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9"/>
              </w:rPr>
              <w:t>2019</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5"/>
                <w:szCs w:val="15"/>
                <w:b w:val="1"/>
                <w:bCs w:val="1"/>
                <w:color w:val="auto"/>
                <w:w w:val="89"/>
              </w:rPr>
              <w:t>2019</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Short-term lease cost</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22"/>
                <w:szCs w:val="22"/>
                <w:color w:val="auto"/>
              </w:rPr>
            </w:pPr>
          </w:p>
        </w:tc>
      </w:tr>
      <w:tr>
        <w:trPr>
          <w:trHeight w:val="424"/>
        </w:trPr>
        <w:tc>
          <w:tcPr>
            <w:tcW w:w="20" w:type="dxa"/>
            <w:vAlign w:val="bottom"/>
          </w:tcPr>
          <w:p>
            <w:pPr>
              <w:spacing w:after="0"/>
              <w:rPr>
                <w:sz w:val="24"/>
                <w:szCs w:val="24"/>
                <w:color w:val="auto"/>
              </w:rPr>
            </w:pPr>
          </w:p>
        </w:tc>
        <w:tc>
          <w:tcPr>
            <w:tcW w:w="8800" w:type="dxa"/>
            <w:vAlign w:val="bottom"/>
            <w:tcBorders>
              <w:top w:val="single" w:sz="8" w:color="CCEEFF"/>
            </w:tcBorders>
          </w:tcPr>
          <w:p>
            <w:pPr>
              <w:jc w:val="right"/>
              <w:ind w:right="352"/>
              <w:spacing w:after="0"/>
              <w:rPr>
                <w:sz w:val="20"/>
                <w:szCs w:val="20"/>
                <w:color w:val="auto"/>
              </w:rPr>
            </w:pPr>
            <w:r>
              <w:rPr>
                <w:rFonts w:ascii="Arial" w:cs="Arial" w:eastAsia="Arial" w:hAnsi="Arial"/>
                <w:sz w:val="18"/>
                <w:szCs w:val="18"/>
                <w:color w:val="auto"/>
                <w:w w:val="91"/>
              </w:rPr>
              <w:t>Supplemental cash flow information related to operating leases was as follows for the period ended June 30, 2019:</w:t>
            </w: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6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
              <w:spacing w:after="0"/>
              <w:rPr>
                <w:sz w:val="20"/>
                <w:szCs w:val="20"/>
                <w:color w:val="auto"/>
              </w:rPr>
            </w:pPr>
            <w:r>
              <w:rPr>
                <w:rFonts w:ascii="Arial" w:cs="Arial" w:eastAsia="Arial" w:hAnsi="Arial"/>
                <w:sz w:val="15"/>
                <w:szCs w:val="15"/>
                <w:b w:val="1"/>
                <w:bCs w:val="1"/>
                <w:color w:val="auto"/>
                <w:w w:val="88"/>
              </w:rPr>
              <w:t>Three months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Six months</w:t>
            </w: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85"/>
              </w:rPr>
              <w:t>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5"/>
              </w:rPr>
              <w:t>ended</w:t>
            </w:r>
          </w:p>
        </w:tc>
      </w:tr>
      <w:tr>
        <w:trPr>
          <w:trHeight w:val="16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line="162" w:lineRule="exact"/>
              <w:rPr>
                <w:sz w:val="20"/>
                <w:szCs w:val="20"/>
                <w:color w:val="auto"/>
              </w:rPr>
            </w:pPr>
            <w:r>
              <w:rPr>
                <w:rFonts w:ascii="Arial" w:cs="Arial" w:eastAsia="Arial" w:hAnsi="Arial"/>
                <w:sz w:val="15"/>
                <w:szCs w:val="15"/>
                <w:b w:val="1"/>
                <w:bCs w:val="1"/>
                <w:color w:val="auto"/>
                <w:w w:val="89"/>
              </w:rPr>
              <w:t>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6"/>
              </w:rPr>
              <w:t>June 30,</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9"/>
              </w:rPr>
              <w:t>2019</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5"/>
                <w:szCs w:val="15"/>
                <w:b w:val="1"/>
                <w:bCs w:val="1"/>
                <w:color w:val="auto"/>
                <w:w w:val="89"/>
              </w:rPr>
              <w:t>2019</w:t>
            </w:r>
          </w:p>
        </w:tc>
        <w:tc>
          <w:tcPr>
            <w:tcW w:w="140" w:type="dxa"/>
            <w:vAlign w:val="bottom"/>
          </w:tcPr>
          <w:p>
            <w:pPr>
              <w:spacing w:after="0"/>
              <w:rPr>
                <w:sz w:val="15"/>
                <w:szCs w:val="15"/>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jc w:val="right"/>
              <w:ind w:right="5292"/>
              <w:spacing w:after="0"/>
              <w:rPr>
                <w:sz w:val="20"/>
                <w:szCs w:val="20"/>
                <w:color w:val="auto"/>
              </w:rPr>
            </w:pPr>
            <w:r>
              <w:rPr>
                <w:rFonts w:ascii="Arial" w:cs="Arial" w:eastAsia="Arial" w:hAnsi="Arial"/>
                <w:sz w:val="18"/>
                <w:szCs w:val="18"/>
                <w:color w:val="auto"/>
                <w:w w:val="93"/>
              </w:rPr>
              <w:t>Operating cash outflow from operating leases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CCEEFF"/>
          </w:tcPr>
          <w:p>
            <w:pPr>
              <w:spacing w:after="0"/>
              <w:rPr>
                <w:sz w:val="18"/>
                <w:szCs w:val="18"/>
                <w:color w:val="auto"/>
              </w:rPr>
            </w:pPr>
          </w:p>
        </w:tc>
      </w:tr>
      <w:tr>
        <w:trPr>
          <w:trHeight w:val="647"/>
        </w:trPr>
        <w:tc>
          <w:tcPr>
            <w:tcW w:w="20" w:type="dxa"/>
            <w:vAlign w:val="bottom"/>
          </w:tcPr>
          <w:p>
            <w:pPr>
              <w:spacing w:after="0"/>
              <w:rPr>
                <w:sz w:val="24"/>
                <w:szCs w:val="24"/>
                <w:color w:val="auto"/>
              </w:rPr>
            </w:pPr>
          </w:p>
        </w:tc>
        <w:tc>
          <w:tcPr>
            <w:tcW w:w="8800" w:type="dxa"/>
            <w:vAlign w:val="bottom"/>
            <w:tcBorders>
              <w:bottom w:val="single" w:sz="8" w:color="auto"/>
            </w:tcBorders>
          </w:tcPr>
          <w:p>
            <w:pPr>
              <w:jc w:val="right"/>
              <w:ind w:right="29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jc w:val="center"/>
              <w:ind w:left="1112"/>
              <w:spacing w:after="0"/>
              <w:rPr>
                <w:sz w:val="20"/>
                <w:szCs w:val="20"/>
                <w:color w:val="auto"/>
              </w:rPr>
            </w:pPr>
            <w:r>
              <w:rPr>
                <w:rFonts w:ascii="Arial" w:cs="Arial" w:eastAsia="Arial" w:hAnsi="Arial"/>
                <w:sz w:val="18"/>
                <w:szCs w:val="18"/>
                <w:b w:val="1"/>
                <w:bCs w:val="1"/>
                <w:color w:val="auto"/>
                <w:w w:val="98"/>
              </w:rPr>
              <w:t>ACM RESEARCH, INC.</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180" w:type="dxa"/>
            <w:vAlign w:val="bottom"/>
          </w:tcPr>
          <w:p>
            <w:pPr>
              <w:jc w:val="center"/>
              <w:ind w:left="1112"/>
              <w:spacing w:after="0"/>
              <w:rPr>
                <w:sz w:val="20"/>
                <w:szCs w:val="20"/>
                <w:color w:val="auto"/>
              </w:rPr>
            </w:pPr>
            <w:r>
              <w:rPr>
                <w:rFonts w:ascii="Arial" w:cs="Arial" w:eastAsia="Arial" w:hAnsi="Arial"/>
                <w:sz w:val="18"/>
                <w:szCs w:val="18"/>
                <w:b w:val="1"/>
                <w:bCs w:val="1"/>
                <w:color w:val="auto"/>
                <w:w w:val="86"/>
              </w:rPr>
              <w:t>Notes to Condensed Consolidated Financial Statements (unaudited)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0180" w:type="dxa"/>
            <w:vAlign w:val="bottom"/>
          </w:tcPr>
          <w:p>
            <w:pPr>
              <w:jc w:val="center"/>
              <w:ind w:left="1112"/>
              <w:spacing w:after="0"/>
              <w:rPr>
                <w:sz w:val="20"/>
                <w:szCs w:val="20"/>
                <w:color w:val="auto"/>
              </w:rPr>
            </w:pPr>
            <w:r>
              <w:rPr>
                <w:rFonts w:ascii="Arial" w:cs="Arial" w:eastAsia="Arial" w:hAnsi="Arial"/>
                <w:sz w:val="18"/>
                <w:szCs w:val="18"/>
                <w:i w:val="1"/>
                <w:iCs w:val="1"/>
                <w:color w:val="auto"/>
                <w:w w:val="87"/>
              </w:rPr>
              <w:t>(in thousands, except share and per share data)</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10180" w:type="dxa"/>
            <w:vAlign w:val="bottom"/>
          </w:tcPr>
          <w:p>
            <w:pPr>
              <w:ind w:left="640"/>
              <w:spacing w:after="0"/>
              <w:rPr>
                <w:sz w:val="20"/>
                <w:szCs w:val="20"/>
                <w:color w:val="auto"/>
              </w:rPr>
            </w:pPr>
            <w:r>
              <w:rPr>
                <w:rFonts w:ascii="Arial" w:cs="Arial" w:eastAsia="Arial" w:hAnsi="Arial"/>
                <w:sz w:val="18"/>
                <w:szCs w:val="18"/>
                <w:color w:val="auto"/>
              </w:rPr>
              <w:t>Maturities of lease liabilities for all operating leases were as follows as of June 30, 2019: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10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December 31</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Less: Interest</w:t>
            </w: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424"/>
        </w:trPr>
        <w:tc>
          <w:tcPr>
            <w:tcW w:w="20" w:type="dxa"/>
            <w:vAlign w:val="bottom"/>
          </w:tcPr>
          <w:p>
            <w:pPr>
              <w:spacing w:after="0"/>
              <w:rPr>
                <w:sz w:val="24"/>
                <w:szCs w:val="24"/>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w w:val="98"/>
              </w:rPr>
              <w:t>The weighted average remaining lease terms and discount rates for all operating leases were as follows as of June 30, 2019: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7"/>
        </w:trPr>
        <w:tc>
          <w:tcPr>
            <w:tcW w:w="20" w:type="dxa"/>
            <w:vAlign w:val="bottom"/>
          </w:tcPr>
          <w:p>
            <w:pPr>
              <w:spacing w:after="0"/>
              <w:rPr>
                <w:sz w:val="24"/>
                <w:szCs w:val="24"/>
                <w:color w:val="auto"/>
              </w:rPr>
            </w:pPr>
          </w:p>
        </w:tc>
        <w:tc>
          <w:tcPr>
            <w:tcW w:w="10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6"/>
              </w:rPr>
              <w:t>June 30,</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89"/>
              </w:rPr>
              <w:t>2019</w:t>
            </w:r>
          </w:p>
        </w:tc>
        <w:tc>
          <w:tcPr>
            <w:tcW w:w="140" w:type="dxa"/>
            <w:vAlign w:val="bottom"/>
          </w:tcPr>
          <w:p>
            <w:pPr>
              <w:spacing w:after="0"/>
              <w:rPr>
                <w:sz w:val="15"/>
                <w:szCs w:val="15"/>
                <w:color w:val="auto"/>
              </w:rPr>
            </w:pPr>
          </w:p>
        </w:tc>
      </w:tr>
      <w:tr>
        <w:trPr>
          <w:trHeight w:val="241"/>
        </w:trPr>
        <w:tc>
          <w:tcPr>
            <w:tcW w:w="10200" w:type="dxa"/>
            <w:vAlign w:val="bottom"/>
            <w:gridSpan w:val="2"/>
          </w:tcPr>
          <w:p>
            <w:pPr>
              <w:spacing w:after="0"/>
              <w:rPr>
                <w:sz w:val="20"/>
                <w:szCs w:val="20"/>
                <w:color w:val="auto"/>
              </w:rPr>
            </w:pPr>
            <w:r>
              <w:rPr>
                <w:rFonts w:ascii="Arial" w:cs="Arial" w:eastAsia="Arial" w:hAnsi="Arial"/>
                <w:sz w:val="18"/>
                <w:szCs w:val="18"/>
                <w:color w:val="auto"/>
              </w:rPr>
              <w:t>Remaining lease term and discount rate:</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5.43%</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LONG-TERM LIABILITIES</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long-term liabilities represent government subsidies received from PRC governmental authorities for development and commercialization of certain technology but not yet recognized. As of June 30, 2019, and December 31, 2018, other long-term liabilities consisted of the following unearned government subsidies: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96"/>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Subsidies to Stress Free Polishing project, commenced in 2008 and 2017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Subsidies to Electro Copper Plating project, commenced in 2014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Subsidies to Polytetrafluoroethylene, commenced in 2018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4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INVESTMENT</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6, 2017, ACM and Ninebell Co., Ltd. (“Ninebell”), a Korean company that is one of the Company’s principal materials suppliers,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133,334 shares of Class A common stock to Ninebell for a purchase price of $1,000 at $7.50 per share. The investment in Ninebell is accounted for under the equity method.</w:t>
      </w:r>
    </w:p>
    <w:p>
      <w:pPr>
        <w:spacing w:after="0" w:line="19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On June 27, 2019, ACM Shanghai and Shengyi Semiconductor Technology Co., Ltd. (“Shengyi”), a company based in Wuxi, China that is one of the Company’s components suppliers, entered into an agreement pursuant to which Shengyi issued to ACM Shanghai shares representing 15% of Shengyi’s post-closing equity for a purchase price of $109. The investment in Shengyi is accounted for under the cost method.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8"/>
              <w:spacing w:after="0"/>
              <w:rPr>
                <w:sz w:val="20"/>
                <w:szCs w:val="20"/>
                <w:color w:val="auto"/>
              </w:rPr>
            </w:pPr>
            <w:r>
              <w:rPr>
                <w:rFonts w:ascii="Arial" w:cs="Arial" w:eastAsia="Arial" w:hAnsi="Arial"/>
                <w:sz w:val="15"/>
                <w:szCs w:val="15"/>
                <w:b w:val="1"/>
                <w:bCs w:val="1"/>
                <w:color w:val="auto"/>
                <w:w w:val="99"/>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December 31,</w:t>
            </w: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Investment – equity method</w:t>
            </w:r>
          </w:p>
        </w:tc>
        <w:tc>
          <w:tcPr>
            <w:tcW w:w="5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Investment – cost method</w:t>
            </w:r>
          </w:p>
        </w:tc>
        <w:tc>
          <w:tcPr>
            <w:tcW w:w="5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22"/>
                <w:szCs w:val="22"/>
                <w:color w:val="auto"/>
              </w:rPr>
            </w:pPr>
          </w:p>
        </w:tc>
      </w:tr>
      <w:tr>
        <w:trPr>
          <w:trHeight w:val="668"/>
        </w:trPr>
        <w:tc>
          <w:tcPr>
            <w:tcW w:w="20" w:type="dxa"/>
            <w:vAlign w:val="bottom"/>
          </w:tcPr>
          <w:p>
            <w:pPr>
              <w:spacing w:after="0"/>
              <w:rPr>
                <w:sz w:val="24"/>
                <w:szCs w:val="24"/>
                <w:color w:val="auto"/>
              </w:rPr>
            </w:pPr>
          </w:p>
        </w:tc>
        <w:tc>
          <w:tcPr>
            <w:tcW w:w="3780" w:type="dxa"/>
            <w:vAlign w:val="bottom"/>
            <w:tcBorders>
              <w:top w:val="single" w:sz="8" w:color="CCEEFF"/>
              <w:bottom w:val="single" w:sz="8" w:color="auto"/>
            </w:tcBorders>
          </w:tcPr>
          <w:p>
            <w:pPr>
              <w:spacing w:after="0"/>
              <w:rPr>
                <w:sz w:val="24"/>
                <w:szCs w:val="24"/>
                <w:color w:val="auto"/>
              </w:rPr>
            </w:pPr>
          </w:p>
        </w:tc>
        <w:tc>
          <w:tcPr>
            <w:tcW w:w="5020" w:type="dxa"/>
            <w:vAlign w:val="bottom"/>
            <w:tcBorders>
              <w:top w:val="single" w:sz="8" w:color="CCEEFF"/>
              <w:bottom w:val="single" w:sz="8" w:color="auto"/>
            </w:tcBorders>
          </w:tcPr>
          <w:p>
            <w:pPr>
              <w:jc w:val="right"/>
              <w:ind w:right="2932"/>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5" w:name="page16"/>
    <w:bookmarkEnd w:id="15"/>
    <w:p>
      <w:pPr>
        <w:ind w:left="4920"/>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BALANCES AND TRANSACTIONS</w:t>
      </w:r>
    </w:p>
    <w:p>
      <w:pPr>
        <w:spacing w:after="0" w:line="23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18, 2017, ACM and Ninebell, its equity method investment affiliate (note 10), entered into a loan agreement pursuant to which ACM made an interest-free loan of $946 to Ninebell, payable in 180 days or automatically extended another 180 days if in default. The loan was secured by a pledge of Ninebell’s accounts receivable due from ACM and all money that Ninebell received from</w:t>
      </w:r>
    </w:p>
    <w:p>
      <w:pPr>
        <w:jc w:val="both"/>
        <w:spacing w:after="0" w:line="331" w:lineRule="auto"/>
        <w:rPr>
          <w:sz w:val="20"/>
          <w:szCs w:val="20"/>
          <w:color w:val="auto"/>
        </w:rPr>
      </w:pPr>
      <w:r>
        <w:rPr>
          <w:rFonts w:ascii="Arial" w:cs="Arial" w:eastAsia="Arial" w:hAnsi="Arial"/>
          <w:sz w:val="15"/>
          <w:szCs w:val="15"/>
          <w:color w:val="auto"/>
        </w:rPr>
        <w:t>ACM. Ninebell repaid the loan in March 2018. ACM purchased materials from Ninebell amounting to $2,483 and $1,865 during the three months ended June 30, 2019 and 2018, and $4,803 and $2,835 during the six months ended June 30, 2019 and 2018, respectively. As of June 30, 2019 and December 31, 2018, accounts payable due to Ninebell were $2,131 and $1,477, respectively, and prepaid expenses prepaid to Ninebell for material purchases were $751 and $572, respectively.</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 purchased materials from Shengyi amounting to $192 during the three and six months ended June 30, 2019. As of June 30, 2019, accounts payable due to Shengyi was $189.</w:t>
      </w:r>
    </w:p>
    <w:p>
      <w:pPr>
        <w:spacing w:after="0" w:line="18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2007 ACM Shanghai entered into an operating lease agreement with Shanghai Zhangjiang Group Co., Ltd. (“Zhangjiang Group”) to lease manufacturing and office space located in Shanghai, China. An affiliate of Zhangjiang Group holds 787,098 shares of Class A common stock that it acquired in September 2017 for $5,903. Pursuant to the lease agreement, Zhangjiang Group provided $771 to ACM Shanghai for leasehold improvements. In September 2016 the lease agreement was amended to modify payment terms and extend the lease through December 31, 2017. From January 1 to April 25, 2018, ACM Shanghai leased the property on a month-to-month basis. On April 26, 2018, ACM Shanghai entered into a renewed lease with Zhangjiang Group for the period from January 1, 2018 through December 31, 2022. Under the lease, ACM Shanghai pays a monthly rental fee of RMB 366 (equivalent to $55). The required security deposit was RMB 1,077 (equivalent to $163). The Company incurred leasing expenses under the lease agreement of $150 and $147 during the three months ended June 30, 2019 and 2018, respectively, and $300 and $319 during the six months ended June 30, 2019 and 2018, respectively. As of June 30, 2019 and December 31, 2018, payables to Zhangjiang Group for lease expenses and leasehold improvements recorded as other payables and accrued expenses amounted to $52 and $53, respectively (note 7).</w:t>
      </w:r>
    </w:p>
    <w:p>
      <w:pPr>
        <w:spacing w:after="0" w:line="17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9, 2016, Shengxin (Shanghai) Management Consulting Limited Partnership (“SMC”), a related party (note 11), delivered RMB 20,124 (approximately $2,981 as of the close of business on such date) in cash (the “SMC Investment”) to ACM Shanghai for potential investment pursuant to terms to be subsequently negotiated. SMC is a limited partnership incorporated in the PRC, whose partners consist of employees of ACM Shanghai. On March 14, 2017, ACM, ACM Shanghai and SMC entered into a securities purchase agreement (the “SMC Agreement”) pursuant to which, in exchange for the SMC Investment, ACM issued to SMC a warrant (the “SMC Warrant”) exercisable, for cash or on a cashless basis, to purchase, at any time on or before May 17, 2023, all, but not less than all, of 397,502 shares of Class A common stock at a price of $7.50 per share, for a total exercise price of $2,981. On March 30, 2018, SMC exercised the SMC Warrant in full and purchased 397,502 shares of Class A common stock (note 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 LIABILITY</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9, 2016, ACM Shanghai received the SMC Investment from SMC for potential investment pursuant to terms to be subsequently negotiated, and on March 14, 2017, ACM, ACM Shanghai and SMC entered into the SMC Agreement pursuant to which, in exchange for the SMC Investment, ACM issued the SMC Warrant to SMC (note 11).</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SMC Warrant, while outstanding as of December 31, 2017, was classified as a liability as it was conditionally puttable in accordance with FASB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fair value of the SMC Warrant was adjusted for changes in fair value at each reporting period, but could not be lower than the proceeds of the SMC Investment. The corresponding non-cash gain or loss of the changes in fair value was recorded in earnings. The Black-Scholes valuation model was used to value the SMC Warrant.</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March 30, 2018, ACM entered into a warrant exercise agreement with ACM Shanghai and SMC pursuant to which SMC exercised the SMC Warrant in full by issuing to ACM a senior secured promissory note in the principal amount of $3,000. ACM then transferred such note to ACM Shanghai in exchange for an intercompany promissory note of ACM Shanghai in the principal amount of $3,000.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SMC Warrant. Upon the issuance of 397,502 shares of Class A common stock to SMC, the senior secured promissory note issued to AMC by SMC was offset against the SMC Investment.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is authorized to issue 50,000,000 shares of Class A common stock and 2,409,738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30, 2018, SMC exercised the SMC Warrant in full (note 12) to purchase 397,502 shares of Class A common stock.</w:t>
      </w:r>
    </w:p>
    <w:p>
      <w:pPr>
        <w:spacing w:after="0" w:line="225"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During the six months ended June 30, 2019, the Company issued 104,627 shares of Class A common stock upon option exercises by employees and non-employees and an additional 15,000 shares of Class A common stock upon conversion of an equal number of shares of Class B common stock.</w:t>
      </w:r>
    </w:p>
    <w:p>
      <w:pPr>
        <w:spacing w:after="0" w:line="1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There were issued and outstanding 14,229,942 shares of Class A common stock and 1,883,423 shares of Class B common stock at June 30, 2019 and 14,110,315 shares of Class A common stock and 1,898,423 shares of Class B common stock at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ACM’s stock-based compensation awards consisting of employee and non-employee awards were issued under the 1998 Stock Option Plan and 2016 Omnibus Incentive Plan and as standalone options.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employee share option activities during the six months ended June 30,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9"/>
              </w:rPr>
              <w:t>Weighed</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rPr>
              <w:t>Option Share</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2,503,405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7.30 years</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295,000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16.81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1100" w:type="dxa"/>
            <w:vAlign w:val="bottom"/>
          </w:tcPr>
          <w:p>
            <w:pPr>
              <w:jc w:val="right"/>
              <w:spacing w:after="0"/>
              <w:rPr>
                <w:sz w:val="20"/>
                <w:szCs w:val="20"/>
                <w:color w:val="auto"/>
              </w:rPr>
            </w:pPr>
            <w:r>
              <w:rPr>
                <w:rFonts w:ascii="Arial" w:cs="Arial" w:eastAsia="Arial" w:hAnsi="Arial"/>
                <w:sz w:val="18"/>
                <w:szCs w:val="18"/>
                <w:color w:val="auto"/>
              </w:rPr>
              <w:t>0.55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June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2,745,594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8"/>
                <w:szCs w:val="18"/>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auto"/>
                <w:w w:val="99"/>
              </w:rPr>
              <w:t>7.14 years</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1,608,352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During the three months ended June 30, 2019 and 2018, the Company recognized employee stock-based compensation expense of $291 and $170, respectively. During the six months ended June 30, 2019 and 2018, the Company recognized employee stock-based compensation expense of $512 and $263, respectively. As of June 30, 2019 and December 31, 2018, $3,662 and $2,424, respectively, of total unrecognized employee stock-based compensation expense, net of estimated forfeitures, related to stock-based awards were expected to be recognized over a weighted-average period of 1.51 years and 1.62 years, respectively. Total recognized compensation cost may be adjusted for future changes in estimated forfeitures.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Stock options to acquire 295,000 and 295,000 shares, respectively, of Class A common stock were granted to employees during the three and six months ended June 30, 2019.</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non-employee share option activities during the six months ended June 30,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94"/>
              <w:spacing w:after="0" w:line="162" w:lineRule="exact"/>
              <w:rPr>
                <w:sz w:val="20"/>
                <w:szCs w:val="20"/>
                <w:color w:val="auto"/>
              </w:rPr>
            </w:pPr>
            <w:r>
              <w:rPr>
                <w:rFonts w:ascii="Arial" w:cs="Arial" w:eastAsia="Arial" w:hAnsi="Arial"/>
                <w:sz w:val="15"/>
                <w:szCs w:val="15"/>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56"/>
              <w:spacing w:after="0" w:line="162" w:lineRule="exact"/>
              <w:rPr>
                <w:sz w:val="20"/>
                <w:szCs w:val="20"/>
                <w:color w:val="auto"/>
              </w:rPr>
            </w:pPr>
            <w:r>
              <w:rPr>
                <w:rFonts w:ascii="Arial" w:cs="Arial" w:eastAsia="Arial" w:hAnsi="Arial"/>
                <w:sz w:val="15"/>
                <w:szCs w:val="15"/>
                <w:b w:val="1"/>
                <w:bCs w:val="1"/>
                <w:color w:val="auto"/>
                <w:w w:val="97"/>
              </w:rPr>
              <w:t>Weighted</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88"/>
              </w:rPr>
              <w:t>Remaining</w:t>
            </w: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0"/>
              </w:rPr>
              <w:t>Average Grant</w:t>
            </w:r>
          </w:p>
        </w:tc>
        <w:tc>
          <w:tcPr>
            <w:tcW w:w="260" w:type="dxa"/>
            <w:vAlign w:val="bottom"/>
          </w:tcPr>
          <w:p>
            <w:pPr>
              <w:spacing w:after="0"/>
              <w:rPr>
                <w:sz w:val="14"/>
                <w:szCs w:val="14"/>
                <w:color w:val="auto"/>
              </w:rPr>
            </w:pPr>
          </w:p>
        </w:tc>
        <w:tc>
          <w:tcPr>
            <w:tcW w:w="11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84"/>
              </w:rPr>
              <w:t>Average Exercise</w:t>
            </w:r>
          </w:p>
        </w:tc>
        <w:tc>
          <w:tcPr>
            <w:tcW w:w="280" w:type="dxa"/>
            <w:vAlign w:val="bottom"/>
          </w:tcPr>
          <w:p>
            <w:pPr>
              <w:spacing w:after="0"/>
              <w:rPr>
                <w:sz w:val="14"/>
                <w:szCs w:val="14"/>
                <w:color w:val="auto"/>
              </w:rPr>
            </w:pPr>
          </w:p>
        </w:tc>
        <w:tc>
          <w:tcPr>
            <w:tcW w:w="122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Contractual</w:t>
            </w:r>
          </w:p>
        </w:tc>
      </w:tr>
      <w:tr>
        <w:trPr>
          <w:trHeight w:val="182"/>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7"/>
              </w:rPr>
              <w:t>Option Shares</w:t>
            </w: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Date Fair Value</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Price</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1,212,374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 years</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(56,529)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Expired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at June 30, 2019</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1,155,845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6.62 years</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2019</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986,572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647"/>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17</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adopted ASU 2018-07 on January 1, 2019, and the stock-based compensation expense for grants before the adoption of ASU 2018-07 is based on the grant date fair value as of December 31, 2018, which was the last business day before the Company adopted ASU 2018-07, for all nonemployee awards that have not vested as of December 31, 2018. The cumulative-effect adjustment to retained earnings as of January 1, 2019 was immaterial to the financial statements as a whole. Accordingly, the Company did not record this adjustment as of January 1, 2019. Furthermore, for future awards, compensation expense is based on the market value of the shares at the grant date.</w:t>
      </w:r>
    </w:p>
    <w:p>
      <w:pPr>
        <w:spacing w:after="0" w:line="19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During the three months ended June 30, 2019 and 2018, the Company recognized stock-based compensation expense of $327 and $14, respectively, related to share option vesting. During the six months ended June 30, 2019 and 2018, the Company recognized stock-based compensation expense of $850 and $2,097, respectively, related to share option vesting. As of June 30, 2019 and December 31, 2018, $863 and $1,713, respectively, of total unrecognized non-employee stock-based compensation expense, net of estimated forfeitures, related to stock-based awards were expected to be recognized over a weighted-average period of 0.64 years and 1.31 years, respectively. Total recognized compensation cost may be adjusted for future changes in estimated forfeitures.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spacing w:after="0" w:line="19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in particular the Company’s three-year historical cumulative losses, recent operating results and U.S. pre-tax loss for the six months ended June 30, 2019, the Company recorded a valuation allowance against its U.S. net deferred tax assets. In order to fully realize the U.S. deferred tax assets, the Company will need to generate sufficient taxable income in future periods before the expiration of the deferred tax assets governed by the tax code.</w:t>
      </w:r>
    </w:p>
    <w:p>
      <w:pPr>
        <w:spacing w:after="0" w:line="17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each period since inception, the Company has recorded a valuation allowance for the full amount of net deferred tax assets in the United States, as the realization of deferred tax assets is uncertain. ACM Shanghai has shown a three-year historical cumulative profit and has projections of future income. As a result, the Company maintained a partial consolidated valuation allowance for the three and six months ended June 30, 2019 and December 31, 2018.</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effective tax rate differs from statutory rates of 21% for U.S. federal income tax purposes and 15% to 25% for Chinese income tax purposes due to the effects of the valuation allowance and certain permanent differences from book-tax differences. As a result, the Company recorded income tax expense of $876 and $164 during the three months ended June 30, 2019 and 2018, respectively, and $995 and $186 during the six months ended June 30, 2019 and 2018, respectively.</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2019, the Company's total unrecognized tax benefits were approximately $44, which would not affect the effective tax rate if recognized. The Company will recognize interest and penalties, when they occur, related to uncertain tax provisions as a component of tax expense. No interest or penalties were recognized for the six months ended June 30, 2019.</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files income tax returns in the United States, and state and foreign jurisdictions. The federal, state and foreign income tax returns are under the statute of limitations subject to tax examinations for the tax years ended December 31, 1999 through December 31, 2017. This is due to the Company’s tax attribute carry-forwards, the tax years in which the attribute was generated may still be adjusted upon examination by the U.S. Internal Revenue Service, state or foreign tax authorities to the extent utilized in a future period.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The Tax Cuts and Jobs Act (the "Tax Act"), enacted on December 22, 2017, introduced significant changes to U.S. income tax law. Effective January 1, 2018, the Tax Act reduced the U.S. statutory tax rate from 35% to 21% and created new taxes on certain foreign-sourced earnings and certain intercompany payments. Due to the timing of the enactment and the complexity involved in applying the provisions of the Tax Act, the Company made reasonable estimates of the effects and recorded provisional amounts in its financial statements as of December 31, 2017. There were no adjustments made in the six months ended June 30, 2019. The accounting for the tax effects of the Tax Act was completed in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3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The Company leases offices under non-cancelable operating lease agreements. See note 12 for future minimum lease payments under non-cancelable operating lease agreements with initial terms of one year or more.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the Company did not have any capital commitments.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From time to time the Company is subject to legal proceedings, including claims in the ordinary course of business and claims with respect to patent infringements. As of June 30, 2019, the Company did not have any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3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 connection with the Listing and the IPO, in July 2019, ACM Shanghai submitted the required filings for approval of its capital increase with the local agency of the PRC Ministry of Commerce (see note 1). Once ACM Shanghai has received payment of the funding from all committed investors, ACM Shanghai is to process additional PRC governmental registrations for the capital increase with the local branch of the PRC State Administration for Market Regulation. Upon successful completion of those registrations, the investors will be issued additional equity, representing 4.2% of the outstanding ACM Shanghai shares.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2018, or our Annual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the section titled “Item 1A. Risk Factors” in Part II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6"/>
          <w:szCs w:val="16"/>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16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Selling prices for our single-wafer wet-cleaning tools range from $2 million to more than $5 million. Our customers for single-wafer wet-cleaning tools have included Semiconductor Manufacturing International Corporation, Shanghai Huali Microelectronics Corporation, SK Hynix Inc. and Yangtze Memory Technologies Co., Ltd. We recognized revenue from sales of single-wafer wet cleaning equipment totaling $41.7 million, or 84% of total revenue, for the first six months of 2019 compared to $28.7 million, or 94% of total revenue, for the first six months of 2018.</w:t>
      </w:r>
    </w:p>
    <w:p>
      <w:pPr>
        <w:spacing w:after="0" w:line="16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65 single-wafer wet cleaning tools, more than 55 of which have been accepted by customers and thereby generated revenue to us and the balance of which are awaiting customer acceptance should contractual conditions be met.</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186" w:lineRule="exact"/>
        <w:rPr>
          <w:sz w:val="20"/>
          <w:szCs w:val="20"/>
          <w:color w:val="auto"/>
        </w:rPr>
      </w:pPr>
    </w:p>
    <w:p>
      <w:pPr>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Space Alternated Phase Shift</w:t>
      </w:r>
      <w:r>
        <w:rPr>
          <w:rFonts w:ascii="Arial" w:cs="Arial" w:eastAsia="Arial" w:hAnsi="Arial"/>
          <w:sz w:val="18"/>
          <w:szCs w:val="18"/>
          <w:color w:val="auto"/>
        </w:rPr>
        <w:t>, or SAPS, technology for flat and patterned wafer surfaces, which employs alternating phases of megasonic waves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megasonic energy in a highly uniform manner on a microscopic level;</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Timely Energized Bubble Oscillation</w:t>
      </w:r>
      <w:r>
        <w:rPr>
          <w:rFonts w:ascii="Arial" w:cs="Arial" w:eastAsia="Arial" w:hAnsi="Arial"/>
          <w:sz w:val="18"/>
          <w:szCs w:val="18"/>
          <w:color w:val="auto"/>
        </w:rPr>
        <w:t>, or TEBO, technology for patterned wafer surfaces at advanced process nodes, which provides effective, damage-free cleaning for 2D and 3D patterned wafers with fine feature sizes; and</w:t>
      </w: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Tahoe </w:t>
      </w:r>
      <w:r>
        <w:rPr>
          <w:rFonts w:ascii="Arial" w:cs="Arial" w:eastAsia="Arial" w:hAnsi="Arial"/>
          <w:sz w:val="18"/>
          <w:szCs w:val="18"/>
          <w:color w:val="auto"/>
        </w:rPr>
        <w:t>technology for cost and environmental savings, which delivers high cleaning performance using significantly less sulfuric acid and hydrogen</w:t>
      </w:r>
      <w:r>
        <w:rPr>
          <w:rFonts w:ascii="Arial" w:cs="Arial" w:eastAsia="Arial" w:hAnsi="Arial"/>
          <w:sz w:val="18"/>
          <w:szCs w:val="18"/>
          <w:i w:val="1"/>
          <w:iCs w:val="1"/>
          <w:color w:val="auto"/>
        </w:rPr>
        <w:t xml:space="preserve"> </w:t>
      </w:r>
      <w:r>
        <w:rPr>
          <w:rFonts w:ascii="Arial" w:cs="Arial" w:eastAsia="Arial" w:hAnsi="Arial"/>
          <w:sz w:val="18"/>
          <w:szCs w:val="18"/>
          <w:color w:val="auto"/>
        </w:rPr>
        <w:t>peroxide than is typically consumed by conventional high-temperature single-wafer cleaning tools.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been issued more than 220 patents in the United States, the People’s Republic of China or PRC, Japan, Korea, Singapore and Taiwan.</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ACM Research was incorporated in California in 1998 and redomesticated in Delaware in 2016. We perform strategic planning, marketing, and financial activities at our global corporate headquarters in Fremont, California.</w:t>
      </w:r>
    </w:p>
    <w:p>
      <w:pPr>
        <w:spacing w:after="0" w:line="18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Initially we focused on developing tools for chip manufacturing process steps involving the integration of ultra-low-K materials and copper. In the early 2000s we sold tools based on stress-free copper polishing technology.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324"/>
        <w:spacing w:after="0" w:line="259" w:lineRule="auto"/>
        <w:rPr>
          <w:sz w:val="20"/>
          <w:szCs w:val="20"/>
          <w:color w:val="auto"/>
        </w:rPr>
      </w:pPr>
      <w:r>
        <w:rPr>
          <w:rFonts w:ascii="Arial" w:cs="Arial" w:eastAsia="Arial" w:hAnsi="Arial"/>
          <w:sz w:val="18"/>
          <w:szCs w:val="18"/>
          <w:color w:val="auto"/>
        </w:rPr>
        <w:t>To help us establish and build relationships with chip manufacturers in the PRC, in 2006 we moved our operational center to Shanghai and began to conduct our business through our subsidiary ACM Shanghai. In 2007 we began to focus our development efforts on single-wafer wet-cleaning solutions for the front-end chip fabrication process.</w:t>
      </w:r>
    </w:p>
    <w:p>
      <w:pPr>
        <w:spacing w:after="0" w:line="19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2009 we introduced SAPS megasonic technology, which can be applied in wet wafer cleaning at numerous steps during the chip fabrication process. In 2016 we introduced TEBO technology, which can be applied at numerous steps during the fabrication of small node conventional two-dimensional and three-dimensional patterned wafers.</w:t>
      </w:r>
    </w:p>
    <w:p>
      <w:pPr>
        <w:spacing w:after="0" w:line="1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2011 ACM Shanghai formed a wholly owned subsidiary in the PRC, ACM Research (Wuxi), Inc., to manage sales and service operations. In June 2017 we formed a wholly owned subsidiary in Hong Kong, CleanChip Technologies Limited, to act on our behalf in Asian markets outside the PRC by, for example, serving as a trading partner between ACM Shanghai and its customers, procuring raw materials and components, performing sales and marketing activities, and making strategic investments.</w:t>
      </w:r>
    </w:p>
    <w:p>
      <w:pPr>
        <w:spacing w:after="0" w:line="19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 December 2017 we formed a wholly owned subsidiary in the Republic of Korea, ACM Research Korea CO., LTD., to serve our customers based in the Republic of Korea and perform sales, marketing, and research and development activities. We currently conduct the majority of our product development, support and services, and substantially all of our manufacturing at ACM Shanghai. Our Shanghai operations position us to be near many of our current and potential new customers in the PR (including Taiwan), Korea and throughout Asia, providing convenient access and reduced shipping and manufacturing costs.</w:t>
      </w:r>
    </w:p>
    <w:p>
      <w:pPr>
        <w:spacing w:after="0" w:line="167"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In August 2018 we introduced the Ultra-C Tahoe wafer cleaning tool, which delivers high cleaning performance with significantly less sulfuric acid than typically consumed by conventional high temperature single-wafer cleaning tools.</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2018 we announced the opening of a second factory in the Pudong region of Shanghai. The new facility has a total of 50,000 square feet of available floor space for production capacity. This is in addition to our first factory in the Pudong Region of Shanghai, which has a total of 36,000 square feet of available floor space.</w:t>
      </w:r>
    </w:p>
    <w:p>
      <w:pPr>
        <w:spacing w:after="0" w:line="19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 March 2019, we introduced (a) the Ultra ECP AP, or Advanced Wafer Level Packaging tool, a back-end assembly tool used for bumping, or applying copper, tin and nickel to wafers at the die-level prior to packaging, and (b) the Ultra ECP MAP or Multi Anode Plating tool, a front-end process tool that utilizes our proprietary technology to deliver world-class electrochemical copper planting for copper interconnect applications.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Proposed Listing of ACM Shanghai Shares on STAR Market</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For purposes of the following description, RMB amounts have been translated into U.S. dollars solely for the convenience of the reader. The translations have been made at the conversion rate of RMB 6.8937 to U.S. $1.00 effective as of June 12, 2019. See“Item 1A. Risk Factors” in Part II below for a discussion of some of the risks and concerns that may arise as a result of the proposed listing of ACM Shanghai shares and related initial public offering of ACM Shanghai shares.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17, 2019 we announced our plans to complete, over the next three years:</w:t>
      </w:r>
    </w:p>
    <w:p>
      <w:pPr>
        <w:spacing w:after="0" w:line="15"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listing, which we refer to as the Listing, of shares of ACM Shanghai on the Shanghai Stock Exchange’s new Sci-Tech innovAtion boaRd, known as the STAR Market;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concurrent initial public offering, which we refer to as the STAR IPO, of ACM Shanghai shares in the PRC.</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qualify for the Listing, ACM Shanghai must have multiple independent shareholders in the PRC. As an initial step in qualifying for the Listing, on June 12, 2019 ACM Shanghai entered into agreements with seven investors pursuant to which those investors agreed to pay a purchase price totaling RMB 187.9 million ($27.3 million) to ACM Shanghai for shares representing 4.2% of the then-outstanding ACM Shanghai shares. Pursuant to these agreements, in July 2019, ACM Shanghai made the required filings for the capital increase with the local agency of the PRC Ministry of Commerce, and the investors became obligated to fund their purchases. As of the filing date for this report:</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Four private equity funds and other entities based in the PRC have paid to ACM Shanghai a total of RMB 141.8 million ($20.6 million) to be applied to purchase 3.1% of ACM Shanghai’s shares at a purchase price based on a pre-investment enterprise valuation of ACM Shanghai of RMB 4.65 billion ($674.5 million).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entities owned by certain employees of ACM Shanghai have paid to ACM Shanghai a total of RMB 26.1 million ($3.8 million) to purchase 0.7% of ACM Shanghai’s shares at a purchase price based on a pre-investment enterprise valuation of ACM Shanghai of RMB 3.72 billion ($539.6 million), a discount of 20% from the purchase price paid by the other investors.</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private equity fund based in Hong Kong has agreed to pay a total of RMB 20.0 million ($2.9 million) to purchase 0.4% of ACM Shanghai’s shares at a purchase price based on a pre-investment enterprise valuation of ACM Shanghai of RMB 4.65 billion ($674.5 million). We expect this investor will, consistent with contractual obligations, fund their investment by September 2019, but ACM Shanghai’s receipt of those funds is not necessary for ACM Shanghai to satisfy STAR Market listing requirements.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jc w:val="both"/>
        <w:ind w:firstLine="324"/>
        <w:spacing w:after="0" w:line="259" w:lineRule="auto"/>
        <w:rPr>
          <w:sz w:val="20"/>
          <w:szCs w:val="20"/>
          <w:color w:val="auto"/>
        </w:rPr>
      </w:pPr>
      <w:r>
        <w:rPr>
          <w:rFonts w:ascii="Arial" w:cs="Arial" w:eastAsia="Arial" w:hAnsi="Arial"/>
          <w:sz w:val="18"/>
          <w:szCs w:val="18"/>
          <w:color w:val="auto"/>
        </w:rPr>
        <w:t>Once it has received payment of the purchase prices, ACM Shanghai is to process necessary PRC governmental registrations for the capital increase with the local branch of the PRC State Administration for Market Regulation. Upon completion of those registrations, the investors will be regarded as the owners of their subscribed shares.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ACM Shanghai and the investors have agreed to use their respective best efforts to facilitate the completion, within three years from the date on which the ACM Shanghai shares are issued to the investors, of the Listing and the STAR IPO, with the STAR IPO to be completed at a pre-offering valuation of not less than RMB 5.15 billion ($747.1 million). If, by the end of such three-year period, the Listing and the STAR IPO have not been completed and the China Securities Regulatory Commission has not otherwise approved the registration of ACM Shanghai’s Listing application, each investor will have the right to require that ACM Shanghai repurchase, and ACM Shanghai will have the right to purchase, the investor’s ACM Shanghai shares for a price equal to the initial purchase price paid by the investor, without interest.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determined, voluntarily and not pursuant to any contractual or legal obligation, that ACM Shanghai will deposit, and hold in reserve, the proceeds from the share sales in segregated cash and cash-equivalent accounts pending either (a) completion of the Listing and the STAR IPO or (b) application to repurchase the shares from the investors.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may determine to enter into additional agreements in the year ending December 31, 2019 pursuant to which certain existing ACM Research stockholders and other investors could purchase additional shares of ACM Shanghai for an aggregate purchase price of approximately $42 million. We expect that, if we were to enter any such agreements, the purchase price and other terms of those agreements would be substantially similar to those under the agreements entered into with the investors other than the employee entities.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PRC Government Research and Development Funding</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ACM Shanghai has received four grants from local and central governmental authorities in the PRC. The first grant, which was awarded in 2008, relates to the development and commercialization of 65nm to 45nm stress-free polishing technology. The second grant was awarded in 2009 to fund interest expense on short-term borrowings. The third grant was made in 2014 and relates to the development of electro copper-plating technology. The fourth grant was made in June 2018 and related to development of polytetrafluoroethylene. PRC governmental authorities provide the majority of the funding, although ACM Shanghai is also required to invest certain amounts in the projects.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PRC governmental grants contain certain operating conditions, and we are required to go through a government due diligence process once the project is complete. The grants therefore are recorded as long-term liabilities upon receipt, although we are not required to return any funds we receive. Grant amounts are recognized in our statements of operations and comprehensive income as follows:</w:t>
      </w: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 subsidies relating to current expenses are reflected as reductions of those expenses in the periods in which they are reported. Those reductions totaled $2.0 million in the first six months of 2019, as compared to $0.4 million in the first six months of 2018.</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grants used to acquire depreciable assets are transferred from long-term liabilities to property, plant and equipment when the assets are acquired and then the recorded amounts of the assets are credited to other income over the useful lives of the assets. Related government subsidies recognized as other income totaled less than $100,000 in the first six months of 2019 and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 information below with respect to four measures of financial performance:</w:t>
      </w:r>
    </w:p>
    <w:p>
      <w:pPr>
        <w:spacing w:after="0" w:line="15" w:lineRule="exact"/>
        <w:rPr>
          <w:sz w:val="20"/>
          <w:szCs w:val="20"/>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“shipments” of tools to include (a)a “repeat” delivery to a customer of a type of tool that the customer has previously accepted, for which we recognize revenue upon delivery, and (b)a “first-time” delivery of a tool to a customer on an approval basis, for which we may recognize revenue in the future if contractual conditions are met and customer acceptance is received.</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define “adjusted EBITDA” as our net income excluding interest expense (net), income tax benefit (expense), depreciation and amortization, and stock-based compensation. We define adjusted EBITDA to also exclude restructuring costs, although we have not incurred any such costs to date.</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less purchases of property and equipment (net of proceeds from disposals) and of intangible assets.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“adjusted operating income” as our income from operations excluding stock-based compensation.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jc w:val="both"/>
        <w:ind w:firstLine="324"/>
        <w:spacing w:after="0" w:line="268" w:lineRule="auto"/>
        <w:rPr>
          <w:sz w:val="20"/>
          <w:szCs w:val="20"/>
          <w:color w:val="auto"/>
        </w:rPr>
      </w:pPr>
      <w:r>
        <w:rPr>
          <w:rFonts w:ascii="Arial" w:cs="Arial" w:eastAsia="Arial" w:hAnsi="Arial"/>
          <w:sz w:val="18"/>
          <w:szCs w:val="18"/>
          <w:color w:val="auto"/>
        </w:rPr>
        <w:t>These financial measures are not based on any standardized methodologies prescribed by accounting principles generally accepted in the United States, or GAAP, and are not necessarily comparable to similarly titled measures presented by other companies.</w:t>
      </w:r>
    </w:p>
    <w:p>
      <w:pPr>
        <w:spacing w:after="0" w:line="1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presented shipments, adjusted EBITDA, free cash flow and adjusted operating income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spacing w:after="0" w:line="172"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Shipments, adjusted EBITDA, free cash flow and adjusted operating income are not prepared in accordance with GAAP, and should not be considered in isolation of, or as an alternative to, measures prepared in accordance with GAAP.</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Shipments consist of two components:</w:t>
      </w:r>
    </w:p>
    <w:p>
      <w:pPr>
        <w:spacing w:after="0" w:line="1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has previously-accepted, for which we recognize revenue when the tool is delivered; and</w:t>
      </w:r>
    </w:p>
    <w:p>
      <w:pPr>
        <w:spacing w:after="0" w:line="32" w:lineRule="exact"/>
        <w:rPr>
          <w:rFonts w:ascii="Arial" w:cs="Arial" w:eastAsia="Arial" w:hAnsi="Arial"/>
          <w:sz w:val="16"/>
          <w:szCs w:val="16"/>
          <w:color w:val="auto"/>
        </w:rPr>
      </w:pPr>
    </w:p>
    <w:p>
      <w:pPr>
        <w:ind w:left="660" w:hanging="328"/>
        <w:spacing w:after="0" w:line="323"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w:t>
      </w:r>
    </w:p>
    <w:p>
      <w:pPr>
        <w:spacing w:after="0" w:line="147" w:lineRule="exact"/>
        <w:rPr>
          <w:sz w:val="20"/>
          <w:szCs w:val="20"/>
          <w:color w:val="auto"/>
        </w:rPr>
      </w:pPr>
    </w:p>
    <w:p>
      <w:pPr>
        <w:jc w:val="both"/>
        <w:ind w:right="20" w:firstLine="324"/>
        <w:spacing w:after="0" w:line="332" w:lineRule="auto"/>
        <w:rPr>
          <w:sz w:val="20"/>
          <w:szCs w:val="20"/>
          <w:color w:val="auto"/>
        </w:rPr>
      </w:pPr>
      <w:r>
        <w:rPr>
          <w:rFonts w:ascii="Arial" w:cs="Arial" w:eastAsia="Arial" w:hAnsi="Arial"/>
          <w:sz w:val="16"/>
          <w:szCs w:val="16"/>
          <w:color w:val="auto"/>
        </w:rPr>
        <w:t>“First tool” shipments can be made to either an existing customer that not previously accepted that specific type of tool in the past ─ for example, a delivery of SAPS V tool to a customer that previously had received only SAPS II tools ─ or to a new customer that has never purchased any tool from us.</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Shipments in the three months ended June 30, 2019 totaled $33 million, as compared to $21 million in the three months ended June 30, 2018 and $14 million in the three months ended March 31, 2019. Shipments in the six months ending June 30, 2019 totaled $47 million, as compared to $31 million in the six months ended June 30, 2018.</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dollar amount attributed to a “first tool” shipment is equal to the consideration we expect to receive if any and all contractual requirements are satisfied and the customer accepts the tool. There are a number of limitations related to the use of shipments in evaluating our business, including that customers have significant discretion in determining whether to accept our tools and their decision not to accept delivered tools is likely to result in our inability to recognize revenue from the delivered tools.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are a number of limitations related to the use of adjusted EBITDA rather than net income, which is the nearest GAAP equivalent. Some of these limitations are:</w:t>
      </w: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and, although these are non-cash expenses, the assets being depreciated or amortized may have to be replaced in the future;</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exclude stock-based compensation expense from adjusted EBITDA and adjusted operating income,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may differ from the expenses and other items, if any, that other companies may exclude from adjusted EBITDA when they report their operating results;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requirements necessary to service interest or principal payments on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income tax expense (benefit) or the cash requirements to pay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3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charges are non-cash charges, the assets being depreciated and amortized will often have to be replaced in the future, and adjusted EBITDA does not reflect any cash requirements for such replacements; and</w:t>
      </w:r>
    </w:p>
    <w:p>
      <w:pPr>
        <w:jc w:val="both"/>
        <w:ind w:left="660" w:right="2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includes expense reductions and non-operating other income attributable to PRC governmental grants, which may mask the effect of underlying developments in net income, including trends in current expenses and interest expense, and free cash flow includes the PRC governmental grants, the amount and timing of which can be difficult to predict and are outside our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following table reconciles net income, the most directly comparable GAAP financial measure, to 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14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7"/>
              <w:spacing w:after="0" w:line="162" w:lineRule="exact"/>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94"/>
              <w:spacing w:after="0" w:line="162" w:lineRule="exact"/>
              <w:rPr>
                <w:sz w:val="20"/>
                <w:szCs w:val="20"/>
                <w:color w:val="auto"/>
              </w:rPr>
            </w:pPr>
            <w:r>
              <w:rPr>
                <w:rFonts w:ascii="Arial" w:cs="Arial" w:eastAsia="Arial" w:hAnsi="Arial"/>
                <w:sz w:val="15"/>
                <w:szCs w:val="15"/>
                <w:b w:val="1"/>
                <w:bCs w:val="1"/>
                <w:color w:val="auto"/>
                <w:w w:val="95"/>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Adjusted EBITDA Data:</w:t>
            </w:r>
          </w:p>
        </w:tc>
        <w:tc>
          <w:tcPr>
            <w:tcW w:w="24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5"/>
                <w:szCs w:val="15"/>
                <w:b w:val="1"/>
                <w:bCs w:val="1"/>
                <w:i w:val="1"/>
                <w:iCs w:val="1"/>
                <w:color w:val="auto"/>
              </w:rPr>
              <w:t>(in</w:t>
            </w:r>
          </w:p>
        </w:tc>
        <w:tc>
          <w:tcPr>
            <w:tcW w:w="640" w:type="dxa"/>
            <w:vAlign w:val="bottom"/>
            <w:gridSpan w:val="2"/>
          </w:tcPr>
          <w:p>
            <w:pPr>
              <w:jc w:val="center"/>
              <w:ind w:right="40"/>
              <w:spacing w:after="0"/>
              <w:rPr>
                <w:sz w:val="20"/>
                <w:szCs w:val="20"/>
                <w:color w:val="auto"/>
              </w:rPr>
            </w:pPr>
            <w:r>
              <w:rPr>
                <w:rFonts w:ascii="Arial" w:cs="Arial" w:eastAsia="Arial" w:hAnsi="Arial"/>
                <w:sz w:val="15"/>
                <w:szCs w:val="15"/>
                <w:b w:val="1"/>
                <w:bCs w:val="1"/>
                <w:i w:val="1"/>
                <w:iCs w:val="1"/>
                <w:color w:val="auto"/>
                <w:w w:val="74"/>
              </w:rPr>
              <w:t>thousands)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6,168</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9,213</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Adjusted EBITDA in the six months ended June 30, 2019, increased by $5.8 million as compared to the same period in 2018, due to an increase of $5.7 million in net income, an increase of $65,000 in interest expense, an increase of $809,000 in income tax expense, and an increase of $215,000 in depreciation and amortization, offset in part by a decrease of $998,000 in stock-based compensation expense. We do not exclude from adjusted EBITDA expense reductions and non-operating other income attributable to PRC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PRC grants, please see “—Key Components of Results of Operations—PRC Government Research and Development Funding.”</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net cash provided by operating activities, the most directly comparable GAAP financial measure, to free cash flow: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jc w:val="right"/>
              <w:ind w:right="480"/>
              <w:spacing w:after="0"/>
              <w:rPr>
                <w:sz w:val="20"/>
                <w:szCs w:val="20"/>
                <w:color w:val="auto"/>
              </w:rPr>
            </w:pPr>
            <w:r>
              <w:rPr>
                <w:rFonts w:ascii="Arial" w:cs="Arial" w:eastAsia="Arial" w:hAnsi="Arial"/>
                <w:sz w:val="15"/>
                <w:szCs w:val="15"/>
                <w:b w:val="1"/>
                <w:bCs w:val="1"/>
                <w:color w:val="auto"/>
                <w:w w:val="95"/>
              </w:rPr>
              <w:t>Six Months Ended June 30,</w:t>
            </w:r>
          </w:p>
        </w:tc>
      </w:tr>
      <w:tr>
        <w:trPr>
          <w:trHeight w:val="169"/>
        </w:trPr>
        <w:tc>
          <w:tcPr>
            <w:tcW w:w="8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8"/>
              <w:spacing w:after="0" w:line="162" w:lineRule="exact"/>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95"/>
              <w:spacing w:after="0" w:line="162" w:lineRule="exact"/>
              <w:rPr>
                <w:sz w:val="20"/>
                <w:szCs w:val="20"/>
                <w:color w:val="auto"/>
              </w:rPr>
            </w:pPr>
            <w:r>
              <w:rPr>
                <w:rFonts w:ascii="Arial" w:cs="Arial" w:eastAsia="Arial" w:hAnsi="Arial"/>
                <w:sz w:val="15"/>
                <w:szCs w:val="15"/>
                <w:b w:val="1"/>
                <w:bCs w:val="1"/>
                <w:color w:val="auto"/>
                <w:w w:val="95"/>
              </w:rPr>
              <w:t>2018</w:t>
            </w:r>
          </w:p>
        </w:tc>
        <w:tc>
          <w:tcPr>
            <w:tcW w:w="140" w:type="dxa"/>
            <w:vAlign w:val="bottom"/>
          </w:tcPr>
          <w:p>
            <w:pPr>
              <w:spacing w:after="0"/>
              <w:rPr>
                <w:sz w:val="14"/>
                <w:szCs w:val="14"/>
                <w:color w:val="auto"/>
              </w:rPr>
            </w:pPr>
          </w:p>
        </w:tc>
      </w:tr>
      <w:tr>
        <w:trPr>
          <w:trHeight w:val="260"/>
        </w:trPr>
        <w:tc>
          <w:tcPr>
            <w:tcW w:w="8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5"/>
                <w:szCs w:val="15"/>
                <w:b w:val="1"/>
                <w:bCs w:val="1"/>
                <w:i w:val="1"/>
                <w:iCs w:val="1"/>
                <w:color w:val="auto"/>
              </w:rPr>
              <w:t>(in thousands)</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25"/>
        </w:trPr>
        <w:tc>
          <w:tcPr>
            <w:tcW w:w="8820" w:type="dxa"/>
            <w:vAlign w:val="bottom"/>
          </w:tcPr>
          <w:p>
            <w:pPr>
              <w:ind w:left="60"/>
              <w:spacing w:after="0"/>
              <w:rPr>
                <w:sz w:val="20"/>
                <w:szCs w:val="20"/>
                <w:color w:val="auto"/>
              </w:rPr>
            </w:pPr>
            <w:r>
              <w:rPr>
                <w:rFonts w:ascii="Arial" w:cs="Arial" w:eastAsia="Arial" w:hAnsi="Arial"/>
                <w:sz w:val="18"/>
                <w:szCs w:val="18"/>
                <w:color w:val="auto"/>
              </w:rPr>
              <w:t>Free Cash Flow Data:</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(4,607)</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(4,118)</w:t>
            </w: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Purchase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Free cash flow</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(5,003)</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(5,157)</w:t>
            </w:r>
          </w:p>
        </w:tc>
      </w:tr>
      <w:tr>
        <w:trPr>
          <w:trHeight w:val="27"/>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Free cash flow in the six months ended June 30, 2019, improved by $154,000 as compared with the same period in 2018, due to an increase of $489,000 of cash used in operating activities that was offset by a decrease of $557,000 in purchase of property and equipment. Consistent with our methodology for calculating adjusted EBITDA, we do not adjust free cash flow for the effects of PRC government subsidies, because we take those subsidies into account in incurring expenses and capital expenditures.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p>
      <w:pPr>
        <w:spacing w:after="0" w:line="17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Adjusted operating income for the three months ended on June 30, 2019, as compared with the same period in 2018, reflected a $434,000 increase in stock-based compensation expense.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5"/>
                <w:szCs w:val="15"/>
                <w:b w:val="1"/>
                <w:bCs w:val="1"/>
                <w:color w:val="auto"/>
                <w:w w:val="91"/>
              </w:rPr>
              <w:t>Three Months Ended June 30,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5"/>
                <w:szCs w:val="15"/>
                <w:b w:val="1"/>
                <w:bCs w:val="1"/>
                <w:color w:val="auto"/>
              </w:rPr>
              <w:t>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4"/>
              <w:spacing w:after="0" w:line="149" w:lineRule="exact"/>
              <w:rPr>
                <w:sz w:val="20"/>
                <w:szCs w:val="20"/>
                <w:color w:val="auto"/>
              </w:rPr>
            </w:pPr>
            <w:r>
              <w:rPr>
                <w:rFonts w:ascii="Arial" w:cs="Arial" w:eastAsia="Arial" w:hAnsi="Arial"/>
                <w:sz w:val="15"/>
                <w:szCs w:val="15"/>
                <w:b w:val="1"/>
                <w:bCs w:val="1"/>
                <w:color w:val="auto"/>
                <w:w w:val="93"/>
              </w:rPr>
              <w:t>Adjusted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5"/>
                <w:szCs w:val="15"/>
                <w:b w:val="1"/>
                <w:bCs w:val="1"/>
                <w:color w:val="auto"/>
              </w:rPr>
              <w:t>Actual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5"/>
                <w:szCs w:val="15"/>
                <w:b w:val="1"/>
                <w:bCs w:val="1"/>
                <w:color w:val="auto"/>
                <w:w w:val="93"/>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(15,850)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(12,149)</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(3,247)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(2,419)</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4,661</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5,279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2,331</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Adjusted operating income for the six months ended on June 30, 2019, as compared with the same period in 2018, reflected a $998,000 decrease in stock-based compensation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5"/>
                <w:szCs w:val="15"/>
                <w:b w:val="1"/>
                <w:bCs w:val="1"/>
                <w:color w:val="auto"/>
                <w:w w:val="90"/>
              </w:rPr>
              <w:t>Six Months Ended June 30,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5"/>
                <w:szCs w:val="15"/>
                <w:b w:val="1"/>
                <w:bCs w:val="1"/>
                <w:color w:val="auto"/>
              </w:rPr>
              <w:t>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75"/>
              <w:spacing w:after="0" w:line="149" w:lineRule="exact"/>
              <w:rPr>
                <w:sz w:val="20"/>
                <w:szCs w:val="20"/>
                <w:color w:val="auto"/>
              </w:rPr>
            </w:pPr>
            <w:r>
              <w:rPr>
                <w:rFonts w:ascii="Arial" w:cs="Arial" w:eastAsia="Arial" w:hAnsi="Arial"/>
                <w:sz w:val="15"/>
                <w:szCs w:val="15"/>
                <w:b w:val="1"/>
                <w:bCs w:val="1"/>
                <w:color w:val="auto"/>
                <w:w w:val="96"/>
              </w:rPr>
              <w:t>Adjusted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5"/>
                <w:szCs w:val="15"/>
                <w:b w:val="1"/>
                <w:bCs w:val="1"/>
                <w:color w:val="auto"/>
              </w:rPr>
              <w:t>Actual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4"/>
              <w:spacing w:after="0" w:line="149" w:lineRule="exact"/>
              <w:rPr>
                <w:sz w:val="20"/>
                <w:szCs w:val="20"/>
                <w:color w:val="auto"/>
              </w:rPr>
            </w:pPr>
            <w:r>
              <w:rPr>
                <w:rFonts w:ascii="Arial" w:cs="Arial" w:eastAsia="Arial" w:hAnsi="Arial"/>
                <w:sz w:val="15"/>
                <w:szCs w:val="15"/>
                <w:b w:val="1"/>
                <w:bCs w:val="1"/>
                <w:color w:val="auto"/>
                <w:w w:val="93"/>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b w:val="1"/>
                <w:bCs w:val="1"/>
                <w:color w:val="auto"/>
              </w:rPr>
              <w:t>(GAAP)</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(Non-GAAP)</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(27,473)</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(16,770)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(16,751)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(5,926)</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(3,960)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6,912</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8,274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There were no significant changes in our critical accounting policies or significant judgments or estimates during the six months ended June 30, 2019 to augment the critical accounting estimates disclosed under the heading “Management’s Discussion and Analysis of Financial Condition and Results of Operations” in our Annual Report, other than those described in the notes to the condensed consolidated financial statements included in this report, including the adoption of the Financial Accounting Standards Board’s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effective January 1, 2019. As a result of our adoption of the new lease standard, we re-assessed the estimates, assumptions, and judgments that are most critical in our recognition of lease and have revised our lease critical accounting policy. For information regarding the impact of recently adopted accounting standards, refer to note 2 to the condensed financial statements included in this report.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right="20" w:firstLine="324"/>
        <w:spacing w:after="0" w:line="268" w:lineRule="auto"/>
        <w:rPr>
          <w:sz w:val="20"/>
          <w:szCs w:val="20"/>
          <w:color w:val="auto"/>
        </w:rPr>
      </w:pPr>
      <w:r>
        <w:rPr>
          <w:rFonts w:ascii="Arial" w:cs="Arial" w:eastAsia="Arial" w:hAnsi="Arial"/>
          <w:sz w:val="18"/>
          <w:szCs w:val="18"/>
          <w:color w:val="auto"/>
        </w:rPr>
        <w:t>A discussion of recent accounting pronouncements is included in our Annual Report and is updated in note 2 to the condensed consolidated financial statements included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 as percentages of revenue.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80" w:type="dxa"/>
            <w:vAlign w:val="bottom"/>
            <w:tcBorders>
              <w:bottom w:val="single" w:sz="8" w:color="auto"/>
            </w:tcBorders>
            <w:gridSpan w:val="6"/>
          </w:tcPr>
          <w:p>
            <w:pPr>
              <w:jc w:val="right"/>
              <w:ind w:right="194"/>
              <w:spacing w:after="0"/>
              <w:rPr>
                <w:sz w:val="20"/>
                <w:szCs w:val="20"/>
                <w:color w:val="auto"/>
              </w:rPr>
            </w:pPr>
            <w:r>
              <w:rPr>
                <w:rFonts w:ascii="Arial" w:cs="Arial" w:eastAsia="Arial" w:hAnsi="Arial"/>
                <w:sz w:val="15"/>
                <w:szCs w:val="15"/>
                <w:b w:val="1"/>
                <w:bCs w:val="1"/>
                <w:color w:val="auto"/>
              </w:rPr>
              <w:t>Three Months Ended June 30,</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5"/>
                <w:szCs w:val="15"/>
                <w:b w:val="1"/>
                <w:bCs w:val="1"/>
                <w:color w:val="auto"/>
                <w:w w:val="94"/>
              </w:rPr>
              <w:t>Six Months Ended June 30,</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 net</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Equity income in net income of affiliates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Comparison of Three Months Ended June 30, 2019 and 2018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i w:val="1"/>
                <w:iCs w:val="1"/>
                <w:color w:val="auto"/>
              </w:rPr>
              <w:t>Revenue</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w w:val="93"/>
              </w:rPr>
              <w:t>Three Months Ended June 30,</w:t>
            </w:r>
          </w:p>
        </w:tc>
        <w:tc>
          <w:tcPr>
            <w:tcW w:w="124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0"/>
              </w:rPr>
              <w:t>% Change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v 2018</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5"/>
          </w:tcPr>
          <w:p>
            <w:pPr>
              <w:jc w:val="right"/>
              <w:ind w:right="1020"/>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increase in revenue of $8.1 million in the three months ended June 30, 2019 as compared to the same period in 2018 reflected increases in revenue of $9.7 million from single-wafer cleaning equipment. . The revenue increase reflected an increased number of tools shipped, coupled with higher selling prices associated with the equipment sold and customer acceptances from prior period shipments received and recognized as revenue during the three month ended June 30,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Margin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5"/>
          </w:tcPr>
          <w:p>
            <w:pPr>
              <w:jc w:val="right"/>
              <w:ind w:right="560"/>
              <w:spacing w:after="0"/>
              <w:rPr>
                <w:sz w:val="20"/>
                <w:szCs w:val="20"/>
                <w:color w:val="auto"/>
              </w:rPr>
            </w:pPr>
            <w:r>
              <w:rPr>
                <w:rFonts w:ascii="Arial" w:cs="Arial" w:eastAsia="Arial" w:hAnsi="Arial"/>
                <w:sz w:val="15"/>
                <w:szCs w:val="15"/>
                <w:b w:val="1"/>
                <w:bCs w:val="1"/>
                <w:color w:val="auto"/>
                <w:w w:val="93"/>
              </w:rPr>
              <w:t>Three Months Ended June 30,</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w w:val="92"/>
              </w:rPr>
              <w:t>% Change 2019</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258"/>
              <w:spacing w:after="0"/>
              <w:rPr>
                <w:sz w:val="20"/>
                <w:szCs w:val="20"/>
                <w:color w:val="auto"/>
              </w:rPr>
            </w:pPr>
            <w:r>
              <w:rPr>
                <w:rFonts w:ascii="Arial" w:cs="Arial" w:eastAsia="Arial" w:hAnsi="Arial"/>
                <w:sz w:val="15"/>
                <w:szCs w:val="15"/>
                <w:b w:val="1"/>
                <w:bCs w:val="1"/>
                <w:color w:val="auto"/>
              </w:rPr>
              <w:t>v 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Gross profit</w:t>
            </w:r>
          </w:p>
        </w:tc>
        <w:tc>
          <w:tcPr>
            <w:tcW w:w="4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13,131</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8,724</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33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1552"/>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26" w:name="page27"/>
    <w:bookmarkEnd w:id="26"/>
    <w:p>
      <w:pPr>
        <w:jc w:val="both"/>
        <w:ind w:firstLine="324"/>
        <w:spacing w:after="0" w:line="306" w:lineRule="auto"/>
        <w:rPr>
          <w:sz w:val="20"/>
          <w:szCs w:val="20"/>
          <w:color w:val="auto"/>
        </w:rPr>
      </w:pPr>
      <w:r>
        <w:rPr>
          <w:rFonts w:ascii="Arial" w:cs="Arial" w:eastAsia="Arial" w:hAnsi="Arial"/>
          <w:sz w:val="16"/>
          <w:szCs w:val="16"/>
          <w:color w:val="auto"/>
        </w:rPr>
        <w:t>Cost of revenue increased $3.7 million and gross profit increased $4.4 million in the three months ended June 30, 2019, as compared to the corresponding period in 2018, primarily due to increased sales volume. Gross margin increased by 3.5% during the three months ended June 30, 2019, from the comparable period in 2018. Gross margin in the second quarter of 2019 reflected a favorable mix of SAPS-V and SAPS-II tools.</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margin may vary from period to period, primarily related to the level of utilization and the timing and mix of purchase orders. We expect gross margin to be between 40.0% and 45.0% for the foreseeable future, with direct manufacturing costs approximating 50.0% to 55.0% of revenue and overhead costs totaling 5.0% of revenue.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48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5"/>
                <w:szCs w:val="15"/>
                <w:b w:val="1"/>
                <w:bCs w:val="1"/>
                <w:color w:val="auto"/>
              </w:rPr>
              <w:t>Three Months Ended June 30,</w:t>
            </w:r>
          </w:p>
        </w:tc>
        <w:tc>
          <w:tcPr>
            <w:tcW w:w="28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w w:val="92"/>
              </w:rPr>
              <w:t>% Change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b w:val="1"/>
                <w:bCs w:val="1"/>
                <w:color w:val="auto"/>
              </w:rPr>
              <w:t>v 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2,924</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3,341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2,205</w:t>
            </w: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8,470</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increased by $242,000 in the three months ended June 30, 2019, as compared to the corresponding period in 2018.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 consists primarily of:</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compensation of personnel associated with pre and aftersales support and other sales and marketing activities, including stock-based compensation;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commissions paid to independent sales representatives;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paid to sales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shipping and handling costs for transportation of products to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trade shows;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travel and entertainment;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increased by $922,000 in the three months ended June 30, 2019 as compared to the corresponding period in 2018,</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as a result of increases in testing fees and personnel costs. Research and development expense represented 11.5% and 11.6% of our revenue in the three months ended June 30, 2019 and 2018, respectively. Without reduction by grant amounts received from PRC governmental authorities (see “—Key Components of Results of Operations—PRC Government Research and Development Funding”), gross research and development expense totaled $4.1 million, or 14.0% of revenue, in the three months ended June 30, 2019 and $2.6 million, or 12.5% of revenue, in the three months ended June 30, 2018. Research and development expense relates to the development of new products and processes and encompasses our research, development and customer support activities. Research and development expense consists primarily of:</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of personnel associated with our research and development activities, including stock 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components and other research and development supplies;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expense associated with customer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of costs of software used for research and development purposes;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increased by $913,000 in the three months ended June 30, 2019 as compared to the corresponding period in 2018.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consists primarily of:</w:t>
      </w:r>
    </w:p>
    <w:p>
      <w:pPr>
        <w:spacing w:after="0" w:line="9" w:lineRule="exact"/>
        <w:rPr>
          <w:sz w:val="20"/>
          <w:szCs w:val="20"/>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of executive, accounting and finance, human resources, information technology, and other administrative personnel, including stock-based compensation;</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professional fees, including accounting and legal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corporate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overhead for rent and utilities.</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expect that, for the foreseeable future, general and administrative expenses will increase in absolute dollars, as we incur additional costs associated with growing our business and operating as a public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i w:val="1"/>
          <w:iCs w:val="1"/>
          <w:color w:val="auto"/>
        </w:rPr>
        <w:t>Other Income and Expenses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2760" w:type="dxa"/>
            <w:vAlign w:val="bottom"/>
            <w:gridSpan w:val="6"/>
          </w:tcPr>
          <w:p>
            <w:pPr>
              <w:jc w:val="center"/>
              <w:ind w:right="280"/>
              <w:spacing w:after="0"/>
              <w:rPr>
                <w:sz w:val="20"/>
                <w:szCs w:val="20"/>
                <w:color w:val="auto"/>
              </w:rPr>
            </w:pPr>
            <w:r>
              <w:rPr>
                <w:rFonts w:ascii="Arial" w:cs="Arial" w:eastAsia="Arial" w:hAnsi="Arial"/>
                <w:sz w:val="15"/>
                <w:szCs w:val="15"/>
                <w:b w:val="1"/>
                <w:bCs w:val="1"/>
                <w:color w:val="auto"/>
                <w:w w:val="90"/>
              </w:rPr>
              <w:t>Three Months Ended June 30,</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5"/>
                <w:szCs w:val="15"/>
                <w:b w:val="1"/>
                <w:bCs w:val="1"/>
                <w:color w:val="auto"/>
                <w:w w:val="90"/>
              </w:rPr>
              <w:t>% Change 2019</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v 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Interest expense consists of interest incurred from outstanding short-term borrowings. Interest expense increased by $35,000 in the three months ended June 30, 2019 as compared to the three months ended June 30, 2018, principally as a result of increased borrowings under short-term bank loans. We earn interest income from depositary accounts. Interest income was nominal in the three months ended June 30, 2019 and 2018.</w:t>
      </w:r>
    </w:p>
    <w:p>
      <w:pPr>
        <w:spacing w:after="0" w:line="16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Non-operating income (expense), net primarily reflects (a) gains or losses recognized from the impact of exchange rates on our foreign currency-denominated working-capital transactions and (b) depreciation of assets acquired with government subsidies, as described under “—Key Components of Results of Operations—PRC Government Research and Development Funding” above. Our non-operating income was $543,000 in the three months ended June 30, 2019 due to gains and losses of the RMB to US dollar exchange rate during the quarter, compared to non-operating expense of $1.1 million in the three months ended June 30, 2018 due to gains and losses of RMB-to-US dollar exchange rate during the quarter.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5"/>
                <w:szCs w:val="15"/>
                <w:b w:val="1"/>
                <w:bCs w:val="1"/>
                <w:color w:val="auto"/>
              </w:rPr>
              <w:t>Three Months Ended June 30,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w w:val="83"/>
              </w:rPr>
              <w:t>2018</w:t>
            </w:r>
          </w:p>
        </w:tc>
        <w:tc>
          <w:tcPr>
            <w:tcW w:w="14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i w:val="1"/>
                <w:iCs w:val="1"/>
                <w:color w:val="auto"/>
                <w:w w:val="87"/>
              </w:rPr>
              <w:t>(in thousands)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state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Foreign</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(876)</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income tax expense</w:t>
            </w: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(876)</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federal</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 state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Total deferred income expense</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income tax expense</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(876)</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On December 22, 2017, the Tax Cuts and Jobs Act, or the Tax Act, was enacted into law. The new legislation contains several key tax provisions that affect us, including a one-time mandatory transition tax on accumulated foreign earnings and a reduction of the corporate income tax rate to 21% effective January 1, 2018. Due to the timing of the enactment and the complexity involved in applying the provisions of the Tax Act, we made reasonable estimates of the effects and recorded provisional amounts in our financial statements as of December 31, 2017. There were no adjustments made in the three months ended June 30, 2019. The accounting for the tax effects of the Tax Act was completed in 2018.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8" w:name="page29"/>
    <w:bookmarkEnd w:id="28"/>
    <w:p>
      <w:pPr>
        <w:jc w:val="both"/>
        <w:ind w:firstLine="324"/>
        <w:spacing w:after="0" w:line="335" w:lineRule="auto"/>
        <w:rPr>
          <w:sz w:val="20"/>
          <w:szCs w:val="20"/>
          <w:color w:val="auto"/>
        </w:rPr>
      </w:pPr>
      <w:r>
        <w:rPr>
          <w:rFonts w:ascii="Arial" w:cs="Arial" w:eastAsia="Arial" w:hAnsi="Arial"/>
          <w:sz w:val="15"/>
          <w:szCs w:val="15"/>
          <w:color w:val="auto"/>
        </w:rPr>
        <w:t>As we collect and prepare necessary data, and interpret the Tax Act and any additional guidance issued by the U.S. Treasury Department, the Internal Revenue Service, and other standard-setting bodies, we may make adjustments to the provisional amounts. Those adjustments may materially affect our provision for income taxes and effective tax rate in the period in which the adjustments are made. There were no adjustments made in the first nine months of 2018.</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effective tax rate differs from statutory rates of 21% for U.S. federal income tax purposes and 15% to 25% for Chinese income tax purposes due to the effects of the valuation allowance and certain permanent differences as it pertains to book-tax differences in the value of client equity securities received for services. Our two PRC subsidiaries, ACM Shanghai and ACM Wuxi, are liable for PRC corporate income taxes at the rates of 15% and 25%, respectively. Pursuant to the Corporate Income Tax Law of the PRC, our PRC subsidiaries generally would be liable for PRC corporate income taxes as a rate of 25%. According to Guoshuihan 2009 No. 203, an entity certified as an “advanced and new technology enterprise” is entitled to a preferential income tax rate of 15%. ACM Shanghai was certified as an “advanced and new technology enterprise” in 2012 and again in 2016, with an effective period of three years.</w:t>
      </w:r>
    </w:p>
    <w:p>
      <w:pPr>
        <w:spacing w:after="0" w:line="174"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We file income tax returns in the United States and state and foreign jurisdictions. Those federal, state and foreign income tax returns are under the statute of limitations subject to tax examinations for 2009 through 2016. To the extent we have tax attribute carryforwards, the tax years in which the attribute was generated may still be adjusted upon examination by the Internal Revenue Service or state or foreign tax authorities to the extent utilized in a future period.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Six Months Ended June 30,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5"/>
                <w:szCs w:val="15"/>
                <w:b w:val="1"/>
                <w:bCs w:val="1"/>
                <w:color w:val="auto"/>
                <w:w w:val="89"/>
              </w:rPr>
              <w:t>Six Months Ended June 30,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9"/>
                <w:szCs w:val="19"/>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9"/>
              </w:rPr>
              <w:t>Y/Y % Change</w:t>
            </w:r>
          </w:p>
        </w:tc>
        <w:tc>
          <w:tcPr>
            <w:tcW w:w="140" w:type="dxa"/>
            <w:vAlign w:val="bottom"/>
          </w:tcPr>
          <w:p>
            <w:pPr>
              <w:spacing w:after="0"/>
              <w:rPr>
                <w:sz w:val="19"/>
                <w:szCs w:val="19"/>
                <w:color w:val="auto"/>
              </w:rPr>
            </w:pPr>
          </w:p>
        </w:tc>
      </w:t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jc w:val="center"/>
              <w:ind w:left="399"/>
              <w:spacing w:after="0"/>
              <w:rPr>
                <w:sz w:val="20"/>
                <w:szCs w:val="20"/>
                <w:color w:val="auto"/>
              </w:rPr>
            </w:pPr>
            <w:r>
              <w:rPr>
                <w:rFonts w:ascii="Arial" w:cs="Arial" w:eastAsia="Arial" w:hAnsi="Arial"/>
                <w:sz w:val="18"/>
                <w:szCs w:val="18"/>
                <w:i w:val="1"/>
                <w:iCs w:val="1"/>
                <w:color w:val="auto"/>
                <w:w w:val="87"/>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w:t>
            </w:r>
          </w:p>
        </w:tc>
      </w:tr>
    </w:tbl>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increase in revenue of $18.9 million in the three months ended June 30, 2019 as compared to the same period in 2018, was driven primarily by a $13.0 million increase of revenue from single-wafer cleaning tools. The revenue increase reflected an increased number of tools shipped, coupled with higher selling prices associated with the equipment sold and customer acceptances from prior period shipments received and recognized as revenue during the six-months ended June 30,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and Gross Margin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5"/>
                <w:szCs w:val="15"/>
                <w:b w:val="1"/>
                <w:bCs w:val="1"/>
                <w:color w:val="auto"/>
                <w:w w:val="95"/>
              </w:rPr>
              <w:t>Six Months Ended June 30,</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2019</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w w:val="83"/>
              </w:rPr>
              <w:t>2018</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Y/Y % Change</w:t>
            </w:r>
          </w:p>
        </w:tc>
        <w:tc>
          <w:tcPr>
            <w:tcW w:w="140" w:type="dxa"/>
            <w:vAlign w:val="bottom"/>
          </w:tcPr>
          <w:p>
            <w:pPr>
              <w:spacing w:after="0"/>
              <w:rPr>
                <w:sz w:val="19"/>
                <w:szCs w:val="19"/>
                <w:color w:val="auto"/>
              </w:rPr>
            </w:pPr>
          </w:p>
        </w:tc>
      </w:tr>
      <w:tr>
        <w:trPr>
          <w:trHeight w:val="241"/>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2"/>
              </w:rPr>
              <w:t>64.2%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21,957</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13,846</w:t>
            </w:r>
          </w:p>
        </w:tc>
        <w:tc>
          <w:tcPr>
            <w:tcW w:w="280" w:type="dxa"/>
            <w:vAlign w:val="bottom"/>
          </w:tcPr>
          <w:p>
            <w:pPr>
              <w:spacing w:after="0"/>
              <w:rPr>
                <w:sz w:val="18"/>
                <w:szCs w:val="18"/>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w w:val="79"/>
              </w:rPr>
              <w:t>58.6</w:t>
            </w:r>
          </w:p>
        </w:tc>
        <w:tc>
          <w:tcPr>
            <w:tcW w:w="140" w:type="dxa"/>
            <w:vAlign w:val="bottom"/>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(86 bps)</w:t>
            </w:r>
          </w:p>
        </w:tc>
      </w:tr>
    </w:tbl>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 increased $10.8 million and gross profit increased $8.1 million in the six months ended June 30, 2019, as compared to the corresponding period in 2018, primarily due to increased sales volume. Gross margin decreased by 86 basis points during the six months ended June 30, 2019, from the comparable period in 2018.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5"/>
                <w:szCs w:val="15"/>
                <w:b w:val="1"/>
                <w:bCs w:val="1"/>
                <w:color w:val="auto"/>
                <w:w w:val="95"/>
              </w:rPr>
              <w:t>Six Months Ended June 30,</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w w:val="89"/>
              </w:rPr>
              <w:t>2018</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Y/Y % Change</w:t>
            </w:r>
          </w:p>
        </w:tc>
        <w:tc>
          <w:tcPr>
            <w:tcW w:w="14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6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6,106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15,045</w:t>
            </w: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Sales and marketing expense </w:t>
      </w:r>
      <w:r>
        <w:rPr>
          <w:rFonts w:ascii="Arial" w:cs="Arial" w:eastAsia="Arial" w:hAnsi="Arial"/>
          <w:sz w:val="16"/>
          <w:szCs w:val="16"/>
          <w:color w:val="auto"/>
        </w:rPr>
        <w:t>increased by $256,000 in the six months ended June 30, 2019, as compared to the corresponding period in 2018.</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increased by $2.1 million in the six months ended June 30, 2019 as compared to the corresponding period in 2018,</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principally as a result of increases in testing fees and personnel costs. Research and development expense represented 12.3% and 12.9% of our revenue in the six months ended June 30, 2019 and 2018, respectively. Without reduction by grant amounts received from PRC governmental authorities (see “—Key Components of Results of Operations—PRC Government Research and Development Funding”), gross research and development expense totaled $8.1 million, or 16.4% of revenue, in the six months ended June 30, 2019 and $4.4 million, or 14.2% of revenue, in the six months ended June 30, 2018. Research and development expense relates to the development of new products and processes and encompasses our research, development and customer support activities.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decreased by $776,000 in the six months ended June 30, 2019 as compared to the corresponding period in 2018.</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and Expenses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2140" w:type="dxa"/>
            <w:vAlign w:val="bottom"/>
            <w:tcBorders>
              <w:bottom w:val="single" w:sz="8" w:color="auto"/>
            </w:tcBorders>
            <w:gridSpan w:val="4"/>
          </w:tcPr>
          <w:p>
            <w:pPr>
              <w:jc w:val="center"/>
              <w:ind w:left="281"/>
              <w:spacing w:after="0"/>
              <w:rPr>
                <w:sz w:val="20"/>
                <w:szCs w:val="20"/>
                <w:color w:val="auto"/>
              </w:rPr>
            </w:pPr>
            <w:r>
              <w:rPr>
                <w:rFonts w:ascii="Arial" w:cs="Arial" w:eastAsia="Arial" w:hAnsi="Arial"/>
                <w:sz w:val="15"/>
                <w:szCs w:val="15"/>
                <w:b w:val="1"/>
                <w:bCs w:val="1"/>
                <w:color w:val="auto"/>
                <w:w w:val="89"/>
              </w:rPr>
              <w:t>Six Months Ended June 30,</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74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4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9"/>
              </w:rPr>
              <w:t>Y/Y % Change</w:t>
            </w:r>
          </w:p>
        </w:tc>
        <w:tc>
          <w:tcPr>
            <w:tcW w:w="140" w:type="dxa"/>
            <w:vAlign w:val="bottom"/>
          </w:tcPr>
          <w:p>
            <w:pPr>
              <w:spacing w:after="0"/>
              <w:rPr>
                <w:sz w:val="19"/>
                <w:szCs w:val="19"/>
                <w:color w:val="auto"/>
              </w:rPr>
            </w:pPr>
          </w:p>
        </w:tc>
      </w:tr>
      <w:tr>
        <w:trPr>
          <w:trHeight w:val="241"/>
        </w:trPr>
        <w:tc>
          <w:tcPr>
            <w:tcW w:w="7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gridSpan w:val="3"/>
          </w:tcPr>
          <w:p>
            <w:pPr>
              <w:jc w:val="center"/>
              <w:ind w:right="299"/>
              <w:spacing w:after="0"/>
              <w:rPr>
                <w:sz w:val="20"/>
                <w:szCs w:val="20"/>
                <w:color w:val="auto"/>
              </w:rPr>
            </w:pPr>
            <w:r>
              <w:rPr>
                <w:rFonts w:ascii="Arial" w:cs="Arial" w:eastAsia="Arial" w:hAnsi="Arial"/>
                <w:sz w:val="18"/>
                <w:szCs w:val="18"/>
                <w:i w:val="1"/>
                <w:iCs w:val="1"/>
                <w:color w:val="auto"/>
                <w:w w:val="87"/>
              </w:rPr>
              <w:t>(in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Other income, net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r>
    </w:tbl>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$65,000 in the six months ended June 30, 2019 as compared to the three months ended June 30, 2018, principally as a result of increased borrowings under short-term bank loans. We earn interest income from depositary accounts. Interest income was nominal in the six months ended June 30, 2019 and 2018.</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non-operating income was $282,000 in the six months ended June 30, 2019 due to gains and losses of the RMB to US dollar exchange rate during the quarter, compared to non-operating income of $311,000 in the six months ended June 30, 2018 due to gains and losses of RMB-to-US dollar exchange rate during the quarter.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presents components of income tax expense for the indicated periods: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20" w:type="dxa"/>
            <w:vAlign w:val="bottom"/>
          </w:tcPr>
          <w:p>
            <w:pPr>
              <w:spacing w:after="0"/>
              <w:rPr>
                <w:sz w:val="15"/>
                <w:szCs w:val="15"/>
                <w:color w:val="auto"/>
              </w:rPr>
            </w:pPr>
          </w:p>
        </w:tc>
        <w:tc>
          <w:tcPr>
            <w:tcW w:w="2120" w:type="dxa"/>
            <w:vAlign w:val="bottom"/>
            <w:tcBorders>
              <w:bottom w:val="single" w:sz="8" w:color="auto"/>
            </w:tcBorders>
            <w:gridSpan w:val="4"/>
          </w:tcPr>
          <w:p>
            <w:pPr>
              <w:jc w:val="center"/>
              <w:ind w:left="261"/>
              <w:spacing w:after="0"/>
              <w:rPr>
                <w:sz w:val="20"/>
                <w:szCs w:val="20"/>
                <w:color w:val="auto"/>
              </w:rPr>
            </w:pPr>
            <w:r>
              <w:rPr>
                <w:rFonts w:ascii="Arial" w:cs="Arial" w:eastAsia="Arial" w:hAnsi="Arial"/>
                <w:sz w:val="15"/>
                <w:szCs w:val="15"/>
                <w:b w:val="1"/>
                <w:bCs w:val="1"/>
                <w:color w:val="auto"/>
                <w:w w:val="89"/>
              </w:rPr>
              <w:t>Six Months Ended June 30,</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88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2"/>
        </w:trPr>
        <w:tc>
          <w:tcPr>
            <w:tcW w:w="8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gridSpan w:val="3"/>
          </w:tcPr>
          <w:p>
            <w:pPr>
              <w:jc w:val="center"/>
              <w:ind w:right="284"/>
              <w:spacing w:after="0"/>
              <w:rPr>
                <w:sz w:val="20"/>
                <w:szCs w:val="20"/>
                <w:color w:val="auto"/>
              </w:rPr>
            </w:pPr>
            <w:r>
              <w:rPr>
                <w:rFonts w:ascii="Arial" w:cs="Arial" w:eastAsia="Arial" w:hAnsi="Arial"/>
                <w:sz w:val="18"/>
                <w:szCs w:val="18"/>
                <w:i w:val="1"/>
                <w:iCs w:val="1"/>
                <w:color w:val="auto"/>
                <w:w w:val="87"/>
              </w:rPr>
              <w:t>(in thousands)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U.S. federal</w:t>
            </w:r>
          </w:p>
        </w:tc>
        <w:tc>
          <w:tcPr>
            <w:tcW w:w="720" w:type="dxa"/>
            <w:vAlign w:val="bottom"/>
          </w:tcPr>
          <w:p>
            <w:pPr>
              <w:jc w:val="right"/>
              <w:ind w:right="541"/>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U.S. state</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Foreign</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(995)</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7"/>
        </w:trPr>
        <w:tc>
          <w:tcPr>
            <w:tcW w:w="88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tax expense</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(995)</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Deferred:</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U.S. federal</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20"/>
              <w:spacing w:after="0"/>
              <w:rPr>
                <w:sz w:val="20"/>
                <w:szCs w:val="20"/>
                <w:color w:val="auto"/>
              </w:rPr>
            </w:pPr>
            <w:r>
              <w:rPr>
                <w:rFonts w:ascii="Arial" w:cs="Arial" w:eastAsia="Arial" w:hAnsi="Arial"/>
                <w:sz w:val="18"/>
                <w:szCs w:val="18"/>
                <w:color w:val="auto"/>
              </w:rPr>
              <w:t>U.S. state</w:t>
            </w:r>
          </w:p>
        </w:tc>
        <w:tc>
          <w:tcPr>
            <w:tcW w:w="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Foreign</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(186)</w:t>
            </w:r>
          </w:p>
        </w:tc>
      </w:tr>
      <w:tr>
        <w:trPr>
          <w:trHeight w:val="223"/>
        </w:trPr>
        <w:tc>
          <w:tcPr>
            <w:tcW w:w="88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deferred tax expense</w:t>
            </w: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r>
      <w:tr>
        <w:trPr>
          <w:trHeight w:val="237"/>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income tax expense</w:t>
            </w:r>
          </w:p>
        </w:tc>
        <w:tc>
          <w:tcPr>
            <w:tcW w:w="7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(995)</w:t>
            </w:r>
          </w:p>
        </w:tc>
        <w:tc>
          <w:tcPr>
            <w:tcW w:w="7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(186)</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adjustments with respect to the Tax Act made in the six months ended June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first six months of 2019 we funded our technology development and operations principally through application of proceeds from the initial public offering of Class A common stock and concurrent private placements in November 2017 and, to a lesser extent, from short-term borrowings by ACM Shanghai from local financial institutions. During the six month period ended June 30, 2019, our operations used cash flow of $4.6 million, and we received $1.5 million research and development grants from local and central PRC governmental authorities.</w:t>
      </w:r>
    </w:p>
    <w:p>
      <w:pPr>
        <w:spacing w:after="0" w:line="19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our existing cash and cash equivalents, our cash flow from operating activities, and short-term bank borrowings by ACM Shanghai will be sufficient to meet our anticipated cash needs for at least the next twelve months. We do not expect that our anticipated cash needs for the next twelve months will require our receipt of any PRC government subsidies. Our future working capital needs will depend on many factors, including the rate of our business and revenue growth, the payment schedules of our customers, and the timing of investment in our research and development as well as sales and marketing. 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spacing w:after="0" w:line="1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described above under “—Overview—Proposed Listing of ACM Shanghai Shares on STAR Market,” proceeds received from investors to purchase shares of ACM Shanghai in the third quarter of 2019 will be deposited and held in reserve in segregated cash and cash-equivalent accounts pending either (a) completion of the STAR Market listing and PRC initial public offering or (b) application to repurchase the shares from the investors. As a result, during that period those proceeds will not be available to operate our business or for other corporate purposes.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Sources of Funds</w:t>
      </w:r>
    </w:p>
    <w:p>
      <w:pPr>
        <w:spacing w:after="0" w:line="21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8"/>
          <w:szCs w:val="18"/>
          <w:b w:val="1"/>
          <w:bCs w:val="1"/>
          <w:u w:val="single" w:color="auto"/>
          <w:color w:val="auto"/>
        </w:rPr>
        <w:t>Equity and Equity-Related Securities</w:t>
      </w:r>
      <w:r>
        <w:rPr>
          <w:rFonts w:ascii="Arial" w:cs="Arial" w:eastAsia="Arial" w:hAnsi="Arial"/>
          <w:sz w:val="18"/>
          <w:szCs w:val="18"/>
          <w:color w:val="auto"/>
        </w:rPr>
        <w:t>. During the three months ended June 30, 2019 we received proceeds of $172,000 from sales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option exercises.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Indebtedness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ACM Shanghai is a party to lines of credit with five banks,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12"/>
              <w:spacing w:after="0"/>
              <w:rPr>
                <w:sz w:val="20"/>
                <w:szCs w:val="20"/>
                <w:color w:val="auto"/>
              </w:rPr>
            </w:pPr>
            <w:r>
              <w:rPr>
                <w:rFonts w:ascii="Arial" w:cs="Arial" w:eastAsia="Arial" w:hAnsi="Arial"/>
                <w:sz w:val="18"/>
                <w:szCs w:val="18"/>
                <w:b w:val="1"/>
                <w:bCs w:val="1"/>
                <w:color w:val="auto"/>
              </w:rPr>
              <w:t>Annual</w:t>
            </w:r>
          </w:p>
        </w:tc>
        <w:tc>
          <w:tcPr>
            <w:tcW w:w="12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Maximum</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Amount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rPr>
              <w:t>Interest Rate</w:t>
            </w:r>
          </w:p>
        </w:tc>
        <w:tc>
          <w:tcPr>
            <w:tcW w:w="1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Borrowing</w:t>
            </w:r>
          </w:p>
        </w:tc>
        <w:tc>
          <w:tcPr>
            <w:tcW w:w="15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Lender</w:t>
            </w:r>
          </w:p>
        </w:tc>
        <w:tc>
          <w:tcPr>
            <w:tcW w:w="120" w:type="dxa"/>
            <w:vAlign w:val="bottom"/>
          </w:tcPr>
          <w:p>
            <w:pPr>
              <w:spacing w:after="0"/>
              <w:rPr>
                <w:sz w:val="20"/>
                <w:szCs w:val="20"/>
                <w:color w:val="auto"/>
              </w:rPr>
            </w:pPr>
          </w:p>
        </w:tc>
        <w:tc>
          <w:tcPr>
            <w:tcW w:w="19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Agreement Date</w:t>
            </w:r>
          </w:p>
        </w:tc>
        <w:tc>
          <w:tcPr>
            <w:tcW w:w="120" w:type="dxa"/>
            <w:vAlign w:val="bottom"/>
          </w:tcPr>
          <w:p>
            <w:pPr>
              <w:spacing w:after="0"/>
              <w:rPr>
                <w:sz w:val="20"/>
                <w:szCs w:val="20"/>
                <w:color w:val="auto"/>
              </w:rPr>
            </w:pPr>
          </w:p>
        </w:tc>
        <w:tc>
          <w:tcPr>
            <w:tcW w:w="17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Maturity Date</w:t>
            </w: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Amount(1)</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at June 30,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ind w:left="98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Bank of China Pudong Branch</w:t>
            </w: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August 2018</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August 2019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RMB30,000</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$4,365</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Bank of Shanghai Pudong Branch</w:t>
            </w: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2019</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January 2020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RMB50,000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RMB24,500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$7,275</w:t>
            </w:r>
          </w:p>
        </w:tc>
        <w:tc>
          <w:tcPr>
            <w:tcW w:w="1480" w:type="dxa"/>
            <w:vAlign w:val="bottom"/>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Shanghai Rural Commercial Bank</w:t>
            </w: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2019</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January 2020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RMB20,000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$2,910</w:t>
            </w:r>
          </w:p>
        </w:tc>
        <w:tc>
          <w:tcPr>
            <w:tcW w:w="1480" w:type="dxa"/>
            <w:vAlign w:val="bottom"/>
          </w:tcPr>
          <w:p>
            <w:pPr>
              <w:jc w:val="right"/>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Bank of Communications</w:t>
            </w: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2019</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January 2020 -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RMB20,000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February 2020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$2,911</w:t>
            </w:r>
          </w:p>
        </w:tc>
        <w:tc>
          <w:tcPr>
            <w:tcW w:w="1480" w:type="dxa"/>
            <w:vAlign w:val="bottom"/>
          </w:tcPr>
          <w:p>
            <w:pPr>
              <w:jc w:val="right"/>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China Everbright Bank</w:t>
            </w:r>
          </w:p>
        </w:tc>
        <w:tc>
          <w:tcPr>
            <w:tcW w:w="2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2019</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March 2020 -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RMB50,000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RMB49,352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June 2020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$7,275</w:t>
            </w:r>
          </w:p>
        </w:tc>
        <w:tc>
          <w:tcPr>
            <w:tcW w:w="1480" w:type="dxa"/>
            <w:vAlign w:val="bottom"/>
          </w:tcPr>
          <w:p>
            <w:pPr>
              <w:jc w:val="right"/>
              <w:spacing w:after="0"/>
              <w:rPr>
                <w:sz w:val="20"/>
                <w:szCs w:val="20"/>
                <w:color w:val="auto"/>
              </w:rPr>
            </w:pPr>
            <w:r>
              <w:rPr>
                <w:rFonts w:ascii="Arial" w:cs="Arial" w:eastAsia="Arial" w:hAnsi="Arial"/>
                <w:sz w:val="18"/>
                <w:szCs w:val="18"/>
                <w:color w:val="auto"/>
              </w:rPr>
              <w:t>$7,179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RMB170,000</w:t>
            </w:r>
          </w:p>
        </w:tc>
        <w:tc>
          <w:tcPr>
            <w:tcW w:w="1480" w:type="dxa"/>
            <w:vAlign w:val="bottom"/>
          </w:tcPr>
          <w:p>
            <w:pPr>
              <w:jc w:val="right"/>
              <w:spacing w:after="0"/>
              <w:rPr>
                <w:sz w:val="20"/>
                <w:szCs w:val="20"/>
                <w:color w:val="auto"/>
              </w:rPr>
            </w:pPr>
            <w:r>
              <w:rPr>
                <w:rFonts w:ascii="Arial" w:cs="Arial" w:eastAsia="Arial" w:hAnsi="Arial"/>
                <w:sz w:val="18"/>
                <w:szCs w:val="18"/>
                <w:color w:val="auto"/>
              </w:rPr>
              <w:t>RMB103,852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$24,736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720" w:hanging="415"/>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Converted from RMB to dollars as of June 30, 2019.</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of the amounts owing under the line of credit with Bank of China Pudong Branch are secured by ACM Shanghai’s intellectual property and guaranteed by Dr. David Wang, our Chair of the Board, Chief Executive Officer and President. All of the amounts owing under the lines of credit with Bank of Shanghai Pudong Branch are guaranteed by Dr. Wang and Cleanchip Technologies Ltd. All of the amounts owing under the line of credit with Shanghai Rural Commercial Bank are secured by accounts receivable and guaranteed by Dr. Wang. All of the amounts owing under the lines of credit with China Everbright Bank are guaranteed by Dr. Wang.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u w:val="single" w:color="auto"/>
          <w:color w:val="auto"/>
        </w:rPr>
        <w:t>Working Capital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sets forth selected working capital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June 30,</w:t>
            </w:r>
          </w:p>
        </w:tc>
      </w:tr>
      <w:tr>
        <w:trPr>
          <w:trHeight w:val="182"/>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9"/>
              </w:rPr>
              <w:t>2019</w:t>
            </w:r>
          </w:p>
        </w:tc>
        <w:tc>
          <w:tcPr>
            <w:tcW w:w="140" w:type="dxa"/>
            <w:vAlign w:val="bottom"/>
          </w:tcPr>
          <w:p>
            <w:pPr>
              <w:spacing w:after="0"/>
              <w:rPr>
                <w:sz w:val="15"/>
                <w:szCs w:val="15"/>
                <w:color w:val="auto"/>
              </w:rPr>
            </w:pPr>
          </w:p>
        </w:tc>
      </w:tr>
      <w:tr>
        <w:trPr>
          <w:trHeight w:val="241"/>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87"/>
              </w:rPr>
              <w:t>(in thousands)</w:t>
            </w:r>
          </w:p>
        </w:tc>
      </w:tr>
      <w:tr>
        <w:trPr>
          <w:trHeight w:val="218"/>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Accounts receivable, less allowance for doubtful amounts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31,393</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104,465</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Our cash and cash equivalents at June 30, 2019 were unrestricted and held for working capital purposes. ACM Shanghai, our only direct PRC subsidiary, is, however, subject to PRC restrictions on distributions to equity holders. We currently intend for ACM Shanghai to retain all available funds any future earnings for use in the operation of its business and do not anticipate its paying any cash dividends. We have not entered into, and do not expect to enter into, investments for trading or speculative purposes. Our accounts receivable balance fluctuates from period to period, which affects our cash flow from operating activities. Fluctuations vary depending on cash collections, client mix, and the timing of shipment and acceptance of our tools.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Uses of Funds</w:t>
      </w:r>
    </w:p>
    <w:p>
      <w:pPr>
        <w:spacing w:after="0" w:line="219"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6"/>
          <w:szCs w:val="16"/>
          <w:b w:val="1"/>
          <w:bCs w:val="1"/>
          <w:u w:val="single" w:color="auto"/>
          <w:color w:val="auto"/>
        </w:rPr>
        <w:t>Cash Flow from Operating Activities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operations used cash flow of $4.6 million in the first six months of 2019. Our cash flow from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is influenced by (a) the amount of cash we invest in personnel and technology development to support anticipated future growth in our business, (b) the magnitude of our product sales and associated gross profits, and (c) the amount and timing of payments by customers.</w:t>
      </w:r>
    </w:p>
    <w:p>
      <w:pPr>
        <w:spacing w:after="0" w:line="15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u w:val="single" w:color="auto"/>
          <w:color w:val="auto"/>
        </w:rPr>
        <w:t>Capital Expenditures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estimate that our capital expenditures in 2019 will total approximately $2.4 million. We incurred $505,000 of capital expenditures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six months ended June 30, 2019 and had no unpaid capital commitment as of June 30, 2019. ACM Shanghai is currently evaluating the desirability of entering into an agreement to purchase land in the Shanghai PRC region that could serve as a site for a future production facility and research and development center, and that would require additional capital expenditures for ACM Shanghai in 2019 or 2020.</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u w:val="single" w:color="auto"/>
          <w:color w:val="auto"/>
        </w:rPr>
        <w:t>Contractual Obligations and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Our contractual obligations and other commercial commitments are summarized in the section captioned</w:t>
      </w:r>
      <w:r>
        <w:rPr>
          <w:rFonts w:ascii="Arial" w:cs="Arial" w:eastAsia="Arial" w:hAnsi="Arial"/>
          <w:sz w:val="18"/>
          <w:szCs w:val="18"/>
          <w:b w:val="1"/>
          <w:bCs w:val="1"/>
          <w:color w:val="auto"/>
        </w:rPr>
        <w:t xml:space="preserve"> </w:t>
      </w:r>
      <w:r>
        <w:rPr>
          <w:rFonts w:ascii="Arial" w:cs="Arial" w:eastAsia="Arial" w:hAnsi="Arial"/>
          <w:sz w:val="18"/>
          <w:szCs w:val="18"/>
          <w:color w:val="auto"/>
        </w:rPr>
        <w:t>“Item 7. Management’s Discussion and Analysis of Financial Condition and Results of Operations—Liquidity and Capital Resources—Contractual Obligations and Requirements” in our Annual Report. Other than changes that occurred in the ordinary course of business, we had no material changes to our contractual obligations reported in our Annual Report during the first six months of 2019. For additional discussion, see note 16 to our condensed consolidated financial statements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Inflation and changing prices have not had a material effect on our business, and we do not expect that they will materially affect our business in the foreseeable future. Any impact of inflation on cost of revenue and operating expenses, especially employee compensation costs, may not be readily recoverable in the price of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As of June 30, 2019, we did not have any significant off-balance sheet arrangements, as defined in Item303(a)(4)(ii) of Regulation S-K of the Securities and Exchange Commission or SEC.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JOBS Act, and may take advantage of provisions that reduce our reporting and other obligations from those otherwise generally applicable to public companies. We may take advantage of these provisions until the earliest of December 31, 2022 or such time that we have annual revenue greater than $1.0 billion, the market value of our capital stock held by non-affiliates exceeds $700 million or we have issued more than $1.0 billion of non-convertible debt in a three-year period. We have chosen to take advantage of some of these provisions, and as a result we may not provide stockholders with all of the information that is provided by other public companies. We have, however, irrevocably elected not to avail ourselves, as would have been permitted by Section 107 of the JOBS Act, of the extended transition period provided in Section 7(a)(2)(B) of the Securities Act of 1933 for complying with new or revised accounting standards, and we therefore will be subject to the same new or revised accounting standards as public companies that are not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31"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foreign exchange rates and interest rates. We do not hold or issue financial instruments for trading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3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Although our financial statements and product pricing are denominated in U.S. dollars, a sizable portion of our costs are denominated in other currencies, primarily the RMB. The RMB is not freely convertible into foreign currencies for capital account transactions. The value of the RMB against the U.S. dollar and other currencies is affected by changes in the PRC’s political and economic conditions and by the PRC’s foreign exchange policies, among other things. In July 2005, the PRC government changed its decades-old policy of pegging the value of the RMB to the U.S. dollar, and the RMB appreciated more than 20% against the U.S. dollar over the following three years. Between July 2008 and September 2010, this appreciation subsided and the exchange rate between the RMB and the U.S. dollar remained within a narrow band. Since September 2010, the RMB has fluctuated against the U.S. dollar, at times significantly and unpredictably. It is difficult to predict how market forces or PRC or U.S. government policy may impact the exchange rate between the RMB and the U.S. dollar in the future. To date, we have not entered into any hedging transactions in an effort to reduce our exposure to foreign currency exchange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2019, we had unrestricted cash and cash equivalents totaling $27.6 million. This amount was held for working capital purposes and were held primarily in checking accounts of various banks. We believe we do not have any material exposure to changes in our cash balance as a result of changes in interest rates. Declines in interest rates, however, would reduce future interest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interim chief financial officer, evaluated the effectiveness of our disclosure controls and procedures as of June 30, 2019.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of 1934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Securities Exchange Act of 1934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interim chief financial officer concluded that, as of such date, our disclosure controls and procedures over financial reporting were effective.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During the three months ended June 30, 2019, no changes were identified to our internal control over financial reporting that materially affected, or were reasonably likely to 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Investing in Class A common stock involves a high degree of risk. You should consider and read carefully all of the information contained in this report, including the consolidated financial statements and related notes set forth in “Item 1. Financial Statements” of Part I above, before making an investment decision. You should also review carefully the risk factors set forth in “Item 1A. Risk Factors” of Part I of our Annual Report. Other than as set forth below, there have been no material changes to those risk factors since the filing of our Annual Report with the SEC on March 14, 2019. The occurrence of any of the risks described in our Annual Report,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are unable to implement our strategy to expand our PRC operations by completing the Listing and the STAR IPO, our ability to strengthen our market position and operations in the PRC, including our ability to increase our revenues and augment our product line, could be materially impaired.</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may not be able to complete the Listing and the STAR IPO for a number of reasons, many of which are outside our control. ACM Shanghai must succeed in obtaining PRC governmental approvals required to permit the Listing and the STAR IPO, and one or more of those approvals may be denied, or significantly delayed, by the PRC regulators for reasons outside our control or unknown to us. Similarly, the Listing application may be denied or delayed by the Shanghai Stock Exchange in its discretion.</w:t>
      </w:r>
    </w:p>
    <w:p>
      <w:pPr>
        <w:spacing w:after="0" w:line="19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If we are unable to complete the Listing and the STAR IPO, we may not otherwise be able to realize the advantages to our PRC operations contemplated by our business strategy, including improving our ability to market our products, building our brand in the PRC markets, assisting our sales efforts to new customers and encouraging additional purchases of our tools by existing customers. Because it may be more than three years before we know whether the Listing and the STAR IPO will be completed, we may, in the interim, forego or postpone other alternative actions to strengthen our market position and operations in the PRC.</w:t>
      </w:r>
    </w:p>
    <w:p>
      <w:pPr>
        <w:spacing w:after="0" w:line="167"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PRC companies are critical to the global semiconductor industry, and our current business is substantially concentrated in the PRC market. Our inability to build, or any delay in growing, our PRC-based operations over the next three years would materially and adversely limit our operations and operating results, including our revenue growth. In addition, during that time, the process underlying the Listing and the STAR IPO could result in significant diversion of management time as well as substantial out-of-pocket costs, which could further impair our ability to expand our business.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complete the Listing and the STAR IPO, we may not achieve the results contemplated by our business strategy and our strategy for growth in the PRC may not result in increases in the price of the Class A common stock.</w:t>
      </w:r>
    </w:p>
    <w:p>
      <w:pPr>
        <w:spacing w:after="0" w:line="18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cannot assure you that, even if the Listing and the STAR IPO are completed, we will realize any or all of our anticipated benefits of the Listing and the STAR IPO. Our completion of the Listing and the STAR IPO may not have the anticipated effects of including the strengthening of our market position and operations in the PRC. If the Listing and the STAR IPO are completed, ACM Shanghai will have broad discretion in the use of the proceeds from the initial sales of shares to investors and the proceeds from the STAR IPO, and it may not spend or invest those proceeds in a manner that results in our operating success or with which ACM Research stockholders agree. Our failure to successfully leverage the completion of the Listing and the STAR IPO to expand our PRC business could result in a decrease in the price of the Class A common stock, and we cannot assure you that the success of ACM Shanghai will have a an attendant positive effect on the price of the Class A common stock.</w:t>
      </w:r>
    </w:p>
    <w:p>
      <w:pPr>
        <w:spacing w:after="0" w:line="17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Completion of the Listing and the STAR IPO may take three years or longer. In order to help ensure that proceeds from the current placements of shares with PRC investors can be repaid if necessary under the terms of the applicable agreements, ACM Shanghai will reserve those proceeds in segregated accounts and therefore those proceeds will not be available to fund our operations in the PRC. In the interim, ACM Shanghai may require additional funding from ACM Research in order to proceed to augment its PRC operations, and we cannot give any assurance that such capital will be available from ACM Research at all in terms acceptable to us. Any such inability to obtain funds may impair the ability of ACM Shanghai to grow its operations, which could have a material adverse effect on our consolidated operating results and on the price of the Class A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ACM Shanghai’s status as a publicly traded company that is controlled, but less than wholly owned, by ACM Research could have an adverse effect on us.</w:t>
      </w:r>
    </w:p>
    <w:p>
      <w:pPr>
        <w:spacing w:after="0" w:line="26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the result of actions being taken in connection with the Listing and the STAR IPO, ACM Shanghai will no longer be a wholly owned subsidiary of ACM Research, and the interests of ACM Shanghai may diverge from the interests of ACM Research and its other subsidiaries in the future. We may face conflicts of interest in managing, financing,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the PRC and is owned by ACM Shanghai. As we expand our global operations through operating subsidiaries outside of the PRC,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spacing w:after="0" w:line="1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ACM Research will retain majority ownership of ACM Shanghai after the STAR IPO, but ACM Shanghai will be managed by a separate board of directors and officers and those directors and officers will owe fiduciary duties to the various stakeholders of ACM Shanghai, including ACM Research. In the operation of ACM Shanghai’s business, there may be situations that arise whereby the directors and officers of ACM Shanghai, in the exercise of their fiduciary duties, take actions that may be contrary to the best interests of ACM Research.</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including the PRC, which could materially, negatively affect our business.</w:t>
      </w:r>
    </w:p>
    <w:p>
      <w:pPr>
        <w:spacing w:after="0" w:line="18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Filing, prosecuting and defending patents on our products or proprietary technologies in all countries throughout the world would be prohibitively expensive, and our intellectual property rights in some countries outside the United States, including the PRC,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Substantially all of our intellectual property has been developed in the PRC and is owned by ACM Shanghai. Implementation and enforcement of intellectual property-related laws in China has historically been lacking due primarily to ambiguities in PRC intellectual property law. Accordingly, protection of intellectual property and proprietary rights in the PRC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China’s legal system and potential difficulties enforcing a court judgment in China, there is no guarantee litigation would result in an outcome favorable to us.</w:t>
      </w:r>
    </w:p>
    <w:p>
      <w:pPr>
        <w:spacing w:after="0" w:line="17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8"/>
          <w:szCs w:val="18"/>
          <w:b w:val="1"/>
          <w:bCs w:val="1"/>
          <w:i w:val="1"/>
          <w:iCs w:val="1"/>
          <w:color w:val="auto"/>
        </w:rPr>
        <w:t>Proceeds received by ACM Shanghai in connection with the Listing and the STAR IPO may not be available to ACM Research, which could impair our efforts to expand outside of the PRC.</w:t>
      </w:r>
    </w:p>
    <w:p>
      <w:pPr>
        <w:spacing w:after="0" w:line="1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Proceeds received by ACM Shanghai from the current placements of shares with PRC investors and from the STAR IPO will be used to grow and support our PRC operations. Those proceeds generally will not be available for distribution to ACM Research. Under existing PRC laws and regulations, it may be difficult, if not impossible, for ACM Research to be able to receive dividends comprised of funds generated by ACM Shanghai and, even if such dividends can be paid from the PRC to the United States, after the completion of the Listing and the STAR IPO, any such dividends can be paid to ACM Research only if other holders of ACM Shanghai shares receive their pro rata dividends.</w:t>
      </w:r>
    </w:p>
    <w:p>
      <w:pPr>
        <w:spacing w:after="0" w:line="197"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ACM Research will be responsible for managing our global expansion, which will be critical to our long-term business success. Because funds raised or generated by ACM Shanghai are unlikely to be readily distributable to ACM Research, it is likely that ACM Research will require additional capital in the future in order to fund global operations. We cannot give any assurance that such capital will be available at all in terms acceptable to us.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No company with stock publicly traded in the United States has effected a STAR Market listing of stock of a PRC-based subsidiary, and it is therefore difficult to predict the effect of the proposed Listing and STAR IPO on the Class A common stock.</w:t>
      </w:r>
    </w:p>
    <w:p>
      <w:pPr>
        <w:spacing w:after="0" w:line="18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China Securities Regulatory Commission initially launched the STAR Market in June 2019 and trading on the Market began in July 2019. We believe we are the first publicly traded U.S. company to propose an initial public offering of shares of a PRC subsidiary on the STAR Market. As a result, no assurance can be given regarding the effect of the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proposed Listing and STAR IPO.</w:t>
      </w:r>
    </w:p>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ACM Research stockholders were not entitled to purchase ACM Shanghai shares in the pre-Listing placement, and they may have limited opportunities to purchase ACM Shanghai shares even if the Listing and the STAR IPO are completed. Investors may elect to invest in our business and operations by purchasing ACM Shanghai shares in the STAR IPO or on the STAR Market rather than purchasing ACM Research Class A common stock, and that reduction in demand could lead to a decrease in the market price for the Class A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Techniques employed by manipulative short sellers in Chinese small cap stocks could be used to drive down the market price of our common stock.</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Short selling is the practice of selling securities that the seller does not own but rather has, supposedly,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referred to as “disclosed shorts,” publish, or arrange for the publication of, negative opinions regarding an issuer and its business prospects in order to create negative market momentum and generate profits for themselves after selling a stock short. While traditionally these disclosed shorts were limited in their ability to access mainstream business media or to otherwise create negative market rumors, the rise of the Internet and technological advancements regarding document creation, videotaping and publication by weblog, or “blogging,” have allowed many disclosed shorts to publicly attack an issuer’s credibility, strategy and veracity by means of so-called research reports that mimic the type of investment analysis performed by large Wall Street firm and independent research analysts. These short attacks have, in the past, led to selling of shares in the market, on occasion in large scale and broad base. Issuers with business operations based in the PRC and who have limited trading volumes and are susceptible to higher volatility levels than large-cap stocks, can be particularly vulnerable to such short attacks.</w:t>
      </w:r>
    </w:p>
    <w:p>
      <w:pPr>
        <w:spacing w:after="0" w:line="18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These short seller publications are not regulated by any governmental, self-regulatory organization or other official authority in the United States and are not subject to the certification requirements imposed by the Securities and Exchange Commission in Regulation AC (Regulation Analyst Certification); accordingly, the opinions they express may be based on factual distortions and fabrications. In light of the limited risks involved in publishing such information and the enormous profits that can be made from running successful short attacks, it is likely that disclosed shorts will continue to issue such reports.</w:t>
      </w:r>
    </w:p>
    <w:p>
      <w:pPr>
        <w:spacing w:after="0" w:line="16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While we intend to strongly defend our public filings against any short seller attacks, we may be constrained, either by principles of freedom of speech, applicable state laws known as Anti-SLAPP (Strategic Lawsuits Against Public Participation) statutes or issues of commercial confidentiality, in the manner in which we can proceed against the short seller. You should be aware that in light of the relative freedom to operate that such persons enjoy – oftentimes blogging from outside the U.S. with little or no assets or identity requirements – should we be targeted for such an attack, our stock will likely suffer from a temporary, or possibly long term, decline in market price should the rumors created not be dismissed by market participants.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June 2019 we issued and sold to an employee an aggregate of 2,001 unregistered shares of Class A common stock upon the exercise of stock options at a per share exercise price of $1.50. These transactions did not involve any underwriters, any underwriting discounts or commissions, or any public offering. We believe the offers, sales and issuances of these shares were exempt from registration under the Securities Act of 1933 by virtue of Section 4(a)(2) thereof (or Regulation D promulgated thereunder) because the issuance of securities to the recipients did not involve a public offering or in reliance on Rule 701 under said Act because the transactions were pursuant to a contract relating to compensation as provided under such rule. The recipients of the shares represented their intentions to acquire the securities for investment only and not with a view to or for sale in connection with any distribution thereof, and appropriate legends were placed upon the shares issued in these transactions. The recipients had adequate access, through a relationship with us, to information about us. The sales of these shares were made without any general solicitation or advertising.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Initial Public Offering Proceeds</w:t>
      </w:r>
    </w:p>
    <w:p>
      <w:pPr>
        <w:spacing w:after="0" w:line="22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The net proceeds of our initial public offering of Class A common stock in November 2017, after deducting underwriting discounts and commissions and offering expenses, were $17.3 million. There has been no material change in the planned use of proceeds from that described in the final prospectus filed with the SEC pursuant to Rule 424(b)(4) under the Securities Act of 1933 on November 3, 2017. To date we have applied $10.8 million of the net proceeds to purchase inventory and an additional $2.1 million in the ordinary course of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10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01</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Form of Capital Increase Agreement between ACM Research, Inc. and certain investors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10.</w:t>
              </w:r>
              <w:r>
                <w:rPr>
                  <w:rFonts w:ascii="Arial" w:cs="Arial" w:eastAsia="Arial" w:hAnsi="Arial"/>
                  <w:sz w:val="18"/>
                  <w:szCs w:val="18"/>
                  <w:u w:val="single" w:color="auto"/>
                  <w:color w:val="0000EE"/>
                </w:rPr>
                <w:t>01(a)</w:t>
              </w:r>
            </w:hyperlink>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w w:val="98"/>
              </w:rPr>
              <w:t>Schedule identifying agreements substantially identical to the form of Capital Increase Agreement filed as Exhibit 10.01 hereto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02</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Form of Agreement between ACM Research, Inc. and certain Investors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10.</w:t>
              </w:r>
              <w:r>
                <w:rPr>
                  <w:rFonts w:ascii="Arial" w:cs="Arial" w:eastAsia="Arial" w:hAnsi="Arial"/>
                  <w:sz w:val="18"/>
                  <w:szCs w:val="18"/>
                  <w:u w:val="single" w:color="auto"/>
                  <w:color w:val="0000EE"/>
                </w:rPr>
                <w:t>02(a)</w:t>
              </w:r>
            </w:hyperlink>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Schedule identifying agreements substantially identical to the form of Agreement filed as Exhibit 10.02 hereto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01</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02</w:t>
              </w:r>
            </w:hyperlink>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gridSpan w:val="2"/>
          </w:tcPr>
          <w:p>
            <w:pPr>
              <w:ind w:left="12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01</w:t>
              </w:r>
            </w:hyperlink>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Certification of Principal Executive Officer and Principal Financial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gridSpan w:val="2"/>
          </w:tcPr>
          <w:p>
            <w:pPr>
              <w:ind w:left="42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color w:val="auto"/>
          <w:highlight w:val="yellow"/>
        </w:rPr>
        <w:t>August 9, 2019</w:t>
      </w:r>
      <w:r>
        <w:rPr>
          <w:sz w:val="20"/>
          <w:szCs w:val="20"/>
          <w:color w:val="auto"/>
        </w:rPr>
        <w:tab/>
      </w:r>
      <w:r>
        <w:rPr>
          <w:rFonts w:ascii="Arial" w:cs="Arial" w:eastAsia="Arial" w:hAnsi="Arial"/>
          <w:sz w:val="16"/>
          <w:szCs w:val="16"/>
          <w:color w:val="auto"/>
        </w:rPr>
        <w:t>By: /s/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27940</wp:posOffset>
            </wp:positionV>
            <wp:extent cx="29330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33065" cy="17145"/>
                    </a:xfrm>
                    <a:prstGeom prst="rect">
                      <a:avLst/>
                    </a:prstGeom>
                    <a:noFill/>
                  </pic:spPr>
                </pic:pic>
              </a:graphicData>
            </a:graphic>
          </wp:anchor>
        </w:drawing>
      </w:r>
    </w:p>
    <w:p>
      <w:pPr>
        <w:spacing w:after="0" w:line="4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Interim Chief Financial Officer, Chief Accounting Officer and</w:t>
      </w:r>
    </w:p>
    <w:p>
      <w:pPr>
        <w:spacing w:after="0" w:line="3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Treasurer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left="10200"/>
        <w:spacing w:after="0"/>
        <w:rPr>
          <w:sz w:val="20"/>
          <w:szCs w:val="20"/>
          <w:color w:val="auto"/>
        </w:rPr>
      </w:pPr>
      <w:r>
        <w:rPr>
          <w:rFonts w:ascii="Arial" w:cs="Arial" w:eastAsia="Arial" w:hAnsi="Arial"/>
          <w:sz w:val="19"/>
          <w:szCs w:val="19"/>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Increase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Capital Contributor]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ACM Research,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[stamp]</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Contents</w:t>
            </w: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Article</w:t>
            </w:r>
          </w:p>
        </w:tc>
        <w:tc>
          <w:tcPr>
            <w:tcW w:w="434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Definitions and Interpretations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2.</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Capital Increase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3.</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5.</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Completion of Current Capital Increase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6.</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Confidentiality</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7.</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Indemnity</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8.</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9"/>
              </w:rPr>
              <w:t>9.</w:t>
            </w: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Notice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gridSpan w:val="2"/>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Governing Law &amp; Settlement of Dispute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gridSpan w:val="2"/>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Miscellaneous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gridSpan w:val="2"/>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Appendix 1: List of Investors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0"/>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1" w:name="page42"/>
    <w:bookmarkEnd w:id="41"/>
    <w:p>
      <w:pPr>
        <w:spacing w:after="0" w:line="275" w:lineRule="auto"/>
        <w:rPr>
          <w:sz w:val="20"/>
          <w:szCs w:val="20"/>
          <w:color w:val="auto"/>
        </w:rPr>
      </w:pPr>
      <w:r>
        <w:rPr>
          <w:rFonts w:ascii="Arial" w:cs="Arial" w:eastAsia="Arial" w:hAnsi="Arial"/>
          <w:sz w:val="18"/>
          <w:szCs w:val="18"/>
          <w:color w:val="auto"/>
        </w:rPr>
        <w:t>This Agreement on Capital Increase of ACM Research (Shanghai), Inc. (hereafter referred to as “</w:t>
      </w:r>
      <w:r>
        <w:rPr>
          <w:rFonts w:ascii="Arial" w:cs="Arial" w:eastAsia="Arial" w:hAnsi="Arial"/>
          <w:sz w:val="18"/>
          <w:szCs w:val="18"/>
          <w:b w:val="1"/>
          <w:bCs w:val="1"/>
          <w:color w:val="auto"/>
        </w:rPr>
        <w:t>this Agreement</w:t>
      </w:r>
      <w:r>
        <w:rPr>
          <w:rFonts w:ascii="Arial" w:cs="Arial" w:eastAsia="Arial" w:hAnsi="Arial"/>
          <w:sz w:val="18"/>
          <w:szCs w:val="18"/>
          <w:color w:val="auto"/>
        </w:rPr>
        <w:t>”) is signed by and between the following parties in Shanghai Municipality on June 12, 2019:</w:t>
      </w:r>
    </w:p>
    <w:p>
      <w:pPr>
        <w:spacing w:after="0" w:line="174" w:lineRule="exact"/>
        <w:rPr>
          <w:sz w:val="20"/>
          <w:szCs w:val="20"/>
          <w:color w:val="auto"/>
        </w:rPr>
      </w:pPr>
    </w:p>
    <w:p>
      <w:pPr>
        <w:jc w:val="both"/>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[Additional Capital Contributor] (hereafter referred to as the “Additional Capital Contributor”)</w:t>
      </w:r>
      <w:r>
        <w:rPr>
          <w:rFonts w:ascii="Arial" w:cs="Arial" w:eastAsia="Arial" w:hAnsi="Arial"/>
          <w:sz w:val="18"/>
          <w:szCs w:val="18"/>
          <w:color w:val="auto"/>
        </w:rPr>
        <w:t>, a [form of entity] (Uniform Social Credit Code: [●])</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and existing in accordance with the laws of the People’s Republic of China (hereafter referred to as “</w:t>
      </w:r>
      <w:r>
        <w:rPr>
          <w:rFonts w:ascii="Arial" w:cs="Arial" w:eastAsia="Arial" w:hAnsi="Arial"/>
          <w:sz w:val="18"/>
          <w:szCs w:val="18"/>
          <w:b w:val="1"/>
          <w:bCs w:val="1"/>
          <w:color w:val="auto"/>
        </w:rPr>
        <w:t>China</w:t>
      </w:r>
      <w:r>
        <w:rPr>
          <w:rFonts w:ascii="Arial" w:cs="Arial" w:eastAsia="Arial" w:hAnsi="Arial"/>
          <w:sz w:val="18"/>
          <w:szCs w:val="18"/>
          <w:color w:val="auto"/>
        </w:rPr>
        <w:t>”, which, for the purpose of this Agreement, excludes the Hong Kong Special Administrative Region, the Macau Special Administrative Region and Taiwan Region), having the registered address at [Address];</w:t>
      </w:r>
    </w:p>
    <w:p>
      <w:pPr>
        <w:spacing w:after="0" w:line="190" w:lineRule="exact"/>
        <w:rPr>
          <w:rFonts w:ascii="Arial" w:cs="Arial" w:eastAsia="Arial" w:hAnsi="Arial"/>
          <w:sz w:val="18"/>
          <w:szCs w:val="18"/>
          <w:color w:val="auto"/>
        </w:rPr>
      </w:pPr>
    </w:p>
    <w:p>
      <w:pPr>
        <w:jc w:val="both"/>
        <w:ind w:left="340" w:hanging="332"/>
        <w:spacing w:after="0" w:line="26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ACM Research (Shanghai), Inc. (hereafter referred to as the “Company” or “ACM”)</w:t>
      </w:r>
      <w:r>
        <w:rPr>
          <w:rFonts w:ascii="Arial" w:cs="Arial" w:eastAsia="Arial" w:hAnsi="Arial"/>
          <w:sz w:val="18"/>
          <w:szCs w:val="18"/>
          <w:color w:val="auto"/>
        </w:rPr>
        <w:t>, a limited liability company incorporated and effectively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China (Uniform Social Credit Code: 91310000774331663A), having the registered address at Building 4, 1690 Cai Lun Road, China (Shanghai) Pilot Free Trade Zone.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Capital Contributor and the Company are separately referred to as “</w:t>
      </w:r>
      <w:r>
        <w:rPr>
          <w:rFonts w:ascii="Arial" w:cs="Arial" w:eastAsia="Arial" w:hAnsi="Arial"/>
          <w:sz w:val="18"/>
          <w:szCs w:val="18"/>
          <w:b w:val="1"/>
          <w:bCs w:val="1"/>
          <w:color w:val="auto"/>
        </w:rPr>
        <w:t>one party</w:t>
      </w:r>
      <w:r>
        <w:rPr>
          <w:rFonts w:ascii="Arial" w:cs="Arial" w:eastAsia="Arial" w:hAnsi="Arial"/>
          <w:sz w:val="18"/>
          <w:szCs w:val="18"/>
          <w:color w:val="auto"/>
        </w:rPr>
        <w:t>” and collectively referred to as “</w:t>
      </w:r>
      <w:r>
        <w:rPr>
          <w:rFonts w:ascii="Arial" w:cs="Arial" w:eastAsia="Arial" w:hAnsi="Arial"/>
          <w:sz w:val="18"/>
          <w:szCs w:val="18"/>
          <w:b w:val="1"/>
          <w:bCs w:val="1"/>
          <w:color w:val="auto"/>
        </w:rPr>
        <w:t>both parties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31" w:lineRule="exact"/>
        <w:rPr>
          <w:sz w:val="20"/>
          <w:szCs w:val="20"/>
          <w:color w:val="auto"/>
        </w:rPr>
      </w:pPr>
    </w:p>
    <w:p>
      <w:pPr>
        <w:ind w:left="340" w:hanging="332"/>
        <w:spacing w:after="0" w:line="268"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Until the signing date of this Agreement, the registered capital of ACM Research, Inc. is RMB 357,692,307.69, and ACM Research, Inc. (hereafter referred to as “</w:t>
      </w:r>
      <w:r>
        <w:rPr>
          <w:rFonts w:ascii="Arial" w:cs="Arial" w:eastAsia="Arial" w:hAnsi="Arial"/>
          <w:sz w:val="18"/>
          <w:szCs w:val="18"/>
          <w:b w:val="1"/>
          <w:bCs w:val="1"/>
          <w:color w:val="auto"/>
        </w:rPr>
        <w:t>Current Shareholder</w:t>
      </w:r>
      <w:r>
        <w:rPr>
          <w:rFonts w:ascii="Arial" w:cs="Arial" w:eastAsia="Arial" w:hAnsi="Arial"/>
          <w:sz w:val="18"/>
          <w:szCs w:val="18"/>
          <w:color w:val="auto"/>
        </w:rPr>
        <w:t>” or “</w:t>
      </w:r>
      <w:r>
        <w:rPr>
          <w:rFonts w:ascii="Arial" w:cs="Arial" w:eastAsia="Arial" w:hAnsi="Arial"/>
          <w:sz w:val="18"/>
          <w:szCs w:val="18"/>
          <w:b w:val="1"/>
          <w:bCs w:val="1"/>
          <w:color w:val="auto"/>
        </w:rPr>
        <w:t>ACMR</w:t>
      </w:r>
      <w:r>
        <w:rPr>
          <w:rFonts w:ascii="Arial" w:cs="Arial" w:eastAsia="Arial" w:hAnsi="Arial"/>
          <w:sz w:val="18"/>
          <w:szCs w:val="18"/>
          <w:color w:val="auto"/>
        </w:rPr>
        <w:t>”) holds 100% of the equities of the Company;</w:t>
      </w:r>
    </w:p>
    <w:p>
      <w:pPr>
        <w:spacing w:after="0" w:line="185" w:lineRule="exact"/>
        <w:rPr>
          <w:rFonts w:ascii="Arial" w:cs="Arial" w:eastAsia="Arial" w:hAnsi="Arial"/>
          <w:sz w:val="18"/>
          <w:szCs w:val="18"/>
          <w:b w:val="1"/>
          <w:bCs w:val="1"/>
          <w:color w:val="auto"/>
        </w:rPr>
      </w:pPr>
    </w:p>
    <w:p>
      <w:pPr>
        <w:jc w:val="both"/>
        <w:ind w:left="340" w:hanging="332"/>
        <w:spacing w:after="0" w:line="25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plans to further introduce multiple investors, establish an employee stock ownership vehicle and increase the total final investment to no more than RMB 500 million. The current registered capital increase of the Company reaches RMB 14,957,500 (hereafter referred to as “</w:t>
      </w:r>
      <w:r>
        <w:rPr>
          <w:rFonts w:ascii="Arial" w:cs="Arial" w:eastAsia="Arial" w:hAnsi="Arial"/>
          <w:sz w:val="18"/>
          <w:szCs w:val="18"/>
          <w:b w:val="1"/>
          <w:bCs w:val="1"/>
          <w:color w:val="auto"/>
        </w:rPr>
        <w:t>Additional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Capital</w:t>
      </w:r>
      <w:r>
        <w:rPr>
          <w:rFonts w:ascii="Arial" w:cs="Arial" w:eastAsia="Arial" w:hAnsi="Arial"/>
          <w:sz w:val="18"/>
          <w:szCs w:val="18"/>
          <w:color w:val="auto"/>
        </w:rPr>
        <w:t>”), of which RMB 12,448,461.54 will be jointly contributed by the investors (as defined below) based on the amounts and proportions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Registered Capital they will contribute as listed in Appendix 2 hereof (hereafter referred to as “</w:t>
      </w:r>
      <w:r>
        <w:rPr>
          <w:rFonts w:ascii="Arial" w:cs="Arial" w:eastAsia="Arial" w:hAnsi="Arial"/>
          <w:sz w:val="18"/>
          <w:szCs w:val="18"/>
          <w:b w:val="1"/>
          <w:bCs w:val="1"/>
          <w:color w:val="auto"/>
        </w:rPr>
        <w:t>Capital Increase from Investors</w:t>
      </w:r>
      <w:r>
        <w:rPr>
          <w:rFonts w:ascii="Arial" w:cs="Arial" w:eastAsia="Arial" w:hAnsi="Arial"/>
          <w:sz w:val="18"/>
          <w:szCs w:val="18"/>
          <w:color w:val="auto"/>
        </w:rPr>
        <w:t>”). Relevant employee stock ownership entity (hereafter referred to as “</w:t>
      </w:r>
      <w:r>
        <w:rPr>
          <w:rFonts w:ascii="Arial" w:cs="Arial" w:eastAsia="Arial" w:hAnsi="Arial"/>
          <w:sz w:val="18"/>
          <w:szCs w:val="18"/>
          <w:b w:val="1"/>
          <w:bCs w:val="1"/>
          <w:color w:val="auto"/>
        </w:rPr>
        <w:t>Employee Stock Ownership Vehicle</w:t>
      </w:r>
      <w:r>
        <w:rPr>
          <w:rFonts w:ascii="Arial" w:cs="Arial" w:eastAsia="Arial" w:hAnsi="Arial"/>
          <w:sz w:val="18"/>
          <w:szCs w:val="18"/>
          <w:color w:val="auto"/>
        </w:rPr>
        <w:t>”) further confirmed by the Company will sign relevant capital increase agreement with the Company around the signing date of this Agreement and contribute the remaining of the Additional Registered Capital (“</w:t>
      </w:r>
      <w:r>
        <w:rPr>
          <w:rFonts w:ascii="Arial" w:cs="Arial" w:eastAsia="Arial" w:hAnsi="Arial"/>
          <w:sz w:val="18"/>
          <w:szCs w:val="18"/>
          <w:b w:val="1"/>
          <w:bCs w:val="1"/>
          <w:color w:val="auto"/>
        </w:rPr>
        <w:t>Capital Increase from Employee Stock Ownership Vehicle</w:t>
      </w:r>
      <w:r>
        <w:rPr>
          <w:rFonts w:ascii="Arial" w:cs="Arial" w:eastAsia="Arial" w:hAnsi="Arial"/>
          <w:sz w:val="18"/>
          <w:szCs w:val="18"/>
          <w:color w:val="auto"/>
        </w:rPr>
        <w:t>”, collectively referred to “Current Investment” together with the Capital Increase from Investors).</w:t>
      </w:r>
    </w:p>
    <w:p>
      <w:pPr>
        <w:spacing w:after="0" w:line="199"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completion of the Current Investment, the registered capital of the Company will be changed to RMB 372,649,807.69, where ACMR will hold 95.99% of the equities, all investors will hold 3.34% of the equities of the Company altogether, and the Employee Stock Ownership Vehicle will hold 0.67% of the equities;</w:t>
      </w:r>
    </w:p>
    <w:p>
      <w:pPr>
        <w:spacing w:after="0" w:line="194" w:lineRule="exact"/>
        <w:rPr>
          <w:rFonts w:ascii="Arial" w:cs="Arial" w:eastAsia="Arial" w:hAnsi="Arial"/>
          <w:sz w:val="18"/>
          <w:szCs w:val="18"/>
          <w:color w:val="auto"/>
        </w:rPr>
      </w:pPr>
    </w:p>
    <w:p>
      <w:pPr>
        <w:ind w:left="340" w:right="20" w:hanging="332"/>
        <w:spacing w:after="0" w:line="26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Capital Increase from Investors, the Additional Capital Contributor will contribute the additional registered capital of RMB [●], representing [●]% of the equities of the Company after completion of the Current Investment (“</w:t>
      </w:r>
      <w:r>
        <w:rPr>
          <w:rFonts w:ascii="Arial" w:cs="Arial" w:eastAsia="Arial" w:hAnsi="Arial"/>
          <w:sz w:val="18"/>
          <w:szCs w:val="18"/>
          <w:b w:val="1"/>
          <w:bCs w:val="1"/>
          <w:color w:val="auto"/>
        </w:rPr>
        <w:t>Current Capital Increase</w:t>
      </w:r>
      <w:r>
        <w:rPr>
          <w:rFonts w:ascii="Arial" w:cs="Arial" w:eastAsia="Arial" w:hAnsi="Arial"/>
          <w:sz w:val="18"/>
          <w:szCs w:val="18"/>
          <w:color w:val="auto"/>
        </w:rPr>
        <w:t>”).</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both parties have entered into the following agreement based on the commitments contained herein and for the purpose of causing them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legal binding force:</w:t>
      </w:r>
    </w:p>
    <w:p>
      <w:pPr>
        <w:spacing w:after="0" w:line="174" w:lineRule="exact"/>
        <w:rPr>
          <w:sz w:val="20"/>
          <w:szCs w:val="20"/>
          <w:color w:val="auto"/>
        </w:rPr>
      </w:pPr>
    </w:p>
    <w:p>
      <w:pPr>
        <w:ind w:left="340" w:right="8760" w:hanging="332"/>
        <w:spacing w:after="0" w:line="567" w:lineRule="auto"/>
        <w:tabs>
          <w:tab w:leader="none" w:pos="3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Definitions and Interpretations </w:t>
      </w:r>
      <w:r>
        <w:rPr>
          <w:rFonts w:ascii="Arial" w:cs="Arial" w:eastAsia="Arial" w:hAnsi="Arial"/>
          <w:sz w:val="16"/>
          <w:szCs w:val="16"/>
          <w:color w:val="auto"/>
        </w:rPr>
        <w:t>1.1 Definitions</w:t>
      </w:r>
    </w:p>
    <w:p>
      <w:pPr>
        <w:spacing w:after="0" w:line="1" w:lineRule="exact"/>
        <w:rPr>
          <w:rFonts w:ascii="Arial" w:cs="Arial" w:eastAsia="Arial" w:hAnsi="Arial"/>
          <w:sz w:val="16"/>
          <w:szCs w:val="16"/>
          <w:b w:val="1"/>
          <w:bCs w:val="1"/>
          <w:color w:val="auto"/>
        </w:rPr>
      </w:pPr>
    </w:p>
    <w:p>
      <w:pPr>
        <w:ind w:left="820"/>
        <w:spacing w:after="0"/>
        <w:rPr>
          <w:rFonts w:ascii="Arial" w:cs="Arial" w:eastAsia="Arial" w:hAnsi="Arial"/>
          <w:sz w:val="16"/>
          <w:szCs w:val="16"/>
          <w:b w:val="1"/>
          <w:bCs w:val="1"/>
          <w:color w:val="auto"/>
        </w:rPr>
      </w:pPr>
      <w:r>
        <w:rPr>
          <w:rFonts w:ascii="Arial" w:cs="Arial" w:eastAsia="Arial" w:hAnsi="Arial"/>
          <w:sz w:val="18"/>
          <w:szCs w:val="18"/>
          <w:color w:val="auto"/>
        </w:rPr>
        <w:t>The boldface terms shall have the following meanings in this Agreement, unless otherwise specified by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ind w:left="800" w:hanging="322"/>
        <w:spacing w:after="0" w:line="339"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Revised Articles of Association</w:t>
      </w:r>
      <w:r>
        <w:rPr>
          <w:rFonts w:ascii="Arial" w:cs="Arial" w:eastAsia="Arial" w:hAnsi="Arial"/>
          <w:sz w:val="16"/>
          <w:szCs w:val="16"/>
          <w:color w:val="auto"/>
        </w:rPr>
        <w:t>”: It means the revised Articles of Association signed by all investors, including the Current Shareholder, the Employee Stock Ownership Vehicle and the Additional Capital Contributor, when or after this Agreement is signed.</w:t>
      </w:r>
    </w:p>
    <w:p>
      <w:pPr>
        <w:spacing w:after="0" w:line="128" w:lineRule="exact"/>
        <w:rPr>
          <w:rFonts w:ascii="Arial" w:cs="Arial" w:eastAsia="Arial" w:hAnsi="Arial"/>
          <w:sz w:val="16"/>
          <w:szCs w:val="16"/>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day</w:t>
      </w:r>
      <w:r>
        <w:rPr>
          <w:rFonts w:ascii="Arial" w:cs="Arial" w:eastAsia="Arial" w:hAnsi="Arial"/>
          <w:sz w:val="18"/>
          <w:szCs w:val="18"/>
          <w:color w:val="auto"/>
        </w:rPr>
        <w:t>”: It means the banking days of China (excluding Saturday, Sunday and public holidays).</w:t>
      </w:r>
    </w:p>
    <w:p>
      <w:pPr>
        <w:spacing w:after="0" w:line="225" w:lineRule="exact"/>
        <w:rPr>
          <w:rFonts w:ascii="Arial" w:cs="Arial" w:eastAsia="Arial" w:hAnsi="Arial"/>
          <w:sz w:val="18"/>
          <w:szCs w:val="18"/>
          <w:color w:val="auto"/>
        </w:rPr>
      </w:pPr>
    </w:p>
    <w:p>
      <w:pPr>
        <w:ind w:left="800" w:hanging="322"/>
        <w:spacing w:after="0" w:line="275"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China</w:t>
      </w:r>
      <w:r>
        <w:rPr>
          <w:rFonts w:ascii="Arial" w:cs="Arial" w:eastAsia="Arial" w:hAnsi="Arial"/>
          <w:sz w:val="18"/>
          <w:szCs w:val="18"/>
          <w:color w:val="auto"/>
        </w:rPr>
        <w:t>”: It means the People’s Republic of China, which, for the purpose of this Agreement, excludes the Hong Kong Special Administrative Region, the Macau Special Administrative Region and Taiwan Region.</w:t>
      </w:r>
    </w:p>
    <w:p>
      <w:pPr>
        <w:spacing w:after="0" w:line="173"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It means the investors participating in the current Capital Increase from Investors listed in Appendix 1 hereof.</w:t>
      </w:r>
    </w:p>
    <w:p>
      <w:pPr>
        <w:spacing w:after="0" w:line="225"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Increase from</w:t>
      </w:r>
      <w:r>
        <w:rPr>
          <w:rFonts w:ascii="Arial" w:cs="Arial" w:eastAsia="Arial" w:hAnsi="Arial"/>
          <w:sz w:val="18"/>
          <w:szCs w:val="18"/>
          <w:color w:val="auto"/>
        </w:rPr>
        <w:t xml:space="preserve"> Investors”: It has meaning as stated in this Agreement;</w:t>
      </w:r>
    </w:p>
    <w:p>
      <w:pPr>
        <w:spacing w:after="0" w:line="225"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Capital Increase</w:t>
      </w:r>
      <w:r>
        <w:rPr>
          <w:rFonts w:ascii="Arial" w:cs="Arial" w:eastAsia="Arial" w:hAnsi="Arial"/>
          <w:sz w:val="18"/>
          <w:szCs w:val="18"/>
          <w:color w:val="auto"/>
        </w:rPr>
        <w:t>”: It has the meaning specified under Article 2 of this Agreement;</w:t>
      </w:r>
    </w:p>
    <w:p>
      <w:pPr>
        <w:spacing w:after="0" w:line="225"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Increase Fund</w:t>
      </w:r>
      <w:r>
        <w:rPr>
          <w:rFonts w:ascii="Arial" w:cs="Arial" w:eastAsia="Arial" w:hAnsi="Arial"/>
          <w:sz w:val="18"/>
          <w:szCs w:val="18"/>
          <w:color w:val="auto"/>
        </w:rPr>
        <w:t>”: It has the meaning specified under Article 3.1 of this Agreement;</w:t>
      </w:r>
    </w:p>
    <w:p>
      <w:pPr>
        <w:spacing w:after="0" w:line="225"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It means completing the Current Capital Increase in accordance with Article 6;</w:t>
      </w:r>
    </w:p>
    <w:p>
      <w:pPr>
        <w:spacing w:after="0" w:line="225" w:lineRule="exact"/>
        <w:rPr>
          <w:rFonts w:ascii="Arial" w:cs="Arial" w:eastAsia="Arial" w:hAnsi="Arial"/>
          <w:sz w:val="18"/>
          <w:szCs w:val="18"/>
          <w:color w:val="auto"/>
        </w:rPr>
      </w:pPr>
    </w:p>
    <w:p>
      <w:pPr>
        <w:ind w:left="800" w:hanging="322"/>
        <w:spacing w:after="0" w:line="275"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Date</w:t>
      </w:r>
      <w:r>
        <w:rPr>
          <w:rFonts w:ascii="Arial" w:cs="Arial" w:eastAsia="Arial" w:hAnsi="Arial"/>
          <w:sz w:val="18"/>
          <w:szCs w:val="18"/>
          <w:color w:val="auto"/>
        </w:rPr>
        <w:t>”: It means the date on which the registration authority issues a new business license in respect of the Current Investment to the Company.</w:t>
      </w:r>
    </w:p>
    <w:p>
      <w:pPr>
        <w:spacing w:after="0" w:line="173" w:lineRule="exact"/>
        <w:rPr>
          <w:rFonts w:ascii="Arial" w:cs="Arial" w:eastAsia="Arial" w:hAnsi="Arial"/>
          <w:sz w:val="18"/>
          <w:szCs w:val="18"/>
          <w:color w:val="auto"/>
        </w:rPr>
      </w:pPr>
    </w:p>
    <w:p>
      <w:pPr>
        <w:jc w:val="both"/>
        <w:ind w:left="800" w:hanging="322"/>
        <w:spacing w:after="0" w:line="262"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It means any mortgage, guarantee, pledge, lien, options, restriction, preemptive right as transferee, preemptive right to buy, third-party interest, other encumbrances or guarantee interests in whatever form, or any other preemptive arrangement with similar effect (including without limitation to transfer of title or title reservation arrangement).</w:t>
      </w:r>
    </w:p>
    <w:p>
      <w:pPr>
        <w:spacing w:after="0" w:line="186" w:lineRule="exact"/>
        <w:rPr>
          <w:rFonts w:ascii="Arial" w:cs="Arial" w:eastAsia="Arial" w:hAnsi="Arial"/>
          <w:sz w:val="18"/>
          <w:szCs w:val="18"/>
          <w:color w:val="auto"/>
        </w:rPr>
      </w:pPr>
    </w:p>
    <w:p>
      <w:pPr>
        <w:ind w:left="800" w:hanging="322"/>
        <w:spacing w:after="0" w:line="275"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Contract</w:t>
      </w:r>
      <w:r>
        <w:rPr>
          <w:rFonts w:ascii="Arial" w:cs="Arial" w:eastAsia="Arial" w:hAnsi="Arial"/>
          <w:sz w:val="18"/>
          <w:szCs w:val="18"/>
          <w:color w:val="auto"/>
        </w:rPr>
        <w:t>”: It means the Joint Venture Contract signed by all investors, including the Current Shareholder, the Employee Stock Ownership Vehicle and the Additional Capital Contributor, when or after this Agreement is signed.</w:t>
      </w:r>
    </w:p>
    <w:p>
      <w:pPr>
        <w:spacing w:after="0" w:line="173"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Commerce Authority</w:t>
      </w:r>
      <w:r>
        <w:rPr>
          <w:rFonts w:ascii="Arial" w:cs="Arial" w:eastAsia="Arial" w:hAnsi="Arial"/>
          <w:sz w:val="18"/>
          <w:szCs w:val="18"/>
          <w:color w:val="auto"/>
        </w:rPr>
        <w:t>”: It means the Ministry of Commerce of China or local organs it authorizes;</w:t>
      </w:r>
    </w:p>
    <w:p>
      <w:pPr>
        <w:spacing w:after="0" w:line="225" w:lineRule="exact"/>
        <w:rPr>
          <w:rFonts w:ascii="Arial" w:cs="Arial" w:eastAsia="Arial" w:hAnsi="Arial"/>
          <w:sz w:val="18"/>
          <w:szCs w:val="18"/>
          <w:color w:val="auto"/>
        </w:rPr>
      </w:pPr>
    </w:p>
    <w:p>
      <w:pPr>
        <w:ind w:left="800" w:hanging="322"/>
        <w:spacing w:after="0" w:line="275"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It means this Agreement and revision or supplement from time to time, the Joint Venture Contract and the Revised Articles of Association;</w:t>
      </w:r>
    </w:p>
    <w:p>
      <w:pPr>
        <w:spacing w:after="0" w:line="173" w:lineRule="exact"/>
        <w:rPr>
          <w:rFonts w:ascii="Arial" w:cs="Arial" w:eastAsia="Arial" w:hAnsi="Arial"/>
          <w:sz w:val="18"/>
          <w:szCs w:val="18"/>
          <w:color w:val="auto"/>
        </w:rPr>
      </w:pPr>
    </w:p>
    <w:p>
      <w:pPr>
        <w:jc w:val="both"/>
        <w:ind w:left="800" w:hanging="322"/>
        <w:spacing w:after="0" w:line="25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Laws of China</w:t>
      </w:r>
      <w:r>
        <w:rPr>
          <w:rFonts w:ascii="Arial" w:cs="Arial" w:eastAsia="Arial" w:hAnsi="Arial"/>
          <w:sz w:val="18"/>
          <w:szCs w:val="18"/>
          <w:color w:val="auto"/>
        </w:rPr>
        <w:t>”: It means laws, regulations, ordinances and judicial interpretations officially promulgated and published by legislative organs, administrative organs and judicial organs of China at various levels. For the purpose of this Agreement, they shall not include laws, regulations, ordinances, judicial interpretations and legal precedents of the Hong Kong Special Administrative Region, the Macao Special Administrative Region and Taiwan Region;</w:t>
      </w:r>
    </w:p>
    <w:p>
      <w:pPr>
        <w:spacing w:after="0" w:line="190"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Renminbi</w:t>
      </w:r>
      <w:r>
        <w:rPr>
          <w:rFonts w:ascii="Arial" w:cs="Arial" w:eastAsia="Arial" w:hAnsi="Arial"/>
          <w:sz w:val="18"/>
          <w:szCs w:val="18"/>
          <w:color w:val="auto"/>
        </w:rPr>
        <w:t>” or “</w:t>
      </w:r>
      <w:r>
        <w:rPr>
          <w:rFonts w:ascii="Arial" w:cs="Arial" w:eastAsia="Arial" w:hAnsi="Arial"/>
          <w:sz w:val="18"/>
          <w:szCs w:val="18"/>
          <w:b w:val="1"/>
          <w:bCs w:val="1"/>
          <w:color w:val="auto"/>
        </w:rPr>
        <w:t>RMB</w:t>
      </w:r>
      <w:r>
        <w:rPr>
          <w:rFonts w:ascii="Arial" w:cs="Arial" w:eastAsia="Arial" w:hAnsi="Arial"/>
          <w:sz w:val="18"/>
          <w:szCs w:val="18"/>
          <w:color w:val="auto"/>
        </w:rPr>
        <w:t>”: It means the Chinese legal tender;</w:t>
      </w:r>
    </w:p>
    <w:p>
      <w:pPr>
        <w:spacing w:after="0" w:line="225" w:lineRule="exact"/>
        <w:rPr>
          <w:rFonts w:ascii="Arial" w:cs="Arial" w:eastAsia="Arial" w:hAnsi="Arial"/>
          <w:sz w:val="18"/>
          <w:szCs w:val="18"/>
          <w:color w:val="auto"/>
        </w:rPr>
      </w:pPr>
    </w:p>
    <w:p>
      <w:pPr>
        <w:ind w:left="800" w:hanging="32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Authority</w:t>
      </w:r>
      <w:r>
        <w:rPr>
          <w:rFonts w:ascii="Arial" w:cs="Arial" w:eastAsia="Arial" w:hAnsi="Arial"/>
          <w:sz w:val="18"/>
          <w:szCs w:val="18"/>
          <w:color w:val="auto"/>
        </w:rPr>
        <w:t>”: It means the State Administration for Market Supervision or local organs it authorizes.</w:t>
      </w:r>
    </w:p>
    <w:p>
      <w:pPr>
        <w:spacing w:after="0" w:line="200" w:lineRule="exact"/>
        <w:rPr>
          <w:sz w:val="20"/>
          <w:szCs w:val="20"/>
          <w:color w:val="auto"/>
        </w:rPr>
      </w:pPr>
    </w:p>
    <w:p>
      <w:pPr>
        <w:spacing w:after="0" w:line="24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Interpretations</w:t>
      </w:r>
    </w:p>
    <w:p>
      <w:pPr>
        <w:spacing w:after="0" w:line="225" w:lineRule="exact"/>
        <w:rPr>
          <w:sz w:val="20"/>
          <w:szCs w:val="20"/>
          <w:color w:val="auto"/>
        </w:rPr>
      </w:pPr>
    </w:p>
    <w:p>
      <w:pPr>
        <w:ind w:left="5340" w:right="1980" w:hanging="4862"/>
        <w:spacing w:after="0" w:line="769" w:lineRule="auto"/>
        <w:tabs>
          <w:tab w:leader="none" w:pos="8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heading of every article is only intended for convenience and shall not affect the interpretation of this Agreement.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341" w:right="239" w:bottom="1440" w:gutter="0" w:footer="0" w:header="0"/>
        </w:sectPr>
      </w:pPr>
    </w:p>
    <w:bookmarkStart w:id="43" w:name="page44"/>
    <w:bookmarkEnd w:id="43"/>
    <w:p>
      <w:pPr>
        <w:ind w:left="1140" w:right="20" w:hanging="322"/>
        <w:spacing w:after="0" w:line="268"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Unless otherwise required in the context, if the occurrence time of any right or obligation hereunder doesn’t coincide with a working day, such right or obligation shall be extended to next working day after the day for exercise or performance.</w:t>
      </w:r>
    </w:p>
    <w:p>
      <w:pPr>
        <w:spacing w:after="0" w:line="185" w:lineRule="exact"/>
        <w:rPr>
          <w:rFonts w:ascii="Arial" w:cs="Arial" w:eastAsia="Arial" w:hAnsi="Arial"/>
          <w:sz w:val="18"/>
          <w:szCs w:val="18"/>
          <w:color w:val="auto"/>
        </w:rPr>
      </w:pPr>
    </w:p>
    <w:p>
      <w:pPr>
        <w:ind w:left="1140" w:hanging="322"/>
        <w:spacing w:after="0"/>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Time means the Beijing time of China.</w:t>
      </w:r>
    </w:p>
    <w:p>
      <w:pPr>
        <w:spacing w:after="0" w:line="225"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When used in this Agreement, the term “under this Agreement” and any other term having approximate meaning shall mean this Agreement as a whole, instead of any concrete article hereof. Unless explicitly specified herein, the term “including” shall be understood as “including without limitation to”, regardless of whether “without limitation to” follows the term.</w:t>
      </w:r>
    </w:p>
    <w:p>
      <w:pPr>
        <w:spacing w:after="0" w:line="194"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quotation of this Agreement shall include this Agreement as well as revision, change, supplement, replacement and/or restatement made in whatever form from time to time. Unless otherwise specified in the context hereof, any quotation of chapter, paragraph, article and article shall refer to such part of this Agreement.</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Current Capital Increase</w:t>
      </w:r>
    </w:p>
    <w:p>
      <w:pPr>
        <w:spacing w:after="0" w:line="231" w:lineRule="exact"/>
        <w:rPr>
          <w:rFonts w:ascii="Arial" w:cs="Arial" w:eastAsia="Arial" w:hAnsi="Arial"/>
          <w:sz w:val="18"/>
          <w:szCs w:val="18"/>
          <w:b w:val="1"/>
          <w:bCs w:val="1"/>
          <w:color w:val="auto"/>
        </w:rPr>
      </w:pPr>
    </w:p>
    <w:p>
      <w:pPr>
        <w:ind w:left="820" w:hanging="486"/>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2.1 Both parties agree that the Additional Capital Contributor will contribute the additional registered capital of RMB [●], representing [●]% of the equities of the Company after completion of the Current Capital Increase, in cash at a price of RMB13 for per RMB 1 of the registered capital.</w:t>
      </w:r>
    </w:p>
    <w:p>
      <w:pPr>
        <w:spacing w:after="0" w:line="13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2.2   The aforesaid additional registered capital contributed by the Additional Capital Contributor shall not contain any Encumbrance.</w:t>
      </w:r>
    </w:p>
    <w:p>
      <w:pPr>
        <w:spacing w:after="0" w:line="219" w:lineRule="exact"/>
        <w:rPr>
          <w:rFonts w:ascii="Arial" w:cs="Arial" w:eastAsia="Arial" w:hAnsi="Arial"/>
          <w:sz w:val="18"/>
          <w:szCs w:val="18"/>
          <w:b w:val="1"/>
          <w:bCs w:val="1"/>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3.1   Capital increase fund</w:t>
      </w:r>
    </w:p>
    <w:p>
      <w:pPr>
        <w:spacing w:after="0" w:line="225"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For the additional registered capital RMB [portion of the Additional Registered Capital subscribed by the Additional Capital Contributor] of the Company the Additional Capital Contributor will contribute, the total price payable by the Additional Capital Contributor will be RMB [13 * portion of the Additional Registered Capital subscribed by the Additional Capital Contributor] (“</w:t>
      </w:r>
      <w:r>
        <w:rPr>
          <w:rFonts w:ascii="Arial" w:cs="Arial" w:eastAsia="Arial" w:hAnsi="Arial"/>
          <w:sz w:val="18"/>
          <w:szCs w:val="18"/>
          <w:b w:val="1"/>
          <w:bCs w:val="1"/>
          <w:color w:val="auto"/>
        </w:rPr>
        <w:t>Capital Increase Fund</w:t>
      </w:r>
      <w:r>
        <w:rPr>
          <w:rFonts w:ascii="Arial" w:cs="Arial" w:eastAsia="Arial" w:hAnsi="Arial"/>
          <w:sz w:val="18"/>
          <w:szCs w:val="18"/>
          <w:color w:val="auto"/>
        </w:rPr>
        <w:t>”), where RMB [portion of the Additional Registered Capital subscribed by the Additional Capital Contributor] will be included in the registered capital of the Company, and the remaining will be included in the capital reserve of the Company.</w:t>
      </w:r>
    </w:p>
    <w:p>
      <w:pPr>
        <w:spacing w:after="0" w:line="19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Payment</w:t>
      </w:r>
    </w:p>
    <w:p>
      <w:pPr>
        <w:spacing w:after="0" w:line="22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Additional Capital Contributor shall pay the Capital Increase Fund of RMB [13 * portion of the Additional Registered Capital subscribed by the Additional Capital Contributor] in full amount by telegraphic transfer to the account designated by the Company after all the conditions stated in Article 3.3 below are satisfied and no later than July 5, 2019.</w:t>
      </w:r>
    </w:p>
    <w:p>
      <w:pPr>
        <w:jc w:val="both"/>
        <w:ind w:left="820"/>
        <w:spacing w:after="0" w:line="253" w:lineRule="auto"/>
        <w:rPr>
          <w:sz w:val="20"/>
          <w:szCs w:val="20"/>
          <w:color w:val="auto"/>
        </w:rPr>
      </w:pPr>
      <w:r>
        <w:rPr>
          <w:rFonts w:ascii="Arial" w:cs="Arial" w:eastAsia="Arial" w:hAnsi="Arial"/>
          <w:sz w:val="18"/>
          <w:szCs w:val="18"/>
          <w:color w:val="auto"/>
        </w:rPr>
        <w:t>Where the Additional Capital Contributor fails to pay the Capital Increase Fund in full amount and on schedule before the expiration of the period agreed above in this article, the Company shall have the right to require the Additional Capital Contributor pay 25% of the total Capital Increase Fund stipulated in Article 3.1 as a liquidated damage to the Company. In addition to requiring the Additional Capital Contributor bear the liability for breach in accordance with the preceding sentence, the Company shall, in this case, also be entitled to revoke this Agreement after notifying the Additional Capital Contributor in writing.</w:t>
      </w:r>
    </w:p>
    <w:p>
      <w:pPr>
        <w:spacing w:after="0" w:line="193"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Additional Capital Contributor shall pay the Capital Increase Fund in accordance with Article 3.2 after the following conditions (“</w:t>
      </w:r>
      <w:r>
        <w:rPr>
          <w:rFonts w:ascii="Arial" w:cs="Arial" w:eastAsia="Arial" w:hAnsi="Arial"/>
          <w:sz w:val="16"/>
          <w:szCs w:val="16"/>
          <w:b w:val="1"/>
          <w:bCs w:val="1"/>
          <w:color w:val="auto"/>
        </w:rPr>
        <w:t>Conditions</w:t>
      </w:r>
      <w:r>
        <w:rPr>
          <w:rFonts w:ascii="Arial" w:cs="Arial" w:eastAsia="Arial" w:hAnsi="Arial"/>
          <w:sz w:val="16"/>
          <w:szCs w:val="16"/>
          <w:color w:val="auto"/>
        </w:rPr>
        <w:t>”)</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are satisfied:</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Duly sign and deliver the Project Documents;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4" w:name="page45"/>
    <w:bookmarkEnd w:id="44"/>
    <w:p>
      <w:pPr>
        <w:ind w:left="1140" w:hanging="322"/>
        <w:spacing w:after="0"/>
        <w:tabs>
          <w:tab w:leader="none" w:pos="11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Additional Capital Contributor has obtained all necessary internal and external approvals in regard of the Current Capital Increase;</w:t>
      </w:r>
    </w:p>
    <w:p>
      <w:pPr>
        <w:spacing w:after="0" w:line="248"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Current Shareholder of the Company has issued a shareholder’s resolution approving the Current Capital Increase and waived in writing the preemptive right to contribute the Current Capital Increase;</w:t>
      </w:r>
    </w:p>
    <w:p>
      <w:pPr>
        <w:spacing w:after="0" w:line="185" w:lineRule="exact"/>
        <w:rPr>
          <w:rFonts w:ascii="Arial" w:cs="Arial" w:eastAsia="Arial" w:hAnsi="Arial"/>
          <w:sz w:val="18"/>
          <w:szCs w:val="18"/>
          <w:color w:val="auto"/>
        </w:rPr>
      </w:pPr>
    </w:p>
    <w:p>
      <w:pPr>
        <w:ind w:left="1140" w:hanging="322"/>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has completed the change registration procedure for the Current Capital Increase with the Commerce Authority.</w:t>
      </w:r>
    </w:p>
    <w:p>
      <w:pPr>
        <w:spacing w:after="0" w:line="21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4.1   The Company warrants the following to the Additional Capital Contributor:</w:t>
      </w:r>
    </w:p>
    <w:p>
      <w:pPr>
        <w:spacing w:after="0" w:line="225" w:lineRule="exact"/>
        <w:rPr>
          <w:rFonts w:ascii="Arial" w:cs="Arial" w:eastAsia="Arial" w:hAnsi="Arial"/>
          <w:sz w:val="18"/>
          <w:szCs w:val="18"/>
          <w:b w:val="1"/>
          <w:bCs w:val="1"/>
          <w:color w:val="auto"/>
        </w:rPr>
      </w:pPr>
    </w:p>
    <w:p>
      <w:pPr>
        <w:ind w:left="1140" w:hanging="322"/>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is legally incorporated and effectively existing in accordance with the laws of China;</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has obtained the full power, right and authorization required to sign, deliver and perform this Agreement;</w:t>
      </w:r>
    </w:p>
    <w:p>
      <w:pPr>
        <w:spacing w:after="0" w:line="225" w:lineRule="exact"/>
        <w:rPr>
          <w:rFonts w:ascii="Arial" w:cs="Arial" w:eastAsia="Arial" w:hAnsi="Arial"/>
          <w:sz w:val="18"/>
          <w:szCs w:val="18"/>
          <w:color w:val="auto"/>
        </w:rPr>
      </w:pPr>
    </w:p>
    <w:p>
      <w:pPr>
        <w:ind w:left="1140" w:hanging="322"/>
        <w:spacing w:after="0" w:line="268" w:lineRule="auto"/>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signing, delivery and performance of this Agreement will not violate any article of applicable laws, regulations, ordinances or material contractual documents binding upon the Company; and</w:t>
      </w:r>
    </w:p>
    <w:p>
      <w:pPr>
        <w:spacing w:after="0" w:line="185" w:lineRule="exact"/>
        <w:rPr>
          <w:rFonts w:ascii="Arial" w:cs="Arial" w:eastAsia="Arial" w:hAnsi="Arial"/>
          <w:sz w:val="18"/>
          <w:szCs w:val="18"/>
          <w:color w:val="auto"/>
        </w:rPr>
      </w:pPr>
    </w:p>
    <w:p>
      <w:pPr>
        <w:ind w:left="1140" w:hanging="322"/>
        <w:spacing w:after="0"/>
        <w:tabs>
          <w:tab w:leader="none" w:pos="11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There is not any Encumbrance on the equities the Additional Capital Contributor will obtain in virtue of this transaction.</w:t>
      </w:r>
    </w:p>
    <w:p>
      <w:pPr>
        <w:spacing w:after="0" w:line="22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Additional Capital Contributor warrants the following to the Company:</w:t>
      </w:r>
    </w:p>
    <w:p>
      <w:pPr>
        <w:spacing w:after="0" w:line="225" w:lineRule="exact"/>
        <w:rPr>
          <w:sz w:val="20"/>
          <w:szCs w:val="20"/>
          <w:color w:val="auto"/>
        </w:rPr>
      </w:pPr>
    </w:p>
    <w:p>
      <w:pPr>
        <w:ind w:left="1140" w:hanging="322"/>
        <w:spacing w:after="0"/>
        <w:tabs>
          <w:tab w:leader="none" w:pos="11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Additional Capital Contributor is legally incorporated and effectively existing in accordance with the laws of the People’s Republic of China;</w:t>
      </w:r>
    </w:p>
    <w:p>
      <w:pPr>
        <w:spacing w:after="0" w:line="248" w:lineRule="exact"/>
        <w:rPr>
          <w:rFonts w:ascii="Arial" w:cs="Arial" w:eastAsia="Arial" w:hAnsi="Arial"/>
          <w:sz w:val="16"/>
          <w:szCs w:val="16"/>
          <w:color w:val="auto"/>
        </w:rPr>
      </w:pPr>
    </w:p>
    <w:p>
      <w:pPr>
        <w:ind w:left="1140" w:hanging="322"/>
        <w:spacing w:after="0"/>
        <w:tabs>
          <w:tab w:leader="none" w:pos="11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Additional Capital Contributor has obtained the full power, right and authorization required to sign, deliver and perform this Agreement;</w:t>
      </w:r>
    </w:p>
    <w:p>
      <w:pPr>
        <w:spacing w:after="0" w:line="248"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signing, delivery and performance of this Agreement will not violate any article of applicable laws, regulations, ordinances or material contractual documents binding upon the Additional Capital Contributor; and</w:t>
      </w:r>
    </w:p>
    <w:p>
      <w:pPr>
        <w:spacing w:after="0" w:line="185" w:lineRule="exact"/>
        <w:rPr>
          <w:rFonts w:ascii="Arial" w:cs="Arial" w:eastAsia="Arial" w:hAnsi="Arial"/>
          <w:sz w:val="18"/>
          <w:szCs w:val="18"/>
          <w:color w:val="auto"/>
        </w:rPr>
      </w:pPr>
    </w:p>
    <w:p>
      <w:pPr>
        <w:ind w:left="1140" w:hanging="322"/>
        <w:spacing w:after="0"/>
        <w:tabs>
          <w:tab w:leader="none" w:pos="11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Additional Capital Contributor has prepared sufficient funds for the Current Capital Increase and the fund source is legitimate.</w:t>
      </w:r>
    </w:p>
    <w:p>
      <w:pPr>
        <w:spacing w:after="0" w:line="242"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 of Current Capital Increase</w:t>
      </w:r>
    </w:p>
    <w:p>
      <w:pPr>
        <w:spacing w:after="0" w:line="231" w:lineRule="exact"/>
        <w:rPr>
          <w:rFonts w:ascii="Arial" w:cs="Arial" w:eastAsia="Arial" w:hAnsi="Arial"/>
          <w:sz w:val="18"/>
          <w:szCs w:val="18"/>
          <w:b w:val="1"/>
          <w:bCs w:val="1"/>
          <w:color w:val="auto"/>
        </w:rPr>
      </w:pPr>
    </w:p>
    <w:p>
      <w:pPr>
        <w:ind w:left="820" w:hanging="486"/>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5.1 The Company shall complete all government approval and registration procedures for the Current Capital Increase, including industrial and commercial change registration pertaining to the Current Capital Increase, no later than July 31, 2019 after the Additional Capital Contributor pays the Capital Increase Fund and completes the capital verification procedure for the Current Capital Increase (relevant capital verification procedure shall be performed by an eligible third-party accounting firm).</w:t>
      </w:r>
    </w:p>
    <w:p>
      <w:pPr>
        <w:spacing w:after="0" w:line="197"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Where the Company fails to complete relevant change registration pertaining to the Current Capital Increase as stated in Article 5.1 on account of any reason attributable to itself after the three (3)-month period expires following the Additional Capital Contributor pays the Capital Increase Fund in full amount in accordance with Article 3.2, the Additional Capital Contributor shall have the right to revoke this Agreement after notifying the Company in writing. In this event, the Company shall refund the Capital Increase Fund in full amount actually paid by the Additional Capital Contributor to the Additional Capital Contributor.</w:t>
      </w:r>
    </w:p>
    <w:p>
      <w:pPr>
        <w:spacing w:after="0" w:line="197" w:lineRule="exact"/>
        <w:rPr>
          <w:sz w:val="20"/>
          <w:szCs w:val="20"/>
          <w:color w:val="auto"/>
        </w:rPr>
      </w:pPr>
    </w:p>
    <w:p>
      <w:pPr>
        <w:jc w:val="both"/>
        <w:ind w:left="820"/>
        <w:spacing w:after="0" w:line="294" w:lineRule="auto"/>
        <w:rPr>
          <w:sz w:val="20"/>
          <w:szCs w:val="20"/>
          <w:color w:val="auto"/>
        </w:rPr>
      </w:pPr>
      <w:r>
        <w:rPr>
          <w:rFonts w:ascii="Arial" w:cs="Arial" w:eastAsia="Arial" w:hAnsi="Arial"/>
          <w:sz w:val="16"/>
          <w:szCs w:val="16"/>
          <w:color w:val="auto"/>
        </w:rPr>
        <w:t>To avoid any ambiguity, where the Company fails to complete relevant change registration pertaining to the Current Capital Increase as stated in Article 5.1 on account of any reason not attributable to itself (including without limitation to any event that is attributable to the Current Shareholder of the Company, the Additional Capital Contributor, or any other investor or any relevant approval, registration or filing organ) after the three (3)-month period expires following the Additional Capital Contributor pays the Capital Increase Fund in full amount in accordance with Article 3.2, the Additional Capital Contributor shall not have the right to require the revocation of this Agreement in accordance with the preceding sentence.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5" w:name="page46"/>
    <w:bookmarkEnd w:id="45"/>
    <w:p>
      <w:pPr>
        <w:ind w:left="820" w:hanging="485"/>
        <w:spacing w:after="0" w:line="268" w:lineRule="auto"/>
        <w:tabs>
          <w:tab w:leader="none" w:pos="800" w:val="left"/>
        </w:tabs>
        <w:rPr>
          <w:sz w:val="20"/>
          <w:szCs w:val="20"/>
          <w:color w:val="auto"/>
        </w:rPr>
      </w:pPr>
      <w:r>
        <w:rPr>
          <w:rFonts w:ascii="Arial" w:cs="Arial" w:eastAsia="Arial" w:hAnsi="Arial"/>
          <w:sz w:val="18"/>
          <w:szCs w:val="18"/>
          <w:color w:val="auto"/>
        </w:rPr>
        <w:t>5.2</w:t>
        <w:tab/>
        <w:t>Completion of Current Capital Increase shall be subject to the Company’s acquisition of the business license after change that reflects the Current Capital Increase.</w:t>
      </w:r>
    </w:p>
    <w:p>
      <w:pPr>
        <w:spacing w:after="0" w:line="186"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As of the Completion Date of Current Capital Increase, the Additional Capital Contributor shall enjoy relevant rights and bear relevant obligations as a Company shareholder based on the ratio of the registered capital it has contributed in accordance with the Laws of China and the Revised Articles of Association.</w:t>
      </w:r>
    </w:p>
    <w:p>
      <w:pPr>
        <w:spacing w:after="0" w:line="18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31" w:lineRule="exact"/>
        <w:rPr>
          <w:rFonts w:ascii="Arial" w:cs="Arial" w:eastAsia="Arial" w:hAnsi="Arial"/>
          <w:sz w:val="18"/>
          <w:szCs w:val="18"/>
          <w:b w:val="1"/>
          <w:bCs w:val="1"/>
          <w:color w:val="auto"/>
        </w:rPr>
      </w:pPr>
    </w:p>
    <w:p>
      <w:pPr>
        <w:ind w:left="820" w:hanging="48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6.1 Either party hereto shall strictly keep confidential and not disclose or use any information pertaining to the following affairs contained hereunder or acquired or obtained out of the negotiation and/or signing of this Agreement:</w:t>
      </w:r>
    </w:p>
    <w:p>
      <w:pPr>
        <w:spacing w:after="0" w:line="185" w:lineRule="exact"/>
        <w:rPr>
          <w:rFonts w:ascii="Arial" w:cs="Arial" w:eastAsia="Arial" w:hAnsi="Arial"/>
          <w:sz w:val="18"/>
          <w:szCs w:val="18"/>
          <w:b w:val="1"/>
          <w:bCs w:val="1"/>
          <w:color w:val="auto"/>
        </w:rPr>
      </w:pPr>
    </w:p>
    <w:p>
      <w:pPr>
        <w:ind w:left="1140" w:hanging="322"/>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existence of this Agreement and its articles;</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Negotiation relating to this Agreement; or</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Business activities of one party hereto or any of its related parties.</w:t>
      </w:r>
    </w:p>
    <w:p>
      <w:pPr>
        <w:spacing w:after="0" w:line="225" w:lineRule="exact"/>
        <w:rPr>
          <w:sz w:val="20"/>
          <w:szCs w:val="20"/>
          <w:color w:val="auto"/>
        </w:rPr>
      </w:pPr>
    </w:p>
    <w:p>
      <w:pPr>
        <w:ind w:left="820" w:hanging="485"/>
        <w:spacing w:after="0" w:line="268" w:lineRule="auto"/>
        <w:tabs>
          <w:tab w:leader="none" w:pos="800" w:val="left"/>
        </w:tabs>
        <w:rPr>
          <w:sz w:val="20"/>
          <w:szCs w:val="20"/>
          <w:color w:val="auto"/>
        </w:rPr>
      </w:pPr>
      <w:r>
        <w:rPr>
          <w:rFonts w:ascii="Arial" w:cs="Arial" w:eastAsia="Arial" w:hAnsi="Arial"/>
          <w:sz w:val="18"/>
          <w:szCs w:val="18"/>
          <w:color w:val="auto"/>
        </w:rPr>
        <w:t>6.2</w:t>
        <w:tab/>
        <w:t>Nevertheless, Article 6 here shall not prohibit the disclosure or use of any information to the following extent when any of the following circumstances is true:</w:t>
      </w:r>
    </w:p>
    <w:p>
      <w:pPr>
        <w:spacing w:after="0" w:line="186" w:lineRule="exact"/>
        <w:rPr>
          <w:sz w:val="20"/>
          <w:szCs w:val="20"/>
          <w:color w:val="auto"/>
        </w:rPr>
      </w:pPr>
    </w:p>
    <w:p>
      <w:pPr>
        <w:ind w:left="1140" w:hanging="322"/>
        <w:spacing w:after="0" w:line="268"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Disclosure or use required by applicable laws, any rules of the stock exchange where the shares of either party are listed or any government organ;</w:t>
      </w:r>
    </w:p>
    <w:p>
      <w:pPr>
        <w:spacing w:after="0" w:line="185" w:lineRule="exact"/>
        <w:rPr>
          <w:rFonts w:ascii="Arial" w:cs="Arial" w:eastAsia="Arial" w:hAnsi="Arial"/>
          <w:sz w:val="18"/>
          <w:szCs w:val="18"/>
          <w:color w:val="auto"/>
        </w:rPr>
      </w:pPr>
    </w:p>
    <w:p>
      <w:pPr>
        <w:ind w:left="1140" w:right="20" w:hanging="322"/>
        <w:spacing w:after="0" w:line="268"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Disclosure or use required for any legal procedure arising out of this Agreement or any other agreement signed hereunder or in accordance with this Agreement, or disclosure that is related to tax affairs of the disclosing party and made to the tax authority;</w:t>
      </w:r>
    </w:p>
    <w:p>
      <w:pPr>
        <w:spacing w:after="0" w:line="185" w:lineRule="exact"/>
        <w:rPr>
          <w:rFonts w:ascii="Arial" w:cs="Arial" w:eastAsia="Arial" w:hAnsi="Arial"/>
          <w:sz w:val="18"/>
          <w:szCs w:val="18"/>
          <w:color w:val="auto"/>
        </w:rPr>
      </w:pPr>
    </w:p>
    <w:p>
      <w:pPr>
        <w:jc w:val="both"/>
        <w:ind w:left="1140" w:hanging="322"/>
        <w:spacing w:after="0" w:line="256"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Disclosure that is made to executives, directors, employees, lawyers, accountants and financial advisors of either party who have the need to know such information for the purpose of achieving the transaction purpose proposed by this Agreement or any agreement signed in accordance with this Agreement as well as other agents or representatives (“representatives”), provided that such representatives undertake to comply with Article 6.1 herein, as if they were a party hereto;</w:t>
      </w:r>
    </w:p>
    <w:p>
      <w:pPr>
        <w:spacing w:after="0" w:line="197" w:lineRule="exact"/>
        <w:rPr>
          <w:rFonts w:ascii="Arial" w:cs="Arial" w:eastAsia="Arial" w:hAnsi="Arial"/>
          <w:sz w:val="18"/>
          <w:szCs w:val="18"/>
          <w:color w:val="auto"/>
        </w:rPr>
      </w:pPr>
    </w:p>
    <w:p>
      <w:pPr>
        <w:ind w:left="1140" w:hanging="322"/>
        <w:spacing w:after="0"/>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Such information is available from the public domain (except a default on the confidentiality agreement (if any) or this Agreement); or</w:t>
      </w:r>
    </w:p>
    <w:p>
      <w:pPr>
        <w:spacing w:after="0" w:line="248" w:lineRule="exact"/>
        <w:rPr>
          <w:rFonts w:ascii="Arial" w:cs="Arial" w:eastAsia="Arial" w:hAnsi="Arial"/>
          <w:sz w:val="16"/>
          <w:szCs w:val="16"/>
          <w:color w:val="auto"/>
        </w:rPr>
      </w:pPr>
    </w:p>
    <w:p>
      <w:pPr>
        <w:ind w:left="1140" w:hanging="322"/>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parties agree with the disclosure or use in writing beforehand.</w:t>
      </w:r>
    </w:p>
    <w:p>
      <w:pPr>
        <w:spacing w:after="0" w:line="21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31" w:lineRule="exact"/>
        <w:rPr>
          <w:sz w:val="20"/>
          <w:szCs w:val="20"/>
          <w:color w:val="auto"/>
        </w:rPr>
      </w:pPr>
    </w:p>
    <w:p>
      <w:pPr>
        <w:ind w:left="820"/>
        <w:spacing w:after="0" w:line="268" w:lineRule="auto"/>
        <w:rPr>
          <w:sz w:val="20"/>
          <w:szCs w:val="20"/>
          <w:color w:val="auto"/>
        </w:rPr>
      </w:pPr>
      <w:r>
        <w:rPr>
          <w:rFonts w:ascii="Arial" w:cs="Arial" w:eastAsia="Arial" w:hAnsi="Arial"/>
          <w:sz w:val="18"/>
          <w:szCs w:val="18"/>
          <w:color w:val="auto"/>
        </w:rPr>
        <w:t>Where either party violates any article hereunder, the defaulting party shall be obligated to indemnify the loss of the other party arising out of such default, and the damage indemnity will not affect the other rights of the innocent party hereunder.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23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8.1   8.1 When any of the following events occurs, this Agreement can be terminated and the transaction proposed hereunder can be waived:</w:t>
      </w:r>
    </w:p>
    <w:p>
      <w:pPr>
        <w:spacing w:after="0" w:line="248" w:lineRule="exact"/>
        <w:rPr>
          <w:rFonts w:ascii="Arial" w:cs="Arial" w:eastAsia="Arial" w:hAnsi="Arial"/>
          <w:sz w:val="18"/>
          <w:szCs w:val="18"/>
          <w:color w:val="auto"/>
        </w:rPr>
      </w:pPr>
    </w:p>
    <w:p>
      <w:pPr>
        <w:ind w:left="1140" w:hanging="322"/>
        <w:spacing w:after="0"/>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Either party commits a substantive default on this Agreement and the innocent party sends a written notice to the defaulting party; or</w:t>
      </w:r>
    </w:p>
    <w:p>
      <w:pPr>
        <w:spacing w:after="0" w:line="248" w:lineRule="exact"/>
        <w:rPr>
          <w:rFonts w:ascii="Arial" w:cs="Arial" w:eastAsia="Arial" w:hAnsi="Arial"/>
          <w:sz w:val="16"/>
          <w:szCs w:val="16"/>
          <w:color w:val="auto"/>
        </w:rPr>
      </w:pPr>
    </w:p>
    <w:p>
      <w:pPr>
        <w:ind w:left="1140" w:hanging="322"/>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Both parties agree in writing to terminate this Agreement.</w:t>
      </w:r>
    </w:p>
    <w:p>
      <w:pPr>
        <w:spacing w:after="0" w:line="22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Effect of termination</w:t>
      </w:r>
    </w:p>
    <w:p>
      <w:pPr>
        <w:spacing w:after="0" w:line="225" w:lineRule="exact"/>
        <w:rPr>
          <w:sz w:val="20"/>
          <w:szCs w:val="20"/>
          <w:color w:val="auto"/>
        </w:rPr>
      </w:pPr>
    </w:p>
    <w:p>
      <w:pPr>
        <w:jc w:val="both"/>
        <w:ind w:left="820"/>
        <w:spacing w:after="0" w:line="256" w:lineRule="auto"/>
        <w:rPr>
          <w:sz w:val="20"/>
          <w:szCs w:val="20"/>
          <w:color w:val="auto"/>
        </w:rPr>
      </w:pPr>
      <w:r>
        <w:rPr>
          <w:rFonts w:ascii="Arial" w:cs="Arial" w:eastAsia="Arial" w:hAnsi="Arial"/>
          <w:sz w:val="18"/>
          <w:szCs w:val="18"/>
          <w:color w:val="auto"/>
        </w:rPr>
        <w:t>Except for the circumstance stated in Article 8.3 below, this Agreement will no longer keep in effect should it be terminated in accordance with the provision of Article 8.1 or applicable law. Nevertheless, either party shall not be relieved of any liability arising or incurred out of its default hereunder or untrue presentation made hereunder, and such termination shall not be regarded as a waiver of any remedy available (including actual performance, if available) against such default or untrue presentation.</w:t>
      </w:r>
    </w:p>
    <w:p>
      <w:pPr>
        <w:spacing w:after="0" w:line="19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Continuation of effect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Articles 6, 7, 8, 9 and 10 of this Agreement shall continue to keep in effect after the termination of this Agreement.</w:t>
      </w:r>
    </w:p>
    <w:p>
      <w:pPr>
        <w:spacing w:after="0" w:line="21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31" w:lineRule="exact"/>
        <w:rPr>
          <w:rFonts w:ascii="Arial" w:cs="Arial" w:eastAsia="Arial" w:hAnsi="Arial"/>
          <w:sz w:val="18"/>
          <w:szCs w:val="18"/>
          <w:b w:val="1"/>
          <w:bCs w:val="1"/>
          <w:color w:val="auto"/>
        </w:rPr>
      </w:pPr>
    </w:p>
    <w:p>
      <w:pPr>
        <w:ind w:left="820" w:hanging="48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9.1 When sending a notice under or in relation to this Agreement, either party hereto shall send it in writing to the following address or email address of the other party (or any other address or email address of the other party indicated through similar notice):</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[Additional Capital Contributor]</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w:t>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ACM Research, Inc.</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 Building 4, 1690 Cai Lun Road, Pudong New District, Shanghai Municipality</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Email:crystal.luo@acmrcsh.com</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Luo Mingzhu</w:t>
      </w:r>
    </w:p>
    <w:p>
      <w:pPr>
        <w:spacing w:after="0" w:line="219" w:lineRule="exact"/>
        <w:rPr>
          <w:sz w:val="20"/>
          <w:szCs w:val="20"/>
          <w:color w:val="auto"/>
        </w:rPr>
      </w:pPr>
    </w:p>
    <w:p>
      <w:pPr>
        <w:jc w:val="both"/>
        <w:ind w:left="820" w:hanging="485"/>
        <w:spacing w:after="0" w:line="256" w:lineRule="auto"/>
        <w:tabs>
          <w:tab w:leader="none" w:pos="800" w:val="left"/>
        </w:tabs>
        <w:rPr>
          <w:sz w:val="20"/>
          <w:szCs w:val="20"/>
          <w:color w:val="auto"/>
        </w:rPr>
      </w:pPr>
      <w:r>
        <w:rPr>
          <w:rFonts w:ascii="Arial" w:cs="Arial" w:eastAsia="Arial" w:hAnsi="Arial"/>
          <w:sz w:val="18"/>
          <w:szCs w:val="18"/>
          <w:color w:val="auto"/>
        </w:rPr>
        <w:t>9.2</w:t>
        <w:tab/>
        <w:t>Any notice shall be considered as delivered within seven (7) working days after posted to the aforesaid address of the recipient, provided it is delivered via the international generally accepted express delivery service. If it is sent by fax or email, it shall be considered as delivered on the first working day after the sending date, but the notice shall be immediately delivered to the recipient for confirmation with the next day delivery service of the generally accepted express delivery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Governing Law &amp; Settlement of Dispute</w:t>
      </w:r>
    </w:p>
    <w:p>
      <w:pPr>
        <w:spacing w:after="0" w:line="23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10.1  The execution, validity, interpretation, performance and settlement of disputes with respect to this Agreement shall be governed by the Laws of China.</w:t>
      </w:r>
    </w:p>
    <w:p>
      <w:pPr>
        <w:spacing w:after="0" w:line="248" w:lineRule="exact"/>
        <w:rPr>
          <w:rFonts w:ascii="Arial" w:cs="Arial" w:eastAsia="Arial" w:hAnsi="Arial"/>
          <w:sz w:val="18"/>
          <w:szCs w:val="18"/>
          <w:color w:val="auto"/>
        </w:rPr>
      </w:pPr>
    </w:p>
    <w:p>
      <w:pPr>
        <w:ind w:left="820" w:hanging="486"/>
        <w:spacing w:after="0" w:line="306" w:lineRule="auto"/>
        <w:rPr>
          <w:rFonts w:ascii="Arial" w:cs="Arial" w:eastAsia="Arial" w:hAnsi="Arial"/>
          <w:sz w:val="18"/>
          <w:szCs w:val="18"/>
          <w:color w:val="auto"/>
        </w:rPr>
      </w:pPr>
      <w:r>
        <w:rPr>
          <w:rFonts w:ascii="Arial" w:cs="Arial" w:eastAsia="Arial" w:hAnsi="Arial"/>
          <w:sz w:val="16"/>
          <w:szCs w:val="16"/>
          <w:color w:val="auto"/>
        </w:rPr>
        <w:t>10.2 The default, termination or invalidity with respect to this Agreement, or any dispute arising out of or in connection with this Agreement shall be submitted to Shanghai International Arbitration Center for arbitration in accordance with then effective arbitration rules of the Center in Shanghai, and the arbitration language is Chinese. The arbitration ruling made by the arbitration court shall be final and legally binding upon both parties hereto.</w:t>
      </w:r>
    </w:p>
    <w:p>
      <w:pPr>
        <w:spacing w:after="0" w:line="154" w:lineRule="exact"/>
        <w:rPr>
          <w:rFonts w:ascii="Arial" w:cs="Arial" w:eastAsia="Arial" w:hAnsi="Arial"/>
          <w:sz w:val="18"/>
          <w:szCs w:val="18"/>
          <w:color w:val="auto"/>
        </w:rPr>
      </w:pPr>
    </w:p>
    <w:p>
      <w:pPr>
        <w:ind w:left="340" w:right="9880" w:hanging="332"/>
        <w:spacing w:after="0" w:line="567" w:lineRule="auto"/>
        <w:tabs>
          <w:tab w:leader="none" w:pos="34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11.1 Validation</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Agreement shall come into effect as of the execution by both parties.</w:t>
      </w:r>
    </w:p>
    <w:p>
      <w:pPr>
        <w:spacing w:after="0" w:line="22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Expenses</w:t>
      </w:r>
    </w:p>
    <w:p>
      <w:pPr>
        <w:spacing w:after="0" w:line="225" w:lineRule="exact"/>
        <w:rPr>
          <w:sz w:val="20"/>
          <w:szCs w:val="20"/>
          <w:color w:val="auto"/>
        </w:rPr>
      </w:pPr>
    </w:p>
    <w:p>
      <w:pPr>
        <w:jc w:val="both"/>
        <w:ind w:left="820"/>
        <w:spacing w:after="0" w:line="268" w:lineRule="auto"/>
        <w:rPr>
          <w:sz w:val="20"/>
          <w:szCs w:val="20"/>
          <w:color w:val="auto"/>
        </w:rPr>
      </w:pPr>
      <w:r>
        <w:rPr>
          <w:rFonts w:ascii="Arial" w:cs="Arial" w:eastAsia="Arial" w:hAnsi="Arial"/>
          <w:sz w:val="18"/>
          <w:szCs w:val="18"/>
          <w:color w:val="auto"/>
        </w:rPr>
        <w:t>Unless otherwise specified herein, both parties hereto shall assume respective legal and other expenses incurred to prepare, negotiate and conclude this Agreement and other Project Documents.</w:t>
      </w:r>
    </w:p>
    <w:p>
      <w:pPr>
        <w:spacing w:after="0" w:line="186"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Modification</w:t>
      </w:r>
    </w:p>
    <w:p>
      <w:pPr>
        <w:spacing w:after="0" w:line="225" w:lineRule="exact"/>
        <w:rPr>
          <w:sz w:val="20"/>
          <w:szCs w:val="20"/>
          <w:color w:val="auto"/>
        </w:rPr>
      </w:pPr>
    </w:p>
    <w:p>
      <w:pPr>
        <w:jc w:val="both"/>
        <w:ind w:left="820" w:right="20"/>
        <w:spacing w:after="0" w:line="268" w:lineRule="auto"/>
        <w:rPr>
          <w:sz w:val="20"/>
          <w:szCs w:val="20"/>
          <w:color w:val="auto"/>
        </w:rPr>
      </w:pPr>
      <w:r>
        <w:rPr>
          <w:rFonts w:ascii="Arial" w:cs="Arial" w:eastAsia="Arial" w:hAnsi="Arial"/>
          <w:sz w:val="18"/>
          <w:szCs w:val="18"/>
          <w:color w:val="auto"/>
        </w:rPr>
        <w:t>Unless otherwise specified hereunder, the revision, modification, waiver, revocation or termination of this Agreement shall be made by both parties by signing a written agreement.</w:t>
      </w:r>
    </w:p>
    <w:p>
      <w:pPr>
        <w:spacing w:after="0" w:line="186"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Without the written consent from the other party, neither party shall transfer any of its rights or obligations under this Agreement.</w:t>
      </w:r>
    </w:p>
    <w:p>
      <w:pPr>
        <w:spacing w:after="0" w:line="225"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jc w:val="both"/>
        <w:ind w:left="820"/>
        <w:spacing w:after="0" w:line="298" w:lineRule="auto"/>
        <w:rPr>
          <w:sz w:val="20"/>
          <w:szCs w:val="20"/>
          <w:color w:val="auto"/>
        </w:rPr>
      </w:pPr>
      <w:r>
        <w:rPr>
          <w:rFonts w:ascii="Arial" w:cs="Arial" w:eastAsia="Arial" w:hAnsi="Arial"/>
          <w:sz w:val="16"/>
          <w:szCs w:val="16"/>
          <w:color w:val="auto"/>
        </w:rPr>
        <w:t>Where any provision of this Agreement is declared illegal, invalid or unenforceable in whole or in part under applicable laws, such provision or part shall, to such extent, not be considered as part of this Agreement, and not affect the legality, validity and enforceability of the remaining part of this Agreement. Both parties shall negotiate with one another to replace the provision regarded as deleted with a provision that is legitimate, valid, acceptable and the most closest to the initial purpose of both parties under this Agreement.</w:t>
      </w:r>
    </w:p>
    <w:p>
      <w:pPr>
        <w:spacing w:after="0" w:line="167"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Waiver</w:t>
      </w:r>
    </w:p>
    <w:p>
      <w:pPr>
        <w:spacing w:after="0" w:line="225"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Any party’s failure to exercise, or delay in the exercise of, any right, power or privilege under this Agreement shall not be regarded as a waiver of such right, power or privilege, while the single or partial exercise of any right, power or privilege shall not hinder the exercise of any other right, power or privilege.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tabs>
          <w:tab w:leader="none" w:pos="4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5"/>
          <w:szCs w:val="15"/>
          <w:color w:val="auto"/>
        </w:rPr>
        <w:t>Language and counterparts</w:t>
      </w:r>
    </w:p>
    <w:p>
      <w:pPr>
        <w:spacing w:after="0" w:line="225" w:lineRule="exact"/>
        <w:rPr>
          <w:sz w:val="20"/>
          <w:szCs w:val="20"/>
          <w:color w:val="auto"/>
        </w:rPr>
      </w:pPr>
    </w:p>
    <w:p>
      <w:pPr>
        <w:ind w:left="480"/>
        <w:spacing w:after="0" w:line="268" w:lineRule="auto"/>
        <w:rPr>
          <w:sz w:val="20"/>
          <w:szCs w:val="20"/>
          <w:color w:val="auto"/>
        </w:rPr>
      </w:pPr>
      <w:r>
        <w:rPr>
          <w:rFonts w:ascii="Arial" w:cs="Arial" w:eastAsia="Arial" w:hAnsi="Arial"/>
          <w:sz w:val="18"/>
          <w:szCs w:val="18"/>
          <w:color w:val="auto"/>
        </w:rPr>
        <w:t>This Agreement is made in Chinese in four (4) counterparts. Either party holds one (1) original, and the other originals are used for approval, filing and registration.</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(No text below)</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347" w:right="2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28"/>
        </w:trPr>
        <w:tc>
          <w:tcPr>
            <w:tcW w:w="4480" w:type="dxa"/>
            <w:vAlign w:val="bottom"/>
          </w:tcPr>
          <w:p>
            <w:pPr>
              <w:spacing w:after="0"/>
              <w:rPr>
                <w:sz w:val="20"/>
                <w:szCs w:val="20"/>
                <w:color w:val="auto"/>
              </w:rPr>
            </w:pPr>
            <w:r>
              <w:rPr>
                <w:rFonts w:ascii="Arial" w:cs="Arial" w:eastAsia="Arial" w:hAnsi="Arial"/>
                <w:sz w:val="18"/>
                <w:szCs w:val="18"/>
                <w:b w:val="1"/>
                <w:bCs w:val="1"/>
                <w:color w:val="auto"/>
              </w:rPr>
              <w:t>Appendix 1: List of Investors</w:t>
            </w:r>
          </w:p>
        </w:tc>
        <w:tc>
          <w:tcPr>
            <w:tcW w:w="32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48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spacing w:after="0"/>
              <w:rPr>
                <w:sz w:val="18"/>
                <w:szCs w:val="18"/>
                <w:color w:val="auto"/>
              </w:rPr>
            </w:pPr>
          </w:p>
        </w:tc>
        <w:tc>
          <w:tcPr>
            <w:tcW w:w="3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Corresponding equity ratio after completion of</w:t>
            </w:r>
          </w:p>
        </w:tc>
        <w:tc>
          <w:tcPr>
            <w:tcW w:w="0" w:type="dxa"/>
            <w:vAlign w:val="bottom"/>
          </w:tcPr>
          <w:p>
            <w:pPr>
              <w:spacing w:after="0"/>
              <w:rPr>
                <w:sz w:val="1"/>
                <w:szCs w:val="1"/>
                <w:color w:val="auto"/>
              </w:rPr>
            </w:pPr>
          </w:p>
        </w:tc>
      </w:tr>
      <w:tr>
        <w:trPr>
          <w:trHeight w:val="195"/>
        </w:trPr>
        <w:tc>
          <w:tcPr>
            <w:tcW w:w="44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Investor’s Name</w:t>
            </w:r>
          </w:p>
        </w:tc>
        <w:tc>
          <w:tcPr>
            <w:tcW w:w="3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Percentage of additional registered capital</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Borders>
              <w:left w:val="single" w:sz="8" w:color="auto"/>
              <w:right w:val="single" w:sz="8" w:color="auto"/>
            </w:tcBorders>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contributed</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0"/>
              </w:rPr>
              <w:t>Current Investment</w:t>
            </w:r>
          </w:p>
        </w:tc>
        <w:tc>
          <w:tcPr>
            <w:tcW w:w="0" w:type="dxa"/>
            <w:vAlign w:val="bottom"/>
          </w:tcPr>
          <w:p>
            <w:pPr>
              <w:spacing w:after="0"/>
              <w:rPr>
                <w:sz w:val="1"/>
                <w:szCs w:val="1"/>
                <w:color w:val="auto"/>
              </w:rPr>
            </w:pPr>
          </w:p>
        </w:tc>
      </w:tr>
      <w:tr>
        <w:trPr>
          <w:trHeight w:val="237"/>
        </w:trPr>
        <w:tc>
          <w:tcPr>
            <w:tcW w:w="448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(RMB)</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Jiaxing Haitong Xuchu Equity Investment Fund Partners</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2,307,692.31</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0.619%</w:t>
            </w: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(Limited Partnership)</w:t>
            </w:r>
          </w:p>
        </w:tc>
        <w:tc>
          <w:tcPr>
            <w:tcW w:w="32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Shanghai GP Lingang Hi-tech Fund Partnership (Limited</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1,923,076.92</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0.516%</w:t>
            </w: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Partnership)</w:t>
            </w:r>
          </w:p>
        </w:tc>
        <w:tc>
          <w:tcPr>
            <w:tcW w:w="32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Wuxi Taihu Guolian Emerging Growth Industry Investment</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1,923,076.92</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0.516%</w:t>
            </w: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Enterprises (Limited Partnership)</w:t>
            </w:r>
          </w:p>
        </w:tc>
        <w:tc>
          <w:tcPr>
            <w:tcW w:w="32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Hai Feng Investment Holding Limited</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1,538,461.54</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0.413%</w:t>
            </w:r>
          </w:p>
        </w:tc>
        <w:tc>
          <w:tcPr>
            <w:tcW w:w="0" w:type="dxa"/>
            <w:vAlign w:val="bottom"/>
          </w:tcPr>
          <w:p>
            <w:pPr>
              <w:spacing w:after="0"/>
              <w:rPr>
                <w:sz w:val="1"/>
                <w:szCs w:val="1"/>
                <w:color w:val="auto"/>
              </w:rPr>
            </w:pPr>
          </w:p>
        </w:tc>
      </w:tr>
      <w:tr>
        <w:trPr>
          <w:trHeight w:val="208"/>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Xinwei (Shanghai) Management Consulting Partners (Limited</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4,756,153.85</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1.276%</w:t>
            </w:r>
          </w:p>
        </w:tc>
        <w:tc>
          <w:tcPr>
            <w:tcW w:w="0" w:type="dxa"/>
            <w:vAlign w:val="bottom"/>
          </w:tcPr>
          <w:p>
            <w:pPr>
              <w:spacing w:after="0"/>
              <w:rPr>
                <w:sz w:val="1"/>
                <w:szCs w:val="1"/>
                <w:color w:val="auto"/>
              </w:rPr>
            </w:pPr>
          </w:p>
        </w:tc>
      </w:tr>
      <w:tr>
        <w:trPr>
          <w:trHeight w:val="23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Partnership)</w:t>
            </w:r>
          </w:p>
        </w:tc>
        <w:tc>
          <w:tcPr>
            <w:tcW w:w="320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12,448,461.54</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-1924685</wp:posOffset>
            </wp:positionV>
            <wp:extent cx="2418080" cy="462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180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ind w:left="1980"/>
        <w:spacing w:after="0"/>
        <w:rPr>
          <w:sz w:val="20"/>
          <w:szCs w:val="20"/>
          <w:color w:val="auto"/>
        </w:rPr>
      </w:pPr>
      <w:r>
        <w:rPr>
          <w:rFonts w:ascii="Arial" w:cs="Arial" w:eastAsia="Arial" w:hAnsi="Arial"/>
          <w:sz w:val="16"/>
          <w:szCs w:val="16"/>
          <w:color w:val="auto"/>
        </w:rPr>
        <w:t>[This page has no text and is the signing page for the Capital Increase Agreement of ACM Research, Inc.]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This Agreement is signed by the duly authorized representatives of both parties on the date indicated on the first page of this Agreement.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Capital Contributor] (Stamp)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FF0000"/>
        </w:rPr>
        <w:t>[stamp]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[handwritten: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 or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[This page has no text and is the signing page for the Capital Increase Agreement of ACM Research,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signed by the duly authorized representatives of both parties on the date indicated on the first page of this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 (Stamp)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FF0000"/>
        </w:rPr>
        <w:t>[stamp]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[handwritten: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HUI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[stamp:]</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[stamp:]</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2" w:name="page53"/>
    <w:bookmarkEnd w:id="52"/>
    <w:p>
      <w:pPr>
        <w:ind w:left="10220"/>
        <w:spacing w:after="0"/>
        <w:rPr>
          <w:sz w:val="20"/>
          <w:szCs w:val="20"/>
          <w:color w:val="auto"/>
        </w:rPr>
      </w:pPr>
      <w:r>
        <w:rPr>
          <w:rFonts w:ascii="Arial" w:cs="Arial" w:eastAsia="Arial" w:hAnsi="Arial"/>
          <w:sz w:val="16"/>
          <w:szCs w:val="16"/>
          <w:b w:val="1"/>
          <w:bCs w:val="1"/>
          <w:color w:val="auto"/>
        </w:rPr>
        <w:t>Exhibit 10.01(a)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identifying agreements substantially identical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form of Capital Increase Agreement filed as Exhibit 10.01 hereto</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Subscribed Capital of ACM</w:t>
            </w: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Research (Shanghai), Inc.</w:t>
            </w:r>
          </w:p>
        </w:tc>
      </w:tr>
      <w:tr>
        <w:trPr>
          <w:trHeight w:val="202"/>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ind w:right="112"/>
              <w:spacing w:after="0" w:line="201" w:lineRule="exact"/>
              <w:rPr>
                <w:sz w:val="20"/>
                <w:szCs w:val="20"/>
                <w:color w:val="auto"/>
              </w:rPr>
            </w:pPr>
            <w:r>
              <w:rPr>
                <w:rFonts w:ascii="Arial" w:cs="Arial" w:eastAsia="Arial" w:hAnsi="Arial"/>
                <w:sz w:val="18"/>
                <w:szCs w:val="18"/>
                <w:b w:val="1"/>
                <w:bCs w:val="1"/>
                <w:color w:val="auto"/>
              </w:rPr>
              <w:t>Purchase</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Investor</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Price (RMB)</w:t>
            </w:r>
          </w:p>
        </w:tc>
        <w:tc>
          <w:tcPr>
            <w:tcW w:w="280" w:type="dxa"/>
            <w:vAlign w:val="bottom"/>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Capital (%)</w:t>
            </w:r>
          </w:p>
        </w:tc>
        <w:tc>
          <w:tcPr>
            <w:tcW w:w="160" w:type="dxa"/>
            <w:vAlign w:val="bottom"/>
            <w:gridSpan w:val="2"/>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Hai Feng Investment Holding Limited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1,538,461.54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Jiaxing Haitong Xuchu Equity Investment Fund Partnership (Limited Partnership)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2,307,692.31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0.619%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Shanghai GP Lingang Hi-tech Fund Partnership (Limited Partnership)</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1,923,076.92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Wuxi Taihu Guolian Emerging Industry Investment Enterprise (Limited Partnership)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1,923,076.92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0.516%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XinGang (Shanghai) Management Consulting Limited Partnership</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727,115.38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XinShi (Shanghai) Management Consulting Limited Partnership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1,781,923.08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XinWei (Shanghai) Management Consulting Limited Partnership</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4,756,153.85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18"/>
                <w:szCs w:val="18"/>
                <w:color w:val="auto"/>
              </w:rPr>
            </w:pPr>
          </w:p>
        </w:tc>
      </w:tr>
      <w:tr>
        <w:trPr>
          <w:trHeight w:val="581"/>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1798955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ACM Research (Shanghai),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Contents</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Article</w:t>
            </w:r>
          </w:p>
        </w:tc>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Listing of the Company</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Repurchase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Restriction on Investors’ Shareholding Ratio</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Options Plan</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Liability for Breach and Indemnity</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Confidentiality</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 &amp; Settlement of Dispute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260" w:type="dxa"/>
            <w:vAlign w:val="bottom"/>
            <w:gridSpan w:val="2"/>
          </w:tcPr>
          <w:p>
            <w:pPr>
              <w:jc w:val="right"/>
              <w:ind w:right="20"/>
              <w:spacing w:after="0"/>
              <w:rPr>
                <w:sz w:val="20"/>
                <w:szCs w:val="20"/>
                <w:color w:val="auto"/>
              </w:rPr>
            </w:pPr>
            <w:r>
              <w:rPr>
                <w:rFonts w:ascii="Arial" w:cs="Arial" w:eastAsia="Arial" w:hAnsi="Arial"/>
                <w:sz w:val="18"/>
                <w:szCs w:val="18"/>
                <w:color w:val="auto"/>
              </w:rPr>
              <w:t>[stamp]</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94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This Agreement (hereafter referred to as “</w:t>
      </w:r>
      <w:r>
        <w:rPr>
          <w:rFonts w:ascii="Arial" w:cs="Arial" w:eastAsia="Arial" w:hAnsi="Arial"/>
          <w:sz w:val="18"/>
          <w:szCs w:val="18"/>
          <w:b w:val="1"/>
          <w:bCs w:val="1"/>
          <w:color w:val="auto"/>
        </w:rPr>
        <w:t>this Agreement</w:t>
      </w:r>
      <w:r>
        <w:rPr>
          <w:rFonts w:ascii="Arial" w:cs="Arial" w:eastAsia="Arial" w:hAnsi="Arial"/>
          <w:sz w:val="18"/>
          <w:szCs w:val="18"/>
          <w:color w:val="auto"/>
        </w:rPr>
        <w:t>”) is signed by and between the following parties in Shanghai on June 12, 2019:</w:t>
      </w:r>
    </w:p>
    <w:p>
      <w:pPr>
        <w:spacing w:after="0" w:line="21" w:lineRule="exact"/>
        <w:rPr>
          <w:sz w:val="20"/>
          <w:szCs w:val="20"/>
          <w:color w:val="auto"/>
        </w:rPr>
      </w:pPr>
    </w:p>
    <w:p>
      <w:pPr>
        <w:jc w:val="both"/>
        <w:ind w:left="340" w:hanging="339"/>
        <w:spacing w:after="0" w:line="281" w:lineRule="auto"/>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b w:val="1"/>
          <w:bCs w:val="1"/>
          <w:color w:val="auto"/>
        </w:rPr>
        <w:t xml:space="preserve">ACM Research (Shanghai), Inc. </w:t>
      </w:r>
      <w:r>
        <w:rPr>
          <w:rFonts w:ascii="Arial" w:cs="Arial" w:eastAsia="Arial" w:hAnsi="Arial"/>
          <w:sz w:val="16"/>
          <w:szCs w:val="16"/>
          <w:color w:val="auto"/>
        </w:rPr>
        <w:t>(hereafter referred to as the “</w:t>
      </w:r>
      <w:r>
        <w:rPr>
          <w:rFonts w:ascii="Arial" w:cs="Arial" w:eastAsia="Arial" w:hAnsi="Arial"/>
          <w:sz w:val="16"/>
          <w:szCs w:val="16"/>
          <w:b w:val="1"/>
          <w:bCs w:val="1"/>
          <w:color w:val="auto"/>
        </w:rPr>
        <w:t>Company</w:t>
      </w:r>
      <w:r>
        <w:rPr>
          <w:rFonts w:ascii="Arial" w:cs="Arial" w:eastAsia="Arial" w:hAnsi="Arial"/>
          <w:sz w:val="16"/>
          <w:szCs w:val="16"/>
          <w:color w:val="auto"/>
        </w:rPr>
        <w:t>”), a limited liability company (Uniform Social Credit Code:</w:t>
      </w:r>
      <w:r>
        <w:rPr>
          <w:rFonts w:ascii="Arial" w:cs="Arial" w:eastAsia="Arial" w:hAnsi="Arial"/>
          <w:sz w:val="16"/>
          <w:szCs w:val="16"/>
          <w:b w:val="1"/>
          <w:bCs w:val="1"/>
          <w:color w:val="auto"/>
        </w:rPr>
        <w:t xml:space="preserve"> </w:t>
      </w:r>
      <w:r>
        <w:rPr>
          <w:rFonts w:ascii="Arial" w:cs="Arial" w:eastAsia="Arial" w:hAnsi="Arial"/>
          <w:sz w:val="16"/>
          <w:szCs w:val="16"/>
          <w:color w:val="auto"/>
        </w:rPr>
        <w:t>91310000774331663A) incorporated and effectively existing in accordance with the laws of the People’s Republic of China (hereafter referred to as “</w:t>
      </w:r>
      <w:r>
        <w:rPr>
          <w:rFonts w:ascii="Arial" w:cs="Arial" w:eastAsia="Arial" w:hAnsi="Arial"/>
          <w:sz w:val="16"/>
          <w:szCs w:val="16"/>
          <w:b w:val="1"/>
          <w:bCs w:val="1"/>
          <w:color w:val="auto"/>
        </w:rPr>
        <w:t>China</w:t>
      </w:r>
      <w:r>
        <w:rPr>
          <w:rFonts w:ascii="Arial" w:cs="Arial" w:eastAsia="Arial" w:hAnsi="Arial"/>
          <w:sz w:val="16"/>
          <w:szCs w:val="16"/>
          <w:color w:val="auto"/>
        </w:rPr>
        <w:t>”, which, for the purpose of this Agreement, excludes the Hong Kong Special Administrative Region, the Macau Special Administrative Region and Taiwan Region), having the registered address at Building 4, 1690 Cai Lun Road, China (Shanghai) Pilot Free Trade Zone; and</w:t>
      </w:r>
    </w:p>
    <w:p>
      <w:pPr>
        <w:spacing w:after="0" w:line="3" w:lineRule="exact"/>
        <w:rPr>
          <w:sz w:val="20"/>
          <w:szCs w:val="20"/>
          <w:color w:val="auto"/>
        </w:rPr>
      </w:pPr>
    </w:p>
    <w:p>
      <w:pPr>
        <w:jc w:val="both"/>
        <w:ind w:left="340" w:hanging="339"/>
        <w:spacing w:after="0" w:line="250" w:lineRule="auto"/>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b w:val="1"/>
          <w:bCs w:val="1"/>
          <w:color w:val="auto"/>
        </w:rPr>
        <w:t xml:space="preserve">[Investor] </w:t>
      </w:r>
      <w:r>
        <w:rPr>
          <w:rFonts w:ascii="Arial" w:cs="Arial" w:eastAsia="Arial" w:hAnsi="Arial"/>
          <w:sz w:val="18"/>
          <w:szCs w:val="18"/>
          <w:color w:val="auto"/>
        </w:rPr>
        <w:t>(hereafter referred to as the “</w:t>
      </w:r>
      <w:r>
        <w:rPr>
          <w:rFonts w:ascii="Arial" w:cs="Arial" w:eastAsia="Arial" w:hAnsi="Arial"/>
          <w:sz w:val="18"/>
          <w:szCs w:val="18"/>
          <w:b w:val="1"/>
          <w:bCs w:val="1"/>
          <w:color w:val="auto"/>
        </w:rPr>
        <w:t>Investor</w:t>
      </w:r>
      <w:r>
        <w:rPr>
          <w:rFonts w:ascii="Arial" w:cs="Arial" w:eastAsia="Arial" w:hAnsi="Arial"/>
          <w:sz w:val="18"/>
          <w:szCs w:val="18"/>
          <w:color w:val="auto"/>
        </w:rPr>
        <w:t>”), a [form of entity] (Uniform Social Credit Code: [●]) established and existing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China, having the registered address at [address].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Investor and the Company are separately referred to as “</w:t>
      </w:r>
      <w:r>
        <w:rPr>
          <w:rFonts w:ascii="Arial" w:cs="Arial" w:eastAsia="Arial" w:hAnsi="Arial"/>
          <w:sz w:val="18"/>
          <w:szCs w:val="18"/>
          <w:b w:val="1"/>
          <w:bCs w:val="1"/>
          <w:color w:val="auto"/>
        </w:rPr>
        <w:t>one party</w:t>
      </w:r>
      <w:r>
        <w:rPr>
          <w:rFonts w:ascii="Arial" w:cs="Arial" w:eastAsia="Arial" w:hAnsi="Arial"/>
          <w:sz w:val="18"/>
          <w:szCs w:val="18"/>
          <w:color w:val="auto"/>
        </w:rPr>
        <w:t>” and collectively referred to as “</w:t>
      </w:r>
      <w:r>
        <w:rPr>
          <w:rFonts w:ascii="Arial" w:cs="Arial" w:eastAsia="Arial" w:hAnsi="Arial"/>
          <w:sz w:val="18"/>
          <w:szCs w:val="18"/>
          <w:b w:val="1"/>
          <w:bCs w:val="1"/>
          <w:color w:val="auto"/>
        </w:rPr>
        <w:t>both parties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 w:lineRule="exact"/>
        <w:rPr>
          <w:sz w:val="20"/>
          <w:szCs w:val="20"/>
          <w:color w:val="auto"/>
        </w:rPr>
      </w:pPr>
    </w:p>
    <w:p>
      <w:pPr>
        <w:jc w:val="both"/>
        <w:ind w:left="340" w:hanging="332"/>
        <w:spacing w:after="0" w:line="281"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the signing date of this Agreement, the Company and the Investor signed relevant capital increase agreement (hereafter referred to as “</w:t>
      </w:r>
      <w:r>
        <w:rPr>
          <w:rFonts w:ascii="Arial" w:cs="Arial" w:eastAsia="Arial" w:hAnsi="Arial"/>
          <w:sz w:val="16"/>
          <w:szCs w:val="16"/>
          <w:b w:val="1"/>
          <w:bCs w:val="1"/>
          <w:color w:val="auto"/>
        </w:rPr>
        <w:t>Capital Increase</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stipulating that the Investor will contribute part of the additional registered capital of the Company, or RMB [amount of additional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subscribed by the Investor], in accordance with the terms and conditions set forth by the Capital Increase Agreement;</w:t>
      </w:r>
    </w:p>
    <w:p>
      <w:pPr>
        <w:spacing w:after="0" w:line="2"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After completion of the Current Investment stated in the Capital Increase Agreement (as defined in the Capital Increase Agreement), ACM Research, Inc. (hereafter referred to as the “</w:t>
      </w:r>
      <w:r>
        <w:rPr>
          <w:rFonts w:ascii="Arial" w:cs="Arial" w:eastAsia="Arial" w:hAnsi="Arial"/>
          <w:sz w:val="16"/>
          <w:szCs w:val="16"/>
          <w:b w:val="1"/>
          <w:bCs w:val="1"/>
          <w:color w:val="auto"/>
        </w:rPr>
        <w:t>Controlling Shareholder</w:t>
      </w:r>
      <w:r>
        <w:rPr>
          <w:rFonts w:ascii="Arial" w:cs="Arial" w:eastAsia="Arial" w:hAnsi="Arial"/>
          <w:sz w:val="16"/>
          <w:szCs w:val="16"/>
          <w:color w:val="auto"/>
        </w:rPr>
        <w:t>” or “</w:t>
      </w:r>
      <w:r>
        <w:rPr>
          <w:rFonts w:ascii="Arial" w:cs="Arial" w:eastAsia="Arial" w:hAnsi="Arial"/>
          <w:sz w:val="16"/>
          <w:szCs w:val="16"/>
          <w:b w:val="1"/>
          <w:bCs w:val="1"/>
          <w:color w:val="auto"/>
        </w:rPr>
        <w:t>ACMR</w:t>
      </w:r>
      <w:r>
        <w:rPr>
          <w:rFonts w:ascii="Arial" w:cs="Arial" w:eastAsia="Arial" w:hAnsi="Arial"/>
          <w:sz w:val="16"/>
          <w:szCs w:val="16"/>
          <w:color w:val="auto"/>
        </w:rPr>
        <w:t>”) will hold 95.99% of the equities of the Company, all the investors (as defined in the Capital Increase Agreement), including the Investor, will hold 3.34% of the equities of the Company, and the Investor will hold [●]% of the equities of the</w:t>
      </w:r>
    </w:p>
    <w:p>
      <w:pPr>
        <w:spacing w:after="0" w:line="38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Listing of the Company</w:t>
      </w:r>
    </w:p>
    <w:p>
      <w:pPr>
        <w:spacing w:after="0" w:line="225" w:lineRule="exact"/>
        <w:rPr>
          <w:rFonts w:ascii="Arial" w:cs="Arial" w:eastAsia="Arial" w:hAnsi="Arial"/>
          <w:sz w:val="18"/>
          <w:szCs w:val="18"/>
          <w:color w:val="auto"/>
        </w:rPr>
      </w:pPr>
    </w:p>
    <w:p>
      <w:pPr>
        <w:jc w:val="both"/>
        <w:ind w:left="340"/>
        <w:spacing w:after="0" w:line="283" w:lineRule="auto"/>
        <w:rPr>
          <w:rFonts w:ascii="Arial" w:cs="Arial" w:eastAsia="Arial" w:hAnsi="Arial"/>
          <w:sz w:val="18"/>
          <w:szCs w:val="18"/>
          <w:color w:val="auto"/>
        </w:rPr>
      </w:pPr>
      <w:r>
        <w:rPr>
          <w:rFonts w:ascii="Arial" w:cs="Arial" w:eastAsia="Arial" w:hAnsi="Arial"/>
          <w:sz w:val="16"/>
          <w:szCs w:val="16"/>
          <w:color w:val="auto"/>
        </w:rPr>
        <w:t>Both parties agree that they will exhaust respective every possible effort to cause and ensure the Company’s completion of the initial public offering and trading at the Science and Technology Innovation Board of Shanghai Stock Exchange (hereafter referred to as the “Exchange”) (hereafter referred to as “Listing”, subject to formal listing and trading of the Company shares at the Exchange) within three (3) years after completion of the Current Investment, and ensure that the valuation of the Company at the time of listing (namely, valuation of the Company in the listing plan as approved by the Exchange and/or China Securities Regulatory Commission (hereafter referred to as “</w:t>
      </w:r>
      <w:r>
        <w:rPr>
          <w:rFonts w:ascii="Arial" w:cs="Arial" w:eastAsia="Arial" w:hAnsi="Arial"/>
          <w:sz w:val="16"/>
          <w:szCs w:val="16"/>
          <w:b w:val="1"/>
          <w:bCs w:val="1"/>
          <w:color w:val="auto"/>
        </w:rPr>
        <w:t>CSRC</w:t>
      </w:r>
      <w:r>
        <w:rPr>
          <w:rFonts w:ascii="Arial" w:cs="Arial" w:eastAsia="Arial" w:hAnsi="Arial"/>
          <w:sz w:val="16"/>
          <w:szCs w:val="16"/>
          <w:color w:val="auto"/>
        </w:rPr>
        <w:t>”)) will be no lower than RMB 5,150 million (unless all the shareholders of the Company agree in one accord to adjust the aforesaid valuation).</w:t>
      </w:r>
    </w:p>
    <w:p>
      <w:pPr>
        <w:spacing w:after="0" w:line="1" w:lineRule="exact"/>
        <w:rPr>
          <w:rFonts w:ascii="Arial" w:cs="Arial" w:eastAsia="Arial" w:hAnsi="Arial"/>
          <w:sz w:val="18"/>
          <w:szCs w:val="18"/>
          <w:color w:val="auto"/>
        </w:rPr>
      </w:pPr>
    </w:p>
    <w:p>
      <w:pPr>
        <w:jc w:val="both"/>
        <w:ind w:left="340"/>
        <w:spacing w:after="0" w:line="250" w:lineRule="auto"/>
        <w:rPr>
          <w:rFonts w:ascii="Arial" w:cs="Arial" w:eastAsia="Arial" w:hAnsi="Arial"/>
          <w:sz w:val="18"/>
          <w:szCs w:val="18"/>
          <w:color w:val="auto"/>
        </w:rPr>
      </w:pPr>
      <w:r>
        <w:rPr>
          <w:rFonts w:ascii="Arial" w:cs="Arial" w:eastAsia="Arial" w:hAnsi="Arial"/>
          <w:sz w:val="18"/>
          <w:szCs w:val="18"/>
          <w:color w:val="auto"/>
        </w:rPr>
        <w:t>Notwithstanding the aforesaid provision, if the Company has not finally realized the listing but the CSRC has decided to consent with the registration of the Company’s listing application upon the expiration of the three-year period as of the completion date of Current Investment (or any other date agreed by the Company, the Controlling Shareholder and all investors, including the Investor, in writing and in one accord after mutual consultation, hereafter referred to as the “</w:t>
      </w:r>
      <w:r>
        <w:rPr>
          <w:rFonts w:ascii="Arial" w:cs="Arial" w:eastAsia="Arial" w:hAnsi="Arial"/>
          <w:sz w:val="18"/>
          <w:szCs w:val="18"/>
          <w:b w:val="1"/>
          <w:bCs w:val="1"/>
          <w:color w:val="auto"/>
        </w:rPr>
        <w:t>Estimated Completion Date of Listing</w:t>
      </w:r>
      <w:r>
        <w:rPr>
          <w:rFonts w:ascii="Arial" w:cs="Arial" w:eastAsia="Arial" w:hAnsi="Arial"/>
          <w:sz w:val="18"/>
          <w:szCs w:val="18"/>
          <w:color w:val="auto"/>
        </w:rPr>
        <w:t>”), the Investor agrees and understands that it will not enjoy the right to require a share repurchase by the Company as described in Article 2 hereto.</w:t>
      </w:r>
    </w:p>
    <w:p>
      <w:pPr>
        <w:spacing w:after="0" w:line="2" w:lineRule="exact"/>
        <w:rPr>
          <w:rFonts w:ascii="Arial" w:cs="Arial" w:eastAsia="Arial" w:hAnsi="Arial"/>
          <w:sz w:val="18"/>
          <w:szCs w:val="18"/>
          <w:color w:val="auto"/>
        </w:rPr>
      </w:pPr>
    </w:p>
    <w:p>
      <w:pPr>
        <w:jc w:val="both"/>
        <w:ind w:left="340"/>
        <w:spacing w:after="0" w:line="252" w:lineRule="auto"/>
        <w:rPr>
          <w:rFonts w:ascii="Arial" w:cs="Arial" w:eastAsia="Arial" w:hAnsi="Arial"/>
          <w:sz w:val="18"/>
          <w:szCs w:val="18"/>
          <w:color w:val="auto"/>
        </w:rPr>
      </w:pPr>
      <w:r>
        <w:rPr>
          <w:rFonts w:ascii="Arial" w:cs="Arial" w:eastAsia="Arial" w:hAnsi="Arial"/>
          <w:sz w:val="18"/>
          <w:szCs w:val="18"/>
          <w:color w:val="auto"/>
        </w:rPr>
        <w:t>Both parties further confirm that the Investor shall not sell or transfer the Company shares it holds in whatever form within one (1) year after the listing date of the Company (or a longer period stipulated by Laws of China or explicitly required by the CSRC or the Exchange). After expiration of the aforesaid period, (i) the Company shares held by the Investor will be tradable without restriction in relevant market, except that shares are forbidden for sale pursuant to mandatory provisions of the Laws of China; (ii) the total common shares issued by the Company shall satisfy minimum public circulation requirement for relevant market, and the aforesaid common shares will be tradable without restriction, except that shares are forbidden for sale pursuant to mandatory provisions of the Laws of China.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w:t>
      </w:r>
    </w:p>
    <w:p>
      <w:pPr>
        <w:spacing w:after="0" w:line="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2.1   Repurchase Options</w:t>
      </w:r>
    </w:p>
    <w:p>
      <w:pPr>
        <w:spacing w:after="0" w:line="9" w:lineRule="exact"/>
        <w:rPr>
          <w:rFonts w:ascii="Arial" w:cs="Arial" w:eastAsia="Arial" w:hAnsi="Arial"/>
          <w:sz w:val="18"/>
          <w:szCs w:val="18"/>
          <w:b w:val="1"/>
          <w:bCs w:val="1"/>
          <w:color w:val="auto"/>
        </w:rPr>
      </w:pPr>
    </w:p>
    <w:p>
      <w:pPr>
        <w:jc w:val="both"/>
        <w:ind w:left="8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Where the Company fails to realize the listing until the Estimated Completion Date of Listing, the Investor shall, within fifteen (15) days (hereafter referred to as “</w:t>
      </w:r>
      <w:r>
        <w:rPr>
          <w:rFonts w:ascii="Arial" w:cs="Arial" w:eastAsia="Arial" w:hAnsi="Arial"/>
          <w:sz w:val="18"/>
          <w:szCs w:val="18"/>
          <w:b w:val="1"/>
          <w:bCs w:val="1"/>
          <w:color w:val="auto"/>
        </w:rPr>
        <w:t>Exercise Period</w:t>
      </w:r>
      <w:r>
        <w:rPr>
          <w:rFonts w:ascii="Arial" w:cs="Arial" w:eastAsia="Arial" w:hAnsi="Arial"/>
          <w:sz w:val="18"/>
          <w:szCs w:val="18"/>
          <w:color w:val="auto"/>
        </w:rPr>
        <w:t>”) as of the Estimated Completion Date of Listing (or date extended in accordance with the provision below), be entitled to notify the Company (hereafter referred to as “</w:t>
      </w:r>
      <w:r>
        <w:rPr>
          <w:rFonts w:ascii="Arial" w:cs="Arial" w:eastAsia="Arial" w:hAnsi="Arial"/>
          <w:sz w:val="18"/>
          <w:szCs w:val="18"/>
          <w:b w:val="1"/>
          <w:bCs w:val="1"/>
          <w:color w:val="auto"/>
        </w:rPr>
        <w:t>Repurchase Notice</w:t>
      </w:r>
      <w:r>
        <w:rPr>
          <w:rFonts w:ascii="Arial" w:cs="Arial" w:eastAsia="Arial" w:hAnsi="Arial"/>
          <w:sz w:val="18"/>
          <w:szCs w:val="18"/>
          <w:color w:val="auto"/>
        </w:rPr>
        <w:t>”) in writing, requiring the Company (to the extent allowed by Laws of China) repurchase all or part of the Company shares then held by the Investor (hereafter referred to as “</w:t>
      </w:r>
      <w:r>
        <w:rPr>
          <w:rFonts w:ascii="Arial" w:cs="Arial" w:eastAsia="Arial" w:hAnsi="Arial"/>
          <w:sz w:val="18"/>
          <w:szCs w:val="18"/>
          <w:b w:val="1"/>
          <w:bCs w:val="1"/>
          <w:color w:val="auto"/>
        </w:rPr>
        <w:t>Proposed Repurchase Shares</w:t>
      </w:r>
      <w:r>
        <w:rPr>
          <w:rFonts w:ascii="Arial" w:cs="Arial" w:eastAsia="Arial" w:hAnsi="Arial"/>
          <w:sz w:val="18"/>
          <w:szCs w:val="18"/>
          <w:color w:val="auto"/>
        </w:rPr>
        <w:t>”) at such price and in such manner as is described in Article 2.2.</w:t>
      </w:r>
    </w:p>
    <w:p>
      <w:pPr>
        <w:spacing w:after="0" w:line="2" w:lineRule="exact"/>
        <w:rPr>
          <w:rFonts w:ascii="Arial" w:cs="Arial" w:eastAsia="Arial" w:hAnsi="Arial"/>
          <w:sz w:val="18"/>
          <w:szCs w:val="18"/>
          <w:b w:val="1"/>
          <w:bCs w:val="1"/>
          <w:color w:val="auto"/>
        </w:rPr>
      </w:pPr>
    </w:p>
    <w:p>
      <w:pPr>
        <w:jc w:val="both"/>
        <w:ind w:left="82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Notwithstanding the preceding provision, if the CSRC has received the registration application document submitted by the Company and is reviewing the document until the Estimated Completion Date of Listing, both parties agree that the starting time of the Exercise Period of the Investor as set forth by Article 2.1 herein shall be extended to the date when the CSRC decides not to register the Company’s registration application or the date when the Company withdraws the registration application document for the current listing.</w:t>
      </w:r>
    </w:p>
    <w:p>
      <w:pPr>
        <w:spacing w:after="0" w:line="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2.2   Repurchase Price and Method</w:t>
      </w:r>
    </w:p>
    <w:p>
      <w:pPr>
        <w:spacing w:after="0" w:line="9" w:lineRule="exact"/>
        <w:rPr>
          <w:rFonts w:ascii="Arial" w:cs="Arial" w:eastAsia="Arial" w:hAnsi="Arial"/>
          <w:sz w:val="18"/>
          <w:szCs w:val="18"/>
          <w:b w:val="1"/>
          <w:bCs w:val="1"/>
          <w:color w:val="auto"/>
        </w:rPr>
      </w:pPr>
    </w:p>
    <w:p>
      <w:pPr>
        <w:ind w:left="82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Unless both parties agree otherwise in writing, the price at which the Company will repurchase the Proposed Repurchase Shares from the Investor in accordance with Article 2.1 above shall be the same as the price of the Current Investment (that is, RMB13 for RMB1 of the registered capital).</w:t>
      </w:r>
    </w:p>
    <w:p>
      <w:pPr>
        <w:spacing w:after="0" w:line="1" w:lineRule="exact"/>
        <w:rPr>
          <w:rFonts w:ascii="Arial" w:cs="Arial" w:eastAsia="Arial" w:hAnsi="Arial"/>
          <w:sz w:val="18"/>
          <w:szCs w:val="18"/>
          <w:b w:val="1"/>
          <w:bCs w:val="1"/>
          <w:color w:val="auto"/>
        </w:rPr>
      </w:pPr>
    </w:p>
    <w:p>
      <w:pPr>
        <w:jc w:val="both"/>
        <w:ind w:left="82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To the extent allowed by Laws of China, the Company shall sign corresponding share repurchase agreement with the Investor, complete the repurchase of the Proposed Repurchase Shares held by the Investor in the form of capital reduction, and pay the repurchase price in full amount for the Proposed Repurchase Shares at the aforesaid price to the Investor within ninety (90) days after the Investor sends a Repurchase Notice (or a longer period agreed by both parties in one accord). The Company shall, within the period prescribed by Laws of China and the Share Repurchase Agreement, complete relevant change registration and filing procedure reflecting the repurchase of the Proposed Repurchase Shares, and the Investor shall take any necessary action (including signing all necessary documents) to help the Company complete relevant procedure.</w:t>
      </w:r>
    </w:p>
    <w:p>
      <w:pPr>
        <w:spacing w:after="0" w:line="4" w:lineRule="exact"/>
        <w:rPr>
          <w:rFonts w:ascii="Arial" w:cs="Arial" w:eastAsia="Arial" w:hAnsi="Arial"/>
          <w:sz w:val="18"/>
          <w:szCs w:val="18"/>
          <w:b w:val="1"/>
          <w:bCs w:val="1"/>
          <w:color w:val="auto"/>
        </w:rPr>
      </w:pPr>
    </w:p>
    <w:p>
      <w:pPr>
        <w:ind w:left="820" w:hanging="486"/>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2.3 The Investor further agrees that where the Company fails to realize the listing until the Estimated Completion Date of Listing (and such failure is not attributable to the Company), and in this event, the Company shall also have the right to notify the Investor in writing within the Exercise Period set forth in Article 2.1 and repurchase all or part of the Company shares then held by the Investor at such price and in such manner as is described in Article 2.2. In this case, the Investor shall take any necessary action (including signing all necessary documents) to help the Company complete relevant procedure.</w:t>
      </w:r>
    </w:p>
    <w:p>
      <w:pPr>
        <w:spacing w:after="0" w:line="2" w:lineRule="exact"/>
        <w:rPr>
          <w:rFonts w:ascii="Arial" w:cs="Arial" w:eastAsia="Arial" w:hAnsi="Arial"/>
          <w:sz w:val="18"/>
          <w:szCs w:val="18"/>
          <w:b w:val="1"/>
          <w:bCs w:val="1"/>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Investors’ Shareholding Ratio</w:t>
      </w:r>
    </w:p>
    <w:p>
      <w:pPr>
        <w:spacing w:after="0" w:line="9" w:lineRule="exact"/>
        <w:rPr>
          <w:rFonts w:ascii="Arial" w:cs="Arial" w:eastAsia="Arial" w:hAnsi="Arial"/>
          <w:sz w:val="18"/>
          <w:szCs w:val="18"/>
          <w:b w:val="1"/>
          <w:bCs w:val="1"/>
          <w:color w:val="auto"/>
        </w:rPr>
      </w:pPr>
    </w:p>
    <w:p>
      <w:pPr>
        <w:jc w:val="both"/>
        <w:ind w:left="34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The Investor agrees and acknowledges that unless obtaining a prior written consent from the Company, the number of the Company’s shares or equities (including shares acquired by the Investor from the secondary market after the Company’s listing) held by the Investor (and its related party and/or persons acting in concert) directly or indirectly shall not exceed 5% of the total registered capital/shares of the Company in whatever situation.</w:t>
      </w:r>
    </w:p>
    <w:p>
      <w:pPr>
        <w:spacing w:after="0" w:line="2" w:lineRule="exact"/>
        <w:rPr>
          <w:rFonts w:ascii="Arial" w:cs="Arial" w:eastAsia="Arial" w:hAnsi="Arial"/>
          <w:sz w:val="18"/>
          <w:szCs w:val="18"/>
          <w:b w:val="1"/>
          <w:bCs w:val="1"/>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Options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jc w:val="both"/>
        <w:ind w:left="340"/>
        <w:spacing w:after="0" w:line="282" w:lineRule="auto"/>
        <w:rPr>
          <w:sz w:val="20"/>
          <w:szCs w:val="20"/>
          <w:color w:val="auto"/>
        </w:rPr>
      </w:pPr>
      <w:r>
        <w:rPr>
          <w:rFonts w:ascii="Arial" w:cs="Arial" w:eastAsia="Arial" w:hAnsi="Arial"/>
          <w:sz w:val="16"/>
          <w:szCs w:val="16"/>
          <w:color w:val="auto"/>
        </w:rPr>
        <w:t>For the purpose of stimulating employees of the Company, the Investor will agree and acknowledge that after completing the Current Investment, the Company will further determine the options incentive plan (hereafter referred to as the “</w:t>
      </w:r>
      <w:r>
        <w:rPr>
          <w:rFonts w:ascii="Arial" w:cs="Arial" w:eastAsia="Arial" w:hAnsi="Arial"/>
          <w:sz w:val="16"/>
          <w:szCs w:val="16"/>
          <w:b w:val="1"/>
          <w:bCs w:val="1"/>
          <w:color w:val="auto"/>
        </w:rPr>
        <w:t>Employee Options Plan</w:t>
      </w:r>
      <w:r>
        <w:rPr>
          <w:rFonts w:ascii="Arial" w:cs="Arial" w:eastAsia="Arial" w:hAnsi="Arial"/>
          <w:sz w:val="16"/>
          <w:szCs w:val="16"/>
          <w:color w:val="auto"/>
        </w:rPr>
        <w:t>”) declared by the Company before listing and implementing after listing in accordance with the Listing Rules of Shanghai Stock Exchange for Science and Technology Innovation Board, other applicable laws and regulations pertaining to listing. Subject to concrete provisions of applicable laws and regulations, the total size of the Employee Options Plan shall be no higher than RMB 13,906,000 and have an award price of RMB 10.4/share. For the aforesaid purpose, the Investor shall agree to take any necessary action (including without limitation to voting on and adopting relevant proposal, helping sign relevant necessary document and helping complete all necessary registration procedures in relevant internal resolution procedure of the Company) and cooperate with the Company to cause the formulation and implementation of concrete scheme for the Employee Options Plan.</w:t>
      </w:r>
    </w:p>
    <w:p>
      <w:pPr>
        <w:spacing w:after="0" w:line="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Breach and Indemnity</w:t>
      </w:r>
    </w:p>
    <w:p>
      <w:pPr>
        <w:spacing w:after="0" w:line="9" w:lineRule="exact"/>
        <w:rPr>
          <w:rFonts w:ascii="Arial" w:cs="Arial" w:eastAsia="Arial" w:hAnsi="Arial"/>
          <w:sz w:val="18"/>
          <w:szCs w:val="18"/>
          <w:b w:val="1"/>
          <w:bCs w:val="1"/>
          <w:color w:val="auto"/>
        </w:rPr>
      </w:pPr>
    </w:p>
    <w:p>
      <w:pPr>
        <w:ind w:left="3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Where either party violates any article hereunder, the defaulting party shall be obligated to indemnify the loss of the other party arising out of such default, and the damage indemnity will not affect the other rights of the innocent party hereunder.</w:t>
      </w: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9" w:lineRule="exact"/>
        <w:rPr>
          <w:rFonts w:ascii="Arial" w:cs="Arial" w:eastAsia="Arial" w:hAnsi="Arial"/>
          <w:sz w:val="18"/>
          <w:szCs w:val="18"/>
          <w:b w:val="1"/>
          <w:bCs w:val="1"/>
          <w:color w:val="auto"/>
        </w:rPr>
      </w:pPr>
    </w:p>
    <w:p>
      <w:pPr>
        <w:jc w:val="both"/>
        <w:ind w:left="3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Without the prior written consent from the other party, either party shall not, and cause respective related party, advisor and representative not to, disclose this Agreement and any article hereof to any third person, unless (i) any party or related party requires corresponding disclosure in accordance with relevant applicable laws/regulations or regulatory requirement; (ii) either party makes necessary disclosure to its agent or advisor on condition that such agent and advisor will keep confidential the aforesaid disclosure content.</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9" w:lineRule="exact"/>
        <w:rPr>
          <w:rFonts w:ascii="Arial" w:cs="Arial" w:eastAsia="Arial" w:hAnsi="Arial"/>
          <w:sz w:val="18"/>
          <w:szCs w:val="18"/>
          <w:b w:val="1"/>
          <w:bCs w:val="1"/>
          <w:color w:val="auto"/>
        </w:rPr>
      </w:pPr>
    </w:p>
    <w:p>
      <w:pPr>
        <w:ind w:left="820" w:hanging="486"/>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7.1 When sending a notice under or in relation to this Agreement, either party hereto shall send it in writing to the following address, fax number or email address of the other party (or any other address, fax number or email address of the other party indicated through similar notice):</w:t>
      </w:r>
    </w:p>
    <w:p>
      <w:pPr>
        <w:spacing w:after="0" w:line="1"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Company</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Address: Building 4, 1690 Cai Lun Road, Pudong New District, Shanghai Municipality</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Email: crystal.luo@acmrcsh.com</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Attention: Luo Mingzhu</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[Investor]</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Address:</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Email:</w:t>
      </w:r>
    </w:p>
    <w:p>
      <w:pPr>
        <w:spacing w:after="0" w:line="9"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color w:val="auto"/>
        </w:rPr>
        <w:t>Attention:</w:t>
      </w:r>
    </w:p>
    <w:p>
      <w:pPr>
        <w:spacing w:after="0" w:line="9" w:lineRule="exact"/>
        <w:rPr>
          <w:rFonts w:ascii="Arial" w:cs="Arial" w:eastAsia="Arial" w:hAnsi="Arial"/>
          <w:sz w:val="18"/>
          <w:szCs w:val="18"/>
          <w:b w:val="1"/>
          <w:bCs w:val="1"/>
          <w:color w:val="auto"/>
        </w:rPr>
      </w:pPr>
    </w:p>
    <w:p>
      <w:pPr>
        <w:ind w:left="820" w:hanging="486"/>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7.2 If it is sent by fax or email, it shall be considered as delivered on the first working day after the sending date, but the notice shall be immediately delivered to the recipient for confirmation with the next day delivery service of the generally accepted express delivery company. If it is sent by fax or email, it shall be considered as delivered on the first working day after the sending date, but the notice shall be immediately delivered to the recipient for confirmation with the next day delivery service of the generally accepted express delivery company.</w:t>
      </w:r>
    </w:p>
    <w:p>
      <w:pPr>
        <w:spacing w:after="0" w:line="2" w:lineRule="exact"/>
        <w:rPr>
          <w:rFonts w:ascii="Arial" w:cs="Arial" w:eastAsia="Arial" w:hAnsi="Arial"/>
          <w:sz w:val="18"/>
          <w:szCs w:val="18"/>
          <w:b w:val="1"/>
          <w:bCs w:val="1"/>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Settlement of Dispute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8" w:name="page59"/>
    <w:bookmarkEnd w:id="58"/>
    <w:p>
      <w:pPr>
        <w:ind w:left="332"/>
        <w:spacing w:after="0"/>
        <w:tabs>
          <w:tab w:leader="none" w:pos="79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color w:val="auto"/>
        </w:rPr>
        <w:t>The execution, validity, interpretation, performance and settlement of disputes with respect to this Agreement shall be governed by the Laws of China.</w:t>
      </w:r>
    </w:p>
    <w:p>
      <w:pPr>
        <w:spacing w:after="0" w:line="15" w:lineRule="exact"/>
        <w:rPr>
          <w:sz w:val="20"/>
          <w:szCs w:val="20"/>
          <w:color w:val="auto"/>
        </w:rPr>
      </w:pPr>
    </w:p>
    <w:p>
      <w:pPr>
        <w:jc w:val="both"/>
        <w:ind w:left="812" w:hanging="485"/>
        <w:spacing w:after="0" w:line="281" w:lineRule="auto"/>
        <w:tabs>
          <w:tab w:leader="none" w:pos="79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 xml:space="preserve">The default, termination or invalidity with respect to this Agreement, or any dispute arising out of or in connection with this Agreement shall be submitted to Shanghai International Arbitration Center for arbitration in accordance with then effective arbitration rules of the Center in Shanghai, and the arbitration language is </w:t>
      </w:r>
      <w:r>
        <w:rPr>
          <w:rFonts w:ascii="Arial" w:cs="Arial" w:eastAsia="Arial" w:hAnsi="Arial"/>
          <w:sz w:val="16"/>
          <w:szCs w:val="16"/>
          <w:b w:val="1"/>
          <w:bCs w:val="1"/>
          <w:color w:val="auto"/>
        </w:rPr>
        <w:t>Chinese</w:t>
      </w:r>
      <w:r>
        <w:rPr>
          <w:rFonts w:ascii="Arial" w:cs="Arial" w:eastAsia="Arial" w:hAnsi="Arial"/>
          <w:sz w:val="16"/>
          <w:szCs w:val="16"/>
          <w:color w:val="auto"/>
        </w:rPr>
        <w:t>. The arbitration ruling made by the arbitration court shall be final and legally binding upon both parties hereto.</w:t>
      </w:r>
    </w:p>
    <w:p>
      <w:pPr>
        <w:spacing w:after="0" w:line="2" w:lineRule="exact"/>
        <w:rPr>
          <w:sz w:val="20"/>
          <w:szCs w:val="20"/>
          <w:color w:val="auto"/>
        </w:rPr>
      </w:pPr>
    </w:p>
    <w:p>
      <w:pPr>
        <w:ind w:left="332" w:hanging="332"/>
        <w:spacing w:after="0"/>
        <w:tabs>
          <w:tab w:leader="none" w:pos="332"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9"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9.1   Validity and Termination</w:t>
      </w:r>
    </w:p>
    <w:p>
      <w:pPr>
        <w:spacing w:after="0" w:line="9" w:lineRule="exact"/>
        <w:rPr>
          <w:rFonts w:ascii="Arial" w:cs="Arial" w:eastAsia="Arial" w:hAnsi="Arial"/>
          <w:sz w:val="18"/>
          <w:szCs w:val="18"/>
          <w:color w:val="auto"/>
        </w:rPr>
      </w:pPr>
    </w:p>
    <w:p>
      <w:pPr>
        <w:ind w:left="812" w:right="20"/>
        <w:spacing w:after="0" w:line="281" w:lineRule="auto"/>
        <w:rPr>
          <w:rFonts w:ascii="Arial" w:cs="Arial" w:eastAsia="Arial" w:hAnsi="Arial"/>
          <w:sz w:val="18"/>
          <w:szCs w:val="18"/>
          <w:color w:val="auto"/>
        </w:rPr>
      </w:pPr>
      <w:r>
        <w:rPr>
          <w:rFonts w:ascii="Arial" w:cs="Arial" w:eastAsia="Arial" w:hAnsi="Arial"/>
          <w:sz w:val="16"/>
          <w:szCs w:val="16"/>
          <w:color w:val="auto"/>
        </w:rPr>
        <w:t>This Annotation shall take effect as of the Completion Date under the Capital Increase Agreement after duly signed by both parties and be automatically terminated on the date when the Company formally submits the listing registration application document to the Exchange.</w:t>
      </w:r>
    </w:p>
    <w:p>
      <w:pPr>
        <w:spacing w:after="0" w:line="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9.2   Modification</w:t>
      </w:r>
    </w:p>
    <w:p>
      <w:pPr>
        <w:spacing w:after="0" w:line="9" w:lineRule="exact"/>
        <w:rPr>
          <w:rFonts w:ascii="Arial" w:cs="Arial" w:eastAsia="Arial" w:hAnsi="Arial"/>
          <w:sz w:val="18"/>
          <w:szCs w:val="18"/>
          <w:color w:val="auto"/>
        </w:rPr>
      </w:pPr>
    </w:p>
    <w:p>
      <w:pPr>
        <w:ind w:left="332" w:right="2280" w:firstLine="486"/>
        <w:spacing w:after="0" w:line="250" w:lineRule="auto"/>
        <w:rPr>
          <w:rFonts w:ascii="Arial" w:cs="Arial" w:eastAsia="Arial" w:hAnsi="Arial"/>
          <w:sz w:val="18"/>
          <w:szCs w:val="18"/>
          <w:color w:val="auto"/>
        </w:rPr>
      </w:pPr>
      <w:r>
        <w:rPr>
          <w:rFonts w:ascii="Arial" w:cs="Arial" w:eastAsia="Arial" w:hAnsi="Arial"/>
          <w:sz w:val="18"/>
          <w:szCs w:val="18"/>
          <w:color w:val="auto"/>
        </w:rPr>
        <w:t>Any revision or modification made to this Agreement shall take effect only after both parties sign a written agreement. 9.3 Assignment</w:t>
      </w:r>
    </w:p>
    <w:p>
      <w:pPr>
        <w:ind w:left="332" w:right="1100" w:firstLine="486"/>
        <w:spacing w:after="0" w:line="250" w:lineRule="auto"/>
        <w:rPr>
          <w:rFonts w:ascii="Arial" w:cs="Arial" w:eastAsia="Arial" w:hAnsi="Arial"/>
          <w:sz w:val="18"/>
          <w:szCs w:val="18"/>
          <w:color w:val="auto"/>
        </w:rPr>
      </w:pPr>
      <w:r>
        <w:rPr>
          <w:rFonts w:ascii="Arial" w:cs="Arial" w:eastAsia="Arial" w:hAnsi="Arial"/>
          <w:sz w:val="18"/>
          <w:szCs w:val="18"/>
          <w:color w:val="auto"/>
        </w:rPr>
        <w:t>Without the written consent from the other two parties, neither party shall transfer any of its rights or obligations under this Agreement. 9.4 Severability</w:t>
      </w:r>
    </w:p>
    <w:p>
      <w:pPr>
        <w:jc w:val="both"/>
        <w:ind w:left="812"/>
        <w:spacing w:after="0" w:line="281" w:lineRule="auto"/>
        <w:rPr>
          <w:rFonts w:ascii="Arial" w:cs="Arial" w:eastAsia="Arial" w:hAnsi="Arial"/>
          <w:sz w:val="18"/>
          <w:szCs w:val="18"/>
          <w:color w:val="auto"/>
        </w:rPr>
      </w:pPr>
      <w:r>
        <w:rPr>
          <w:rFonts w:ascii="Arial" w:cs="Arial" w:eastAsia="Arial" w:hAnsi="Arial"/>
          <w:sz w:val="16"/>
          <w:szCs w:val="16"/>
          <w:color w:val="auto"/>
        </w:rPr>
        <w:t>Where any provision of this Agreement is declared illegal, invalid or unenforceable in whole or in part under applicable laws, such provision or part shall, to such extent, not be considered as part of this Agreement, and not affect the legality, validity and enforceability of the remaining part of this Agreement. Both parties shall negotiate with one another to replace the provision regarded as deleted with a provision that is legitimate, valid, acceptable and the most closest to the initial purpose of both parties under this Agreement.</w:t>
      </w:r>
    </w:p>
    <w:p>
      <w:pPr>
        <w:spacing w:after="0" w:line="2"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9.5   Waiver</w:t>
      </w:r>
    </w:p>
    <w:p>
      <w:pPr>
        <w:spacing w:after="0" w:line="9" w:lineRule="exact"/>
        <w:rPr>
          <w:rFonts w:ascii="Arial" w:cs="Arial" w:eastAsia="Arial" w:hAnsi="Arial"/>
          <w:sz w:val="18"/>
          <w:szCs w:val="18"/>
          <w:color w:val="auto"/>
        </w:rPr>
      </w:pPr>
    </w:p>
    <w:p>
      <w:pPr>
        <w:jc w:val="both"/>
        <w:ind w:left="812"/>
        <w:spacing w:after="0" w:line="250" w:lineRule="auto"/>
        <w:rPr>
          <w:rFonts w:ascii="Arial" w:cs="Arial" w:eastAsia="Arial" w:hAnsi="Arial"/>
          <w:sz w:val="18"/>
          <w:szCs w:val="18"/>
          <w:color w:val="auto"/>
        </w:rPr>
      </w:pPr>
      <w:r>
        <w:rPr>
          <w:rFonts w:ascii="Arial" w:cs="Arial" w:eastAsia="Arial" w:hAnsi="Arial"/>
          <w:sz w:val="18"/>
          <w:szCs w:val="18"/>
          <w:color w:val="auto"/>
        </w:rPr>
        <w:t>Any party’s failure to exercise, or delay in the exercise of, any right, power or privilege under this Agreement shall not be regarded as a waiver of such right, power or privilege, while the single or partial exercise of any right, power or privilege shall not hinder the exercise of any other right, power or privilege.</w:t>
      </w:r>
    </w:p>
    <w:p>
      <w:pPr>
        <w:spacing w:after="0" w:line="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9.6   Language and counterparts</w:t>
      </w:r>
    </w:p>
    <w:p>
      <w:pPr>
        <w:spacing w:after="0" w:line="9" w:lineRule="exact"/>
        <w:rPr>
          <w:rFonts w:ascii="Arial" w:cs="Arial" w:eastAsia="Arial" w:hAnsi="Arial"/>
          <w:sz w:val="18"/>
          <w:szCs w:val="18"/>
          <w:color w:val="auto"/>
        </w:rPr>
      </w:pPr>
    </w:p>
    <w:p>
      <w:pPr>
        <w:ind w:left="812"/>
        <w:spacing w:after="0"/>
        <w:rPr>
          <w:rFonts w:ascii="Arial" w:cs="Arial" w:eastAsia="Arial" w:hAnsi="Arial"/>
          <w:sz w:val="18"/>
          <w:szCs w:val="18"/>
          <w:color w:val="auto"/>
        </w:rPr>
      </w:pPr>
      <w:r>
        <w:rPr>
          <w:rFonts w:ascii="Arial" w:cs="Arial" w:eastAsia="Arial" w:hAnsi="Arial"/>
          <w:sz w:val="18"/>
          <w:szCs w:val="18"/>
          <w:color w:val="auto"/>
        </w:rPr>
        <w:t>This Agreement is made in Chinese in two (2) counterparts, which is held by one (1) counterpart respectively.</w:t>
      </w:r>
    </w:p>
    <w:p>
      <w:pPr>
        <w:spacing w:after="0" w:line="2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[No text below]</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63"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[This page has no text and is a signing page for the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signed by the duly authorized representatives of both parties on the date indicated on the first page of this Agreement.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ACM Research (Shanghai), Inc. (Stamp)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Signature: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HUI WANG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rPr>
        <w:t>[stamp] ACM Research (Shanghai),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[stamp:]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[This page has no text and is a signing page for the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signed by the duly authorized representatives of both parties on the date indicated on the first page of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FF0000"/>
        </w:rPr>
        <w:t>[stamp]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[stamp:]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61" w:name="page62"/>
    <w:bookmarkEnd w:id="61"/>
    <w:p>
      <w:pPr>
        <w:ind w:left="10220"/>
        <w:spacing w:after="0"/>
        <w:rPr>
          <w:sz w:val="20"/>
          <w:szCs w:val="20"/>
          <w:color w:val="auto"/>
        </w:rPr>
      </w:pPr>
      <w:r>
        <w:rPr>
          <w:rFonts w:ascii="Arial" w:cs="Arial" w:eastAsia="Arial" w:hAnsi="Arial"/>
          <w:sz w:val="16"/>
          <w:szCs w:val="16"/>
          <w:b w:val="1"/>
          <w:bCs w:val="1"/>
          <w:color w:val="auto"/>
        </w:rPr>
        <w:t>Exhibit 10.02(a)</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identifying agreements substantially identical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form of Agreement filed as Exhibit 10.02 hereto</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Subscribed Capital of ACM</w:t>
            </w: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Research (Shanghai), Inc.</w:t>
            </w:r>
          </w:p>
        </w:tc>
      </w:tr>
      <w:tr>
        <w:trPr>
          <w:trHeight w:val="202"/>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jc w:val="right"/>
              <w:ind w:right="112"/>
              <w:spacing w:after="0" w:line="201" w:lineRule="exact"/>
              <w:rPr>
                <w:sz w:val="20"/>
                <w:szCs w:val="20"/>
                <w:color w:val="auto"/>
              </w:rPr>
            </w:pPr>
            <w:r>
              <w:rPr>
                <w:rFonts w:ascii="Arial" w:cs="Arial" w:eastAsia="Arial" w:hAnsi="Arial"/>
                <w:sz w:val="18"/>
                <w:szCs w:val="18"/>
                <w:b w:val="1"/>
                <w:bCs w:val="1"/>
                <w:color w:val="auto"/>
              </w:rPr>
              <w:t>Purchase</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68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Investor</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Price (RMB)</w:t>
            </w:r>
          </w:p>
        </w:tc>
        <w:tc>
          <w:tcPr>
            <w:tcW w:w="280" w:type="dxa"/>
            <w:vAlign w:val="bottom"/>
          </w:tcPr>
          <w:p>
            <w:pPr>
              <w:spacing w:after="0"/>
              <w:rPr>
                <w:sz w:val="20"/>
                <w:szCs w:val="20"/>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Capital (%)</w:t>
            </w:r>
          </w:p>
        </w:tc>
        <w:tc>
          <w:tcPr>
            <w:tcW w:w="160" w:type="dxa"/>
            <w:vAlign w:val="bottom"/>
            <w:gridSpan w:val="2"/>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Hai Feng Investment Holding Limited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1,538,461.54</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Jiaxing Haitong Xuchu Equity Investment Fund Partnership (Limited Partnership)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2,307,692.31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0.619%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Shanghai GP Lingang Hi-tech Fund Partnership (Limited Partnership)</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1,923,076.92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Wuxi Taihu Guolian Emerging Industry Investment Enterprise (Limited Partnership)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1,923,076.92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0.516%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XinGang (Shanghai) Management Consulting Limited Partnership</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727,115.38</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XinShi (Shanghai) Management Consulting Limited Partnership</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1,781,923.08</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XinWei (Shanghai) Management Consulting Limited Partnership</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4,756,153.85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18"/>
                <w:szCs w:val="18"/>
                <w:color w:val="auto"/>
              </w:rPr>
            </w:pPr>
          </w:p>
        </w:tc>
      </w:tr>
      <w:tr>
        <w:trPr>
          <w:trHeight w:val="581"/>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David H. Wang, certify that:</w:t>
      </w:r>
    </w:p>
    <w:p>
      <w:pPr>
        <w:spacing w:after="0" w:line="225"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Form 10-Q of ACM Research, Inc.</w:t>
      </w:r>
    </w:p>
    <w:p>
      <w:pPr>
        <w:spacing w:after="0" w:line="225" w:lineRule="exact"/>
        <w:rPr>
          <w:rFonts w:ascii="Arial" w:cs="Arial" w:eastAsia="Arial" w:hAnsi="Arial"/>
          <w:sz w:val="18"/>
          <w:szCs w:val="18"/>
          <w:color w:val="auto"/>
        </w:rPr>
      </w:pPr>
    </w:p>
    <w:p>
      <w:pPr>
        <w:ind w:right="200" w:firstLine="8"/>
        <w:spacing w:after="0" w:line="332" w:lineRule="auto"/>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280" w:firstLine="8"/>
        <w:spacing w:after="0" w:line="268"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40" w:firstLine="8"/>
        <w:spacing w:after="0" w:line="259"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660" w:right="60" w:hanging="4"/>
        <w:spacing w:after="0" w:line="259" w:lineRule="auto"/>
        <w:tabs>
          <w:tab w:leader="none" w:pos="9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660" w:right="80" w:hanging="4"/>
        <w:spacing w:after="0" w:line="259" w:lineRule="auto"/>
        <w:tabs>
          <w:tab w:leader="none" w:pos="9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660" w:right="140" w:hanging="4"/>
        <w:spacing w:after="0" w:line="332" w:lineRule="auto"/>
        <w:tabs>
          <w:tab w:leader="none" w:pos="899"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sz w:val="20"/>
          <w:szCs w:val="20"/>
          <w:color w:val="auto"/>
        </w:rPr>
      </w:pPr>
    </w:p>
    <w:p>
      <w:pPr>
        <w:ind w:left="660" w:right="140" w:hanging="4"/>
        <w:spacing w:after="0" w:line="259" w:lineRule="auto"/>
        <w:tabs>
          <w:tab w:leader="none" w:pos="9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right="40" w:firstLine="8"/>
        <w:spacing w:after="0" w:line="268"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660" w:right="20" w:hanging="4"/>
        <w:spacing w:after="0" w:line="268" w:lineRule="auto"/>
        <w:tabs>
          <w:tab w:leader="none" w:pos="9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Lisa Feng, certify that:</w:t>
      </w:r>
    </w:p>
    <w:p>
      <w:pPr>
        <w:spacing w:after="0" w:line="225"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ACM Research, Inc.</w:t>
      </w:r>
    </w:p>
    <w:p>
      <w:pPr>
        <w:spacing w:after="0" w:line="225" w:lineRule="exact"/>
        <w:rPr>
          <w:rFonts w:ascii="Arial" w:cs="Arial" w:eastAsia="Arial" w:hAnsi="Arial"/>
          <w:sz w:val="18"/>
          <w:szCs w:val="18"/>
          <w:color w:val="auto"/>
        </w:rPr>
      </w:pPr>
    </w:p>
    <w:p>
      <w:pPr>
        <w:ind w:right="200" w:firstLine="8"/>
        <w:spacing w:after="0" w:line="332" w:lineRule="auto"/>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280" w:firstLine="8"/>
        <w:spacing w:after="0" w:line="268"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40" w:firstLine="8"/>
        <w:spacing w:after="0" w:line="259"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660" w:right="60" w:hanging="4"/>
        <w:spacing w:after="0" w:line="259" w:lineRule="auto"/>
        <w:tabs>
          <w:tab w:leader="none" w:pos="9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660" w:right="80" w:hanging="4"/>
        <w:spacing w:after="0" w:line="259" w:lineRule="auto"/>
        <w:tabs>
          <w:tab w:leader="none" w:pos="90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660" w:right="80" w:hanging="4"/>
        <w:spacing w:after="0" w:line="332" w:lineRule="auto"/>
        <w:tabs>
          <w:tab w:leader="none" w:pos="94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660" w:right="120" w:hanging="4"/>
        <w:spacing w:after="0" w:line="259" w:lineRule="auto"/>
        <w:tabs>
          <w:tab w:leader="none" w:pos="9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 w:firstLine="8"/>
        <w:spacing w:after="0" w:line="268"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8"/>
          <w:szCs w:val="18"/>
          <w:color w:val="auto"/>
        </w:rPr>
      </w:pPr>
    </w:p>
    <w:p>
      <w:pPr>
        <w:ind w:left="660" w:right="20" w:hanging="4"/>
        <w:spacing w:after="0" w:line="268" w:lineRule="auto"/>
        <w:tabs>
          <w:tab w:leader="none" w:pos="94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40" w:hanging="284"/>
        <w:spacing w:after="0"/>
        <w:tabs>
          <w:tab w:leader="none" w:pos="9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5"/>
          <w:szCs w:val="15"/>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 Chief Accounting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on Form 10-Q of ACM Research, Inc. for the quarterly period ended June 30, 2019, as filed with the Securities and Exchange Commission on the date hereof (the “Report”), each of the undersigned certifies, pursuant to 18 U.S.C. Section 1350, as adopted pursuant to Section 906 of the Sarbanes-Oxley Act of 2002, that, to his knowledge on the date hereof:</w:t>
      </w:r>
    </w:p>
    <w:p>
      <w:pPr>
        <w:spacing w:after="0" w:line="194"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80" w:firstLine="8"/>
        <w:spacing w:after="0" w:line="268" w:lineRule="auto"/>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ACM Research, Inc. for the period presented therein.</w:t>
      </w:r>
    </w:p>
    <w:p>
      <w:pPr>
        <w:spacing w:after="0" w:line="18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6"/>
          <w:szCs w:val="16"/>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9, 2019</w:t>
      </w:r>
      <w:r>
        <w:rPr>
          <w:sz w:val="20"/>
          <w:szCs w:val="20"/>
          <w:color w:val="auto"/>
        </w:rPr>
        <w:tab/>
      </w:r>
      <w:r>
        <w:rPr>
          <w:rFonts w:ascii="Arial" w:cs="Arial" w:eastAsia="Arial" w:hAnsi="Arial"/>
          <w:sz w:val="15"/>
          <w:szCs w:val="15"/>
          <w:color w:val="auto"/>
        </w:rPr>
        <w:t>/s/ Lisa 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6874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Lisa Feng</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 Chief Accounting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upperLetter"/>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decimal"/>
      <w:start w:val="1"/>
    </w:lvl>
    <w:lvl w:ilvl="1">
      <w:lvlJc w:val="left"/>
      <w:lvlText w:val="(%2)"/>
      <w:numFmt w:val="lowerLetter"/>
      <w:start w:val="2"/>
    </w:lvl>
  </w:abstractNum>
  <w:abstractNum w:abstractNumId="19">
    <w:nsid w:val="8138641"/>
    <w:multiLevelType w:val="hybridMultilevel"/>
    <w:lvl w:ilvl="0">
      <w:lvlJc w:val="left"/>
      <w:lvlText w:val="%1."/>
      <w:numFmt w:val="decimal"/>
      <w:start w:val="2"/>
    </w:lvl>
    <w:lvl w:ilvl="1">
      <w:lvlJc w:val="left"/>
      <w:lvlText w:val="%2"/>
      <w:numFmt w:val="lowerLetter"/>
      <w:start w:val="1"/>
    </w:lvl>
  </w:abstractNum>
  <w:abstractNum w:abstractNumId="20">
    <w:nsid w:val="1E7FF521"/>
    <w:multiLevelType w:val="hybridMultilevel"/>
    <w:lvl w:ilvl="0">
      <w:lvlJc w:val="left"/>
      <w:lvlText w:val="%1"/>
      <w:numFmt w:val="decimal"/>
      <w:start w:val="1"/>
    </w:lvl>
    <w:lvl w:ilvl="1">
      <w:lvlJc w:val="left"/>
      <w:lvlText w:val="(%2)"/>
      <w:numFmt w:val="lowerLetter"/>
      <w:start w:val="2"/>
    </w:lvl>
  </w:abstractNum>
  <w:abstractNum w:abstractNumId="21">
    <w:nsid w:val="7C3DBD3D"/>
    <w:multiLevelType w:val="hybridMultilevel"/>
    <w:lvl w:ilvl="0">
      <w:lvlJc w:val="left"/>
      <w:lvlText w:val="%1."/>
      <w:numFmt w:val="decimal"/>
      <w:start w:val="4"/>
    </w:lvl>
    <w:lvl w:ilvl="1">
      <w:lvlJc w:val="left"/>
      <w:lvlText w:val="(%2)"/>
      <w:numFmt w:val="lowerLetter"/>
      <w:start w:val="1"/>
    </w:lvl>
  </w:abstractNum>
  <w:abstractNum w:abstractNumId="22">
    <w:nsid w:val="737B8DDC"/>
    <w:multiLevelType w:val="hybridMultilevel"/>
    <w:lvl w:ilvl="0">
      <w:lvlJc w:val="left"/>
      <w:lvlText w:val="%1"/>
      <w:numFmt w:val="decimal"/>
      <w:start w:val="1"/>
    </w:lvl>
    <w:lvl w:ilvl="1">
      <w:lvlJc w:val="left"/>
      <w:lvlText w:val="(%2)"/>
      <w:numFmt w:val="lowerLetter"/>
      <w:start w:val="1"/>
    </w:lvl>
  </w:abstractNum>
  <w:abstractNum w:abstractNumId="23">
    <w:nsid w:val="6CEAF087"/>
    <w:multiLevelType w:val="hybridMultilevel"/>
    <w:lvl w:ilvl="0">
      <w:lvlJc w:val="left"/>
      <w:lvlText w:val="%1."/>
      <w:numFmt w:val="decimal"/>
      <w:start w:val="5"/>
    </w:lvl>
    <w:lvl w:ilvl="1">
      <w:lvlJc w:val="left"/>
      <w:lvlText w:val="%2"/>
      <w:numFmt w:val="lowerLetter"/>
      <w:start w:val="1"/>
    </w:lvl>
  </w:abstractNum>
  <w:abstractNum w:abstractNumId="24">
    <w:nsid w:val="22221A70"/>
    <w:multiLevelType w:val="hybridMultilevel"/>
    <w:lvl w:ilvl="0">
      <w:lvlJc w:val="left"/>
      <w:lvlText w:val="%1."/>
      <w:numFmt w:val="decimal"/>
      <w:start w:val="6"/>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lowerLetter"/>
      <w:start w:val="1"/>
    </w:lvl>
  </w:abstractNum>
  <w:abstractNum w:abstractNumId="26">
    <w:nsid w:val="3006C83E"/>
    <w:multiLevelType w:val="hybridMultilevel"/>
    <w:lvl w:ilvl="0">
      <w:lvlJc w:val="left"/>
      <w:lvlText w:val="%1."/>
      <w:numFmt w:val="decimal"/>
      <w:start w:val="7"/>
    </w:lvl>
    <w:lvl w:ilvl="1">
      <w:lvlJc w:val="left"/>
      <w:lvlText w:val="%2"/>
      <w:numFmt w:val="lowerLetter"/>
      <w:start w:val="1"/>
    </w:lvl>
  </w:abstractNum>
  <w:abstractNum w:abstractNumId="27">
    <w:nsid w:val="614FD4A1"/>
    <w:multiLevelType w:val="hybridMultilevel"/>
    <w:lvl w:ilvl="0">
      <w:lvlJc w:val="left"/>
      <w:lvlText w:val="%1."/>
      <w:numFmt w:val="decimal"/>
      <w:start w:val="8"/>
    </w:lvl>
    <w:lvl w:ilvl="1">
      <w:lvlJc w:val="left"/>
      <w:lvlText w:val="(%2)"/>
      <w:numFmt w:val="lowerLetter"/>
      <w:start w:val="1"/>
    </w:lvl>
  </w:abstractNum>
  <w:abstractNum w:abstractNumId="28">
    <w:nsid w:val="419AC241"/>
    <w:multiLevelType w:val="hybridMultilevel"/>
    <w:lvl w:ilvl="0">
      <w:lvlJc w:val="left"/>
      <w:lvlText w:val="%1."/>
      <w:numFmt w:val="decimal"/>
      <w:start w:val="9"/>
    </w:lvl>
  </w:abstractNum>
  <w:abstractNum w:abstractNumId="29">
    <w:nsid w:val="5577F8E1"/>
    <w:multiLevelType w:val="hybridMultilevel"/>
    <w:lvl w:ilvl="0">
      <w:lvlJc w:val="left"/>
      <w:lvlText w:val="%1."/>
      <w:numFmt w:val="decimal"/>
      <w:start w:val="10"/>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decimal"/>
      <w:start w:val="9"/>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5"/>
    </w:lvl>
  </w:abstractNum>
  <w:abstractNum w:abstractNumId="37">
    <w:nsid w:val="5E884ADC"/>
    <w:multiLevelType w:val="hybridMultilevel"/>
    <w:lvl w:ilvl="0">
      <w:lvlJc w:val="left"/>
      <w:lvlText w:val="%1."/>
      <w:numFmt w:val="decimal"/>
      <w:start w:val="5"/>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2019-12-28T07:16:56Z</dcterms:created>
  <dcterms:modified xsi:type="dcterms:W3CDTF">2019-12-28T07:16:56Z</dcterms:modified>
</cp:coreProperties>
</file>