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png" ContentType="image/png"/>
  <Override PartName="/word/media/image7.png" ContentType="image/png"/>
  <Override PartName="/word/media/image8.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10-K</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shd w:fill="FFFFFF" w:val="clear"/>
        </w:rPr>
        <w:t xml:space="preserve">For the fiscal year ended </w:t>
      </w:r>
      <w:r>
        <w:rPr>
          <w:rFonts w:ascii="Times New Roman;serif" w:hAnsi="Times New Roman;serif"/>
          <w:b/>
          <w:color w:val="000000"/>
          <w:sz w:val="20"/>
        </w:rPr>
        <w:t>December 31,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 to _____________</w:t>
      </w:r>
    </w:p>
    <w:p>
      <w:pPr>
        <w:pStyle w:val="TextBody"/>
        <w:bidi w:val="0"/>
        <w:spacing w:lineRule="auto" w:line="288" w:before="240" w:after="283"/>
        <w:jc w:val="center"/>
        <w:rPr/>
      </w:pPr>
      <w:r>
        <w:rPr>
          <w:rFonts w:ascii="Times New Roman;serif" w:hAnsi="Times New Roman;serif"/>
          <w:b w:val="false"/>
          <w:i/>
          <w:color w:val="000000"/>
          <w:sz w:val="20"/>
          <w:shd w:fill="FFFFFF" w:val="clear"/>
        </w:rPr>
        <w:t>Commission file number:</w:t>
      </w:r>
      <w:r>
        <w:rPr>
          <w:color w:val="000000"/>
          <w:shd w:fill="FFFFFF" w:val="clear"/>
        </w:rPr>
        <w:t xml:space="preserve"> </w:t>
      </w:r>
      <w:r>
        <w:rPr>
          <w:rFonts w:ascii="Times New Roman;serif" w:hAnsi="Times New Roman;serif"/>
          <w:b/>
          <w:color w:val="000000"/>
          <w:sz w:val="20"/>
          <w:shd w:fill="FFFFFF" w:val="clear"/>
        </w:rPr>
        <w:t>001-38273</w:t>
      </w:r>
    </w:p>
    <w:p>
      <w:pPr>
        <w:pStyle w:val="TextBody"/>
        <w:bidi w:val="0"/>
        <w:spacing w:before="240" w:after="283"/>
        <w:jc w:val="center"/>
        <w:rPr/>
      </w:pPr>
      <w:r>
        <w:rPr/>
        <w:drawing>
          <wp:inline distT="0" distB="0" distL="0" distR="0">
            <wp:extent cx="6191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 cy="4191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42307 Osgood Road, Suite I, 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rPr/>
      </w:pPr>
      <w:r>
        <w:rPr>
          <w:rFonts w:ascii="Times New Roman;serif" w:hAnsi="Times New Roman;serif"/>
          <w:b w:val="false"/>
          <w:i/>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(510) 445-3700</w:t>
      </w:r>
    </w:p>
    <w:p>
      <w:pPr>
        <w:pStyle w:val="TextBody"/>
        <w:bidi w:val="0"/>
        <w:spacing w:lineRule="auto" w:line="288" w:before="20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center"/>
        <w:rPr/>
      </w:pPr>
      <w:r>
        <w:rPr>
          <w:rFonts w:ascii="Times New Roman;serif" w:hAnsi="Times New Roman;serif"/>
          <w:b w:val="false"/>
          <w:i/>
          <w:color w:val="000000"/>
          <w:sz w:val="20"/>
          <w:shd w:fill="FFFFFF" w:val="clear"/>
        </w:rPr>
        <w:t xml:space="preserve">Securities registered pursuant to Section 12(g) of the Act: </w:t>
      </w:r>
      <w:r>
        <w:rPr>
          <w:rFonts w:ascii="Times New Roman;serif" w:hAnsi="Times New Roman;serif"/>
          <w:b/>
          <w:color w:val="000000"/>
          <w:sz w:val="20"/>
          <w:shd w:fill="FFFFFF" w:val="clear"/>
        </w:rPr>
        <w:t>None.</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if the registrant is a well-known seasoned issuer, as defined in Rule 405 of the Securities Act.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if the registrant is not required to file reports pursuant to Section 13 or Section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aggregate market value on June 30, 2025 (the last business day of the registrant’s most recently completed second quarter) of the voting common equity held by non-affiliates of the registrant, computed by reference to the </w:t>
      </w:r>
      <w:r>
        <w:rPr>
          <w:rFonts w:ascii="Times New Roman;serif" w:hAnsi="Times New Roman;serif"/>
          <w:b w:val="false"/>
          <w:color w:val="000000"/>
          <w:sz w:val="20"/>
        </w:rPr>
        <w:t xml:space="preserve">$25.90 closing price of the stock on that date, was $1,371.2 million. The registrant does </w:t>
      </w:r>
      <w:r>
        <w:rPr>
          <w:rFonts w:ascii="Times New Roman;serif" w:hAnsi="Times New Roman;serif"/>
          <w:b w:val="false"/>
          <w:color w:val="000000"/>
          <w:sz w:val="20"/>
          <w:shd w:fill="FFFFFF" w:val="clear"/>
        </w:rPr>
        <w:t>not have non-voting common equity outstanding.</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registrant’s classes of common stock, as of the latest practicable date.</w:t>
      </w:r>
    </w:p>
    <w:tbl>
      <w:tblPr>
        <w:tblW w:w="8786" w:type="dxa"/>
        <w:jc w:val="left"/>
        <w:tblInd w:w="0" w:type="dxa"/>
        <w:tblLayout w:type="fixed"/>
        <w:tblCellMar>
          <w:top w:w="28" w:type="dxa"/>
          <w:left w:w="28" w:type="dxa"/>
          <w:bottom w:w="28" w:type="dxa"/>
          <w:right w:w="28" w:type="dxa"/>
        </w:tblCellMar>
      </w:tblPr>
      <w:tblGrid>
        <w:gridCol w:w="1336"/>
        <w:gridCol w:w="1176"/>
        <w:gridCol w:w="1192"/>
        <w:gridCol w:w="109"/>
        <w:gridCol w:w="109"/>
        <w:gridCol w:w="109"/>
        <w:gridCol w:w="1390"/>
        <w:gridCol w:w="1390"/>
        <w:gridCol w:w="1975"/>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Outstanding</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color w:val="000000"/>
                <w:sz w:val="20"/>
              </w:rPr>
            </w:pPr>
            <w:r>
              <w:rPr>
                <w:rFonts w:ascii="Times New Roman;serif" w:hAnsi="Times New Roman;serif"/>
                <w:b/>
                <w:color w:val="000000"/>
                <w:sz w:val="20"/>
              </w:rPr>
              <w:t>60,705,783 shares outstanding as of February 25, 2026</w:t>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color w:val="000000"/>
                <w:sz w:val="20"/>
              </w:rPr>
            </w:pPr>
            <w:r>
              <w:rPr>
                <w:rFonts w:ascii="Times New Roman;serif" w:hAnsi="Times New Roman;serif"/>
                <w:b/>
                <w:color w:val="000000"/>
                <w:sz w:val="20"/>
              </w:rPr>
              <w:t>5,021,811 shares outstanding as of February 25, 2026</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Documents Incorporated By Reference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registrant intends to file a proxy statement pursuant to Regulation 14A within 120 days of the end of the fiscal year ended December 31, 2025. Portions of such proxy statement are incorporated by reference in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53"/>
        <w:gridCol w:w="310"/>
        <w:gridCol w:w="313"/>
        <w:gridCol w:w="2925"/>
        <w:gridCol w:w="2911"/>
        <w:gridCol w:w="2926"/>
        <w:gridCol w:w="136"/>
        <w:gridCol w:w="136"/>
        <w:gridCol w:w="195"/>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c1aa7d9ab94d4a4b85dd7f9bcc852041_13">
              <w:r>
                <w:rPr>
                  <w:rStyle w:val="InternetLink"/>
                  <w:rFonts w:ascii="Times New Roman;serif" w:hAnsi="Times New Roman;serif"/>
                  <w:b/>
                  <w:strike w:val="false"/>
                  <w:dstrike w:val="false"/>
                  <w:color w:val="000000"/>
                  <w:sz w:val="20"/>
                  <w:u w:val="none"/>
                  <w:effect w:val="none"/>
                </w:rPr>
                <w:t>PART 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6">
              <w:r>
                <w:rPr>
                  <w:rStyle w:val="InternetLink"/>
                  <w:rFonts w:ascii="Times New Roman;serif" w:hAnsi="Times New Roman;serif"/>
                  <w:b w:val="false"/>
                  <w:strike w:val="false"/>
                  <w:dstrike w:val="false"/>
                  <w:color w:val="000000"/>
                  <w:sz w:val="20"/>
                  <w:u w:val="none"/>
                  <w:effect w:val="none"/>
                </w:rPr>
                <w:t>Item 1</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6">
              <w:r>
                <w:rPr>
                  <w:rStyle w:val="InternetLink"/>
                  <w:rFonts w:ascii="Times New Roman;serif" w:hAnsi="Times New Roman;serif"/>
                  <w:b w:val="false"/>
                  <w:color w:val="0000F1"/>
                  <w:sz w:val="20"/>
                  <w:u w:val="single"/>
                </w:rPr>
                <w:t>Business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6">
              <w:r>
                <w:rPr>
                  <w:rStyle w:val="InternetLink"/>
                  <w:rFonts w:ascii="Times New Roman;serif" w:hAnsi="Times New Roman;serif"/>
                  <w:b w:val="false"/>
                  <w:strike w:val="false"/>
                  <w:dstrike w:val="false"/>
                  <w:color w:val="000000"/>
                  <w:sz w:val="20"/>
                  <w:u w:val="none"/>
                  <w:effect w:val="none"/>
                </w:rPr>
                <w:t>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
              <w:r>
                <w:rPr>
                  <w:rStyle w:val="InternetLink"/>
                  <w:rFonts w:ascii="Times New Roman;serif" w:hAnsi="Times New Roman;serif"/>
                  <w:b w:val="false"/>
                  <w:strike w:val="false"/>
                  <w:dstrike w:val="false"/>
                  <w:color w:val="000000"/>
                  <w:sz w:val="20"/>
                  <w:u w:val="none"/>
                  <w:effect w:val="none"/>
                </w:rPr>
                <w:t>Item 1A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
              <w:r>
                <w:rPr>
                  <w:rStyle w:val="InternetLink"/>
                  <w:rFonts w:ascii="Times New Roman;serif" w:hAnsi="Times New Roman;serif"/>
                  <w:b w:val="false"/>
                  <w:color w:val="0000F1"/>
                  <w:sz w:val="20"/>
                  <w:u w:val="single"/>
                </w:rPr>
                <w:t>Risk Factors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9">
              <w:r>
                <w:rPr>
                  <w:rStyle w:val="InternetLink"/>
                  <w:rFonts w:ascii="Times New Roman;serif" w:hAnsi="Times New Roman;serif"/>
                  <w:b w:val="false"/>
                  <w:strike w:val="false"/>
                  <w:dstrike w:val="false"/>
                  <w:color w:val="000000"/>
                  <w:sz w:val="20"/>
                  <w:u w:val="none"/>
                  <w:effect w:val="none"/>
                </w:rPr>
                <w:t>14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
              <w:r>
                <w:rPr>
                  <w:rStyle w:val="InternetLink"/>
                  <w:rFonts w:ascii="Times New Roman;serif" w:hAnsi="Times New Roman;serif"/>
                  <w:b w:val="false"/>
                  <w:strike w:val="false"/>
                  <w:dstrike w:val="false"/>
                  <w:color w:val="000000"/>
                  <w:sz w:val="20"/>
                  <w:u w:val="none"/>
                  <w:effect w:val="none"/>
                </w:rPr>
                <w:t>Item 1B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
              <w:r>
                <w:rPr>
                  <w:rStyle w:val="InternetLink"/>
                  <w:rFonts w:ascii="Times New Roman;serif" w:hAnsi="Times New Roman;serif"/>
                  <w:b w:val="false"/>
                  <w:color w:val="0000F1"/>
                  <w:sz w:val="20"/>
                  <w:u w:val="single"/>
                </w:rPr>
                <w:t>Unresolved Staff Comments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2">
              <w:r>
                <w:rPr>
                  <w:rStyle w:val="InternetLink"/>
                  <w:rFonts w:ascii="Times New Roman;serif" w:hAnsi="Times New Roman;serif"/>
                  <w:b w:val="false"/>
                  <w:strike w:val="false"/>
                  <w:dstrike w:val="false"/>
                  <w:color w:val="000000"/>
                  <w:sz w:val="20"/>
                  <w:u w:val="none"/>
                  <w:effect w:val="none"/>
                </w:rPr>
                <w:t>45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F1"/>
                <w:sz w:val="20"/>
                <w:u w:val="single"/>
              </w:rPr>
            </w:pPr>
            <w:r>
              <w:rPr>
                <w:rFonts w:ascii="Times New Roman;serif" w:hAnsi="Times New Roman;serif"/>
                <w:b w:val="false"/>
                <w:color w:val="0000F1"/>
                <w:sz w:val="20"/>
                <w:u w:val="single"/>
              </w:rPr>
              <w:t>Cybersecurity</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8">
              <w:r>
                <w:rPr>
                  <w:rStyle w:val="InternetLink"/>
                  <w:rFonts w:ascii="Times New Roman;serif" w:hAnsi="Times New Roman;serif"/>
                  <w:b w:val="false"/>
                  <w:strike w:val="false"/>
                  <w:dstrike w:val="false"/>
                  <w:color w:val="000000"/>
                  <w:sz w:val="20"/>
                  <w:u w:val="none"/>
                  <w:effect w:val="none"/>
                </w:rPr>
                <w:t>Item 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8">
              <w:r>
                <w:rPr>
                  <w:rStyle w:val="InternetLink"/>
                  <w:rFonts w:ascii="Times New Roman;serif" w:hAnsi="Times New Roman;serif"/>
                  <w:b w:val="false"/>
                  <w:color w:val="0000F1"/>
                  <w:sz w:val="20"/>
                  <w:u w:val="single"/>
                </w:rPr>
                <w:t>Properties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8">
              <w:r>
                <w:rPr>
                  <w:rStyle w:val="InternetLink"/>
                  <w:rFonts w:ascii="Times New Roman;serif" w:hAnsi="Times New Roman;serif"/>
                  <w:b w:val="false"/>
                  <w:strike w:val="false"/>
                  <w:dstrike w:val="false"/>
                  <w:color w:val="000000"/>
                  <w:sz w:val="20"/>
                  <w:u w:val="none"/>
                  <w:effect w:val="none"/>
                </w:rPr>
                <w:t>46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8">
              <w:r>
                <w:rPr>
                  <w:rStyle w:val="InternetLink"/>
                  <w:rFonts w:ascii="Times New Roman;serif" w:hAnsi="Times New Roman;serif"/>
                  <w:b w:val="false"/>
                  <w:strike w:val="false"/>
                  <w:dstrike w:val="false"/>
                  <w:color w:val="000000"/>
                  <w:sz w:val="20"/>
                  <w:u w:val="none"/>
                  <w:effect w:val="none"/>
                </w:rPr>
                <w:t>Item 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8">
              <w:r>
                <w:rPr>
                  <w:rStyle w:val="InternetLink"/>
                  <w:rFonts w:ascii="Times New Roman;serif" w:hAnsi="Times New Roman;serif"/>
                  <w:b w:val="false"/>
                  <w:color w:val="0000F1"/>
                  <w:sz w:val="20"/>
                  <w:u w:val="single"/>
                </w:rPr>
                <w:t>Legal Proceedings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31">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34">
              <w:r>
                <w:rPr>
                  <w:rStyle w:val="InternetLink"/>
                  <w:rFonts w:ascii="Times New Roman;serif" w:hAnsi="Times New Roman;serif"/>
                  <w:b w:val="false"/>
                  <w:strike w:val="false"/>
                  <w:dstrike w:val="false"/>
                  <w:color w:val="000000"/>
                  <w:sz w:val="20"/>
                  <w:u w:val="none"/>
                  <w:effect w:val="none"/>
                </w:rPr>
                <w:t>Item 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34">
              <w:r>
                <w:rPr>
                  <w:rStyle w:val="InternetLink"/>
                  <w:rFonts w:ascii="Times New Roman;serif" w:hAnsi="Times New Roman;serif"/>
                  <w:b w:val="false"/>
                  <w:color w:val="0000F1"/>
                  <w:sz w:val="20"/>
                  <w:u w:val="single"/>
                </w:rPr>
                <w:t>Mine Safety Disclosures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34">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c1aa7d9ab94d4a4b85dd7f9bcc852041_37">
              <w:r>
                <w:rPr>
                  <w:rStyle w:val="InternetLink"/>
                  <w:rFonts w:ascii="Times New Roman;serif" w:hAnsi="Times New Roman;serif"/>
                  <w:b/>
                  <w:strike w:val="false"/>
                  <w:dstrike w:val="false"/>
                  <w:color w:val="000000"/>
                  <w:sz w:val="20"/>
                  <w:u w:val="none"/>
                  <w:effect w:val="none"/>
                </w:rPr>
                <w:t>PART II</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0">
              <w:r>
                <w:rPr>
                  <w:rStyle w:val="InternetLink"/>
                  <w:rFonts w:ascii="Times New Roman;serif" w:hAnsi="Times New Roman;serif"/>
                  <w:b w:val="false"/>
                  <w:strike w:val="false"/>
                  <w:dstrike w:val="false"/>
                  <w:color w:val="000000"/>
                  <w:sz w:val="20"/>
                  <w:u w:val="none"/>
                  <w:effect w:val="none"/>
                </w:rPr>
                <w:t>Item 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0">
              <w:r>
                <w:rPr>
                  <w:rStyle w:val="InternetLink"/>
                  <w:rFonts w:ascii="Times New Roman;serif" w:hAnsi="Times New Roman;serif"/>
                  <w:b w:val="false"/>
                  <w:color w:val="0000F1"/>
                  <w:sz w:val="20"/>
                  <w:u w:val="single"/>
                </w:rPr>
                <w:t>Market for Registrant’s Common Equity, Related Stockholder Matters and Issuer Purchases of Equity Securities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40">
              <w:r>
                <w:rPr>
                  <w:rStyle w:val="InternetLink"/>
                  <w:rFonts w:ascii="Times New Roman;serif" w:hAnsi="Times New Roman;serif"/>
                  <w:b w:val="false"/>
                  <w:strike w:val="false"/>
                  <w:dstrike w:val="false"/>
                  <w:color w:val="000000"/>
                  <w:sz w:val="20"/>
                  <w:u w:val="none"/>
                  <w:effect w:val="none"/>
                </w:rPr>
                <w:t>47</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3">
              <w:r>
                <w:rPr>
                  <w:rStyle w:val="InternetLink"/>
                  <w:rFonts w:ascii="Times New Roman;serif" w:hAnsi="Times New Roman;serif"/>
                  <w:b w:val="false"/>
                  <w:strike w:val="false"/>
                  <w:dstrike w:val="false"/>
                  <w:color w:val="000000"/>
                  <w:sz w:val="20"/>
                  <w:u w:val="none"/>
                  <w:effect w:val="none"/>
                </w:rPr>
                <w:t>Item 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3">
              <w:r>
                <w:rPr>
                  <w:rStyle w:val="InternetLink"/>
                  <w:rFonts w:ascii="Times New Roman;serif" w:hAnsi="Times New Roman;serif"/>
                  <w:b w:val="false"/>
                  <w:color w:val="0000F1"/>
                  <w:sz w:val="20"/>
                  <w:u w:val="single"/>
                </w:rPr>
                <w:t>[Reserved]</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43">
              <w:r>
                <w:rPr>
                  <w:rStyle w:val="InternetLink"/>
                  <w:rFonts w:ascii="Times New Roman;serif" w:hAnsi="Times New Roman;serif"/>
                  <w:b w:val="false"/>
                  <w:strike w:val="false"/>
                  <w:dstrike w:val="false"/>
                  <w:color w:val="000000"/>
                  <w:sz w:val="20"/>
                  <w:u w:val="none"/>
                  <w:effect w:val="none"/>
                </w:rPr>
                <w:t>48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6">
              <w:r>
                <w:rPr>
                  <w:rStyle w:val="InternetLink"/>
                  <w:rFonts w:ascii="Times New Roman;serif" w:hAnsi="Times New Roman;serif"/>
                  <w:b w:val="false"/>
                  <w:strike w:val="false"/>
                  <w:dstrike w:val="false"/>
                  <w:color w:val="000000"/>
                  <w:sz w:val="20"/>
                  <w:u w:val="none"/>
                  <w:effect w:val="none"/>
                </w:rPr>
                <w:t>Item 7</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46">
              <w:r>
                <w:rPr>
                  <w:rStyle w:val="InternetLink"/>
                  <w:rFonts w:ascii="Times New Roman;serif" w:hAnsi="Times New Roman;serif"/>
                  <w:b w:val="false"/>
                  <w:color w:val="0000F1"/>
                  <w:sz w:val="20"/>
                  <w:u w:val="single"/>
                </w:rPr>
                <w:t>Management’s Discussion and Analysis of Financial Condition and Results of Operations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46">
              <w:r>
                <w:rPr>
                  <w:rStyle w:val="InternetLink"/>
                  <w:rFonts w:ascii="Times New Roman;serif" w:hAnsi="Times New Roman;serif"/>
                  <w:b w:val="false"/>
                  <w:strike w:val="false"/>
                  <w:dstrike w:val="false"/>
                  <w:color w:val="000000"/>
                  <w:sz w:val="20"/>
                  <w:u w:val="none"/>
                  <w:effect w:val="none"/>
                </w:rPr>
                <w:t>48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82">
              <w:r>
                <w:rPr>
                  <w:rStyle w:val="InternetLink"/>
                  <w:rFonts w:ascii="Times New Roman;serif" w:hAnsi="Times New Roman;serif"/>
                  <w:b w:val="false"/>
                  <w:strike w:val="false"/>
                  <w:dstrike w:val="false"/>
                  <w:color w:val="000000"/>
                  <w:sz w:val="20"/>
                  <w:u w:val="none"/>
                  <w:effect w:val="none"/>
                </w:rPr>
                <w:t>Item 7A</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82">
              <w:r>
                <w:rPr>
                  <w:rStyle w:val="InternetLink"/>
                  <w:rFonts w:ascii="Times New Roman;serif" w:hAnsi="Times New Roman;serif"/>
                  <w:b w:val="false"/>
                  <w:color w:val="0000F1"/>
                  <w:sz w:val="20"/>
                  <w:u w:val="single"/>
                </w:rPr>
                <w:t>Quantitative and Qualitative Disclosures About Market Risk</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82">
              <w:r>
                <w:rPr>
                  <w:rStyle w:val="InternetLink"/>
                  <w:rFonts w:ascii="Times New Roman;serif" w:hAnsi="Times New Roman;serif"/>
                  <w:b w:val="false"/>
                  <w:strike w:val="false"/>
                  <w:dstrike w:val="false"/>
                  <w:color w:val="000000"/>
                  <w:sz w:val="20"/>
                  <w:u w:val="none"/>
                  <w:effect w:val="none"/>
                </w:rPr>
                <w:t>69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85">
              <w:r>
                <w:rPr>
                  <w:rStyle w:val="InternetLink"/>
                  <w:rFonts w:ascii="Times New Roman;serif" w:hAnsi="Times New Roman;serif"/>
                  <w:b w:val="false"/>
                  <w:strike w:val="false"/>
                  <w:dstrike w:val="false"/>
                  <w:color w:val="000000"/>
                  <w:sz w:val="20"/>
                  <w:u w:val="none"/>
                  <w:effect w:val="none"/>
                </w:rPr>
                <w:t>Item 8</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85">
              <w:r>
                <w:rPr>
                  <w:rStyle w:val="InternetLink"/>
                  <w:rFonts w:ascii="Times New Roman;serif" w:hAnsi="Times New Roman;serif"/>
                  <w:b w:val="false"/>
                  <w:color w:val="0000F1"/>
                  <w:sz w:val="20"/>
                  <w:u w:val="single"/>
                </w:rPr>
                <w:t>Financial Statements and Supplementary Data</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85">
              <w:r>
                <w:rPr>
                  <w:rStyle w:val="InternetLink"/>
                  <w:rFonts w:ascii="Times New Roman;serif" w:hAnsi="Times New Roman;serif"/>
                  <w:b w:val="false"/>
                  <w:strike w:val="false"/>
                  <w:dstrike w:val="false"/>
                  <w:color w:val="000000"/>
                  <w:sz w:val="20"/>
                  <w:u w:val="none"/>
                  <w:effect w:val="none"/>
                </w:rPr>
                <w:t>71</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84">
              <w:r>
                <w:rPr>
                  <w:rStyle w:val="InternetLink"/>
                  <w:rFonts w:ascii="Times New Roman;serif" w:hAnsi="Times New Roman;serif"/>
                  <w:b w:val="false"/>
                  <w:strike w:val="false"/>
                  <w:dstrike w:val="false"/>
                  <w:color w:val="000000"/>
                  <w:sz w:val="20"/>
                  <w:u w:val="none"/>
                  <w:effect w:val="none"/>
                </w:rPr>
                <w:t>Item 9</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84">
              <w:r>
                <w:rPr>
                  <w:rStyle w:val="InternetLink"/>
                  <w:rFonts w:ascii="Times New Roman;serif" w:hAnsi="Times New Roman;serif"/>
                  <w:b w:val="false"/>
                  <w:color w:val="0000F1"/>
                  <w:sz w:val="20"/>
                  <w:u w:val="single"/>
                </w:rPr>
                <w:t>Changes in and Disagreements with Accountants on Accounting and Financial Disclosure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84">
              <w:r>
                <w:rPr>
                  <w:rStyle w:val="InternetLink"/>
                  <w:rFonts w:ascii="Times New Roman;serif" w:hAnsi="Times New Roman;serif"/>
                  <w:b w:val="false"/>
                  <w:strike w:val="false"/>
                  <w:dstrike w:val="false"/>
                  <w:color w:val="000000"/>
                  <w:sz w:val="20"/>
                  <w:u w:val="none"/>
                  <w:effect w:val="none"/>
                </w:rPr>
                <w:t>112</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87">
              <w:r>
                <w:rPr>
                  <w:rStyle w:val="InternetLink"/>
                  <w:rFonts w:ascii="Times New Roman;serif" w:hAnsi="Times New Roman;serif"/>
                  <w:b w:val="false"/>
                  <w:strike w:val="false"/>
                  <w:dstrike w:val="false"/>
                  <w:color w:val="000000"/>
                  <w:sz w:val="20"/>
                  <w:u w:val="none"/>
                  <w:effect w:val="none"/>
                </w:rPr>
                <w:t>Item 9A</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87">
              <w:r>
                <w:rPr>
                  <w:rStyle w:val="InternetLink"/>
                  <w:rFonts w:ascii="Times New Roman;serif" w:hAnsi="Times New Roman;serif"/>
                  <w:b w:val="false"/>
                  <w:color w:val="0000F1"/>
                  <w:sz w:val="20"/>
                  <w:u w:val="single"/>
                </w:rPr>
                <w:t>Controls and Procedures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87">
              <w:r>
                <w:rPr>
                  <w:rStyle w:val="InternetLink"/>
                  <w:rFonts w:ascii="Times New Roman;serif" w:hAnsi="Times New Roman;serif"/>
                  <w:b w:val="false"/>
                  <w:strike w:val="false"/>
                  <w:dstrike w:val="false"/>
                  <w:color w:val="000000"/>
                  <w:sz w:val="20"/>
                  <w:u w:val="none"/>
                  <w:effect w:val="none"/>
                </w:rPr>
                <w:t>113</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0">
              <w:r>
                <w:rPr>
                  <w:rStyle w:val="InternetLink"/>
                  <w:rFonts w:ascii="Times New Roman;serif" w:hAnsi="Times New Roman;serif"/>
                  <w:b w:val="false"/>
                  <w:strike w:val="false"/>
                  <w:dstrike w:val="false"/>
                  <w:color w:val="000000"/>
                  <w:sz w:val="20"/>
                  <w:u w:val="none"/>
                  <w:effect w:val="none"/>
                </w:rPr>
                <w:t>Item 9B</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0">
              <w:r>
                <w:rPr>
                  <w:rStyle w:val="InternetLink"/>
                  <w:rFonts w:ascii="Times New Roman;serif" w:hAnsi="Times New Roman;serif"/>
                  <w:b w:val="false"/>
                  <w:color w:val="0000F1"/>
                  <w:sz w:val="20"/>
                  <w:u w:val="single"/>
                </w:rPr>
                <w:t>Other Information</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90">
              <w:r>
                <w:rPr>
                  <w:rStyle w:val="InternetLink"/>
                  <w:rFonts w:ascii="Times New Roman;serif" w:hAnsi="Times New Roman;serif"/>
                  <w:b w:val="false"/>
                  <w:strike w:val="false"/>
                  <w:dstrike w:val="false"/>
                  <w:color w:val="000000"/>
                  <w:sz w:val="20"/>
                  <w:u w:val="none"/>
                  <w:effect w:val="none"/>
                </w:rPr>
                <w:t>113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6">
              <w:r>
                <w:rPr>
                  <w:rStyle w:val="InternetLink"/>
                  <w:rFonts w:ascii="Times New Roman;serif" w:hAnsi="Times New Roman;serif"/>
                  <w:b w:val="false"/>
                  <w:strike w:val="false"/>
                  <w:dstrike w:val="false"/>
                  <w:color w:val="000000"/>
                  <w:sz w:val="20"/>
                  <w:u w:val="none"/>
                  <w:effect w:val="none"/>
                </w:rPr>
                <w:t>Item 9C</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196">
              <w:r>
                <w:rPr>
                  <w:rStyle w:val="InternetLink"/>
                  <w:rFonts w:ascii="Times New Roman;serif" w:hAnsi="Times New Roman;serif"/>
                  <w:b w:val="false"/>
                  <w:color w:val="0000F1"/>
                  <w:sz w:val="20"/>
                  <w:u w:val="single"/>
                </w:rPr>
                <w:t>Disclosure Regarding Foreign Jurisdictions that Prevent Inspections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196">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73" w:before="0" w:after="0"/>
              <w:jc w:val="center"/>
              <w:rPr/>
            </w:pPr>
            <w:hyperlink w:anchor="ic1aa7d9ab94d4a4b85dd7f9bcc852041_199">
              <w:r>
                <w:rPr>
                  <w:rStyle w:val="InternetLink"/>
                  <w:rFonts w:ascii="Times New Roman;serif" w:hAnsi="Times New Roman;serif"/>
                  <w:b/>
                  <w:strike w:val="false"/>
                  <w:dstrike w:val="false"/>
                  <w:color w:val="000000"/>
                  <w:sz w:val="20"/>
                  <w:u w:val="none"/>
                  <w:effect w:val="none"/>
                </w:rPr>
                <w:t>PART III</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2">
              <w:r>
                <w:rPr>
                  <w:rStyle w:val="InternetLink"/>
                  <w:rFonts w:ascii="Times New Roman;serif" w:hAnsi="Times New Roman;serif"/>
                  <w:b w:val="false"/>
                  <w:strike w:val="false"/>
                  <w:dstrike w:val="false"/>
                  <w:color w:val="000000"/>
                  <w:sz w:val="20"/>
                  <w:u w:val="none"/>
                  <w:effect w:val="none"/>
                </w:rPr>
                <w:t>Item 10</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2">
              <w:r>
                <w:rPr>
                  <w:rStyle w:val="InternetLink"/>
                  <w:rFonts w:ascii="Times New Roman;serif" w:hAnsi="Times New Roman;serif"/>
                  <w:b w:val="false"/>
                  <w:color w:val="0000F1"/>
                  <w:sz w:val="20"/>
                  <w:u w:val="single"/>
                </w:rPr>
                <w:t>Directors, Executive Officers and Corporate Governance</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02">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5">
              <w:r>
                <w:rPr>
                  <w:rStyle w:val="InternetLink"/>
                  <w:rFonts w:ascii="Times New Roman;serif" w:hAnsi="Times New Roman;serif"/>
                  <w:b w:val="false"/>
                  <w:strike w:val="false"/>
                  <w:dstrike w:val="false"/>
                  <w:color w:val="000000"/>
                  <w:sz w:val="20"/>
                  <w:u w:val="none"/>
                  <w:effect w:val="none"/>
                </w:rPr>
                <w:t>Item 11</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5">
              <w:r>
                <w:rPr>
                  <w:rStyle w:val="InternetLink"/>
                  <w:rFonts w:ascii="Times New Roman;serif" w:hAnsi="Times New Roman;serif"/>
                  <w:b w:val="false"/>
                  <w:color w:val="0000F1"/>
                  <w:sz w:val="20"/>
                  <w:u w:val="single"/>
                </w:rPr>
                <w:t>Executive Compensation</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05">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8">
              <w:r>
                <w:rPr>
                  <w:rStyle w:val="InternetLink"/>
                  <w:rFonts w:ascii="Times New Roman;serif" w:hAnsi="Times New Roman;serif"/>
                  <w:b w:val="false"/>
                  <w:strike w:val="false"/>
                  <w:dstrike w:val="false"/>
                  <w:color w:val="000000"/>
                  <w:sz w:val="20"/>
                  <w:u w:val="none"/>
                  <w:effect w:val="none"/>
                </w:rPr>
                <w:t>Item 12</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08">
              <w:r>
                <w:rPr>
                  <w:rStyle w:val="InternetLink"/>
                  <w:rFonts w:ascii="Times New Roman;serif" w:hAnsi="Times New Roman;serif"/>
                  <w:b w:val="false"/>
                  <w:color w:val="0000F1"/>
                  <w:sz w:val="20"/>
                  <w:u w:val="single"/>
                </w:rPr>
                <w:t>Security Ownership of Certain Beneficial Owners and Management and Related Stockholder Matters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08">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11">
              <w:r>
                <w:rPr>
                  <w:rStyle w:val="InternetLink"/>
                  <w:rFonts w:ascii="Times New Roman;serif" w:hAnsi="Times New Roman;serif"/>
                  <w:b w:val="false"/>
                  <w:strike w:val="false"/>
                  <w:dstrike w:val="false"/>
                  <w:color w:val="000000"/>
                  <w:sz w:val="20"/>
                  <w:u w:val="none"/>
                  <w:effect w:val="none"/>
                </w:rPr>
                <w:t>Item 13</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11">
              <w:r>
                <w:rPr>
                  <w:rStyle w:val="InternetLink"/>
                  <w:rFonts w:ascii="Times New Roman;serif" w:hAnsi="Times New Roman;serif"/>
                  <w:b w:val="false"/>
                  <w:color w:val="0000F1"/>
                  <w:sz w:val="20"/>
                  <w:u w:val="single"/>
                </w:rPr>
                <w:t>Certain Relationships and Related Transactions, and Director Independence</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11">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14">
              <w:r>
                <w:rPr>
                  <w:rStyle w:val="InternetLink"/>
                  <w:rFonts w:ascii="Times New Roman;serif" w:hAnsi="Times New Roman;serif"/>
                  <w:b w:val="false"/>
                  <w:strike w:val="false"/>
                  <w:dstrike w:val="false"/>
                  <w:color w:val="000000"/>
                  <w:sz w:val="20"/>
                  <w:u w:val="none"/>
                  <w:effect w:val="none"/>
                </w:rPr>
                <w:t>Item 14</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14">
              <w:r>
                <w:rPr>
                  <w:rStyle w:val="InternetLink"/>
                  <w:rFonts w:ascii="Times New Roman;serif" w:hAnsi="Times New Roman;serif"/>
                  <w:b w:val="false"/>
                  <w:color w:val="0000F1"/>
                  <w:sz w:val="20"/>
                  <w:u w:val="single"/>
                </w:rPr>
                <w:t>Principal Accountant Fees and Services</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14">
              <w:r>
                <w:rPr>
                  <w:rStyle w:val="InternetLink"/>
                  <w:rFonts w:ascii="Times New Roman;serif" w:hAnsi="Times New Roman;serif"/>
                  <w:b w:val="false"/>
                  <w:strike w:val="false"/>
                  <w:dstrike w:val="false"/>
                  <w:color w:val="000000"/>
                  <w:sz w:val="20"/>
                  <w:u w:val="none"/>
                  <w:effect w:val="none"/>
                </w:rPr>
                <w:t>114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CCEEFF" w:val="clear"/>
            <w:tcMar>
              <w:top w:w="0" w:type="dxa"/>
              <w:left w:w="0" w:type="dxa"/>
              <w:bottom w:w="0" w:type="dxa"/>
              <w:right w:w="0" w:type="dxa"/>
            </w:tcMar>
            <w:vAlign w:val="center"/>
          </w:tcPr>
          <w:p>
            <w:pPr>
              <w:pStyle w:val="TableContents"/>
              <w:bidi w:val="0"/>
              <w:spacing w:lineRule="auto" w:line="273" w:before="0" w:after="0"/>
              <w:jc w:val="center"/>
              <w:rPr/>
            </w:pPr>
            <w:hyperlink w:anchor="ic1aa7d9ab94d4a4b85dd7f9bcc852041_217">
              <w:r>
                <w:rPr>
                  <w:rStyle w:val="InternetLink"/>
                  <w:rFonts w:ascii="Times New Roman;serif" w:hAnsi="Times New Roman;serif"/>
                  <w:b/>
                  <w:strike w:val="false"/>
                  <w:dstrike w:val="false"/>
                  <w:color w:val="000000"/>
                  <w:sz w:val="20"/>
                  <w:u w:val="none"/>
                  <w:effect w:val="none"/>
                </w:rPr>
                <w:t>PART IV</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0">
              <w:r>
                <w:rPr>
                  <w:rStyle w:val="InternetLink"/>
                  <w:rFonts w:ascii="Times New Roman;serif" w:hAnsi="Times New Roman;serif"/>
                  <w:b w:val="false"/>
                  <w:strike w:val="false"/>
                  <w:dstrike w:val="false"/>
                  <w:color w:val="000000"/>
                  <w:sz w:val="20"/>
                  <w:u w:val="none"/>
                  <w:effect w:val="none"/>
                </w:rPr>
                <w:t>Item 15</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0">
              <w:r>
                <w:rPr>
                  <w:rStyle w:val="InternetLink"/>
                  <w:rFonts w:ascii="Times New Roman;serif" w:hAnsi="Times New Roman;serif"/>
                  <w:b w:val="false"/>
                  <w:color w:val="0000F1"/>
                  <w:sz w:val="20"/>
                  <w:u w:val="single"/>
                </w:rPr>
                <w:t>Exhibits and Financial Statement Schedules</w:t>
              </w:r>
            </w:hyperlink>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20">
              <w:r>
                <w:rPr>
                  <w:rStyle w:val="InternetLink"/>
                  <w:rFonts w:ascii="Times New Roman;serif" w:hAnsi="Times New Roman;serif"/>
                  <w:b w:val="false"/>
                  <w:strike w:val="false"/>
                  <w:dstrike w:val="false"/>
                  <w:color w:val="000000"/>
                  <w:sz w:val="20"/>
                  <w:u w:val="none"/>
                  <w:effect w:val="none"/>
                </w:rPr>
                <w:t>115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3">
              <w:r>
                <w:rPr>
                  <w:rStyle w:val="InternetLink"/>
                  <w:rFonts w:ascii="Times New Roman;serif" w:hAnsi="Times New Roman;serif"/>
                  <w:b w:val="false"/>
                  <w:strike w:val="false"/>
                  <w:dstrike w:val="false"/>
                  <w:color w:val="000000"/>
                  <w:sz w:val="20"/>
                  <w:u w:val="none"/>
                  <w:effect w:val="none"/>
                </w:rPr>
                <w:t>Item 16</w:t>
              </w:r>
            </w:hyperlink>
          </w:p>
        </w:tc>
        <w:tc>
          <w:tcPr>
            <w:tcW w:w="876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3">
              <w:r>
                <w:rPr>
                  <w:rStyle w:val="InternetLink"/>
                  <w:rFonts w:ascii="Times New Roman;serif" w:hAnsi="Times New Roman;serif"/>
                  <w:b w:val="false"/>
                  <w:color w:val="0000F1"/>
                  <w:sz w:val="20"/>
                  <w:u w:val="single"/>
                </w:rPr>
                <w:t>Form 10-K Summary</w:t>
              </w:r>
            </w:hyperlink>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23">
              <w:r>
                <w:rPr>
                  <w:rStyle w:val="InternetLink"/>
                  <w:rFonts w:ascii="Times New Roman;serif" w:hAnsi="Times New Roman;serif"/>
                  <w:b w:val="false"/>
                  <w:strike w:val="false"/>
                  <w:dstrike w:val="false"/>
                  <w:color w:val="000000"/>
                  <w:sz w:val="20"/>
                  <w:u w:val="none"/>
                  <w:effect w:val="none"/>
                </w:rPr>
                <w:t>118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c1aa7d9ab94d4a4b85dd7f9bcc852041_226">
              <w:r>
                <w:rPr>
                  <w:rStyle w:val="InternetLink"/>
                  <w:rFonts w:ascii="Times New Roman;serif" w:hAnsi="Times New Roman;serif"/>
                  <w:b w:val="false"/>
                  <w:color w:val="0000F1"/>
                  <w:sz w:val="20"/>
                  <w:u w:val="single"/>
                </w:rPr>
                <w:t>Signatures</w:t>
              </w:r>
            </w:hyperlink>
          </w:p>
        </w:tc>
        <w:tc>
          <w:tcPr>
            <w:tcW w:w="8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c1aa7d9ab94d4a4b85dd7f9bcc852041_226">
              <w:r>
                <w:rPr>
                  <w:rStyle w:val="InternetLink"/>
                  <w:rFonts w:ascii="Times New Roman;serif" w:hAnsi="Times New Roman;serif"/>
                  <w:b w:val="false"/>
                  <w:strike w:val="false"/>
                  <w:dstrike w:val="false"/>
                  <w:color w:val="000000"/>
                  <w:sz w:val="20"/>
                  <w:u w:val="none"/>
                  <w:effect w:val="none"/>
                </w:rPr>
                <w:t>119</w:t>
              </w:r>
            </w:hyperlink>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at the time by ACM Research in the People’s Republic of China, or mainland China. The shares of ACM Shanghai </w:t>
      </w:r>
      <w:r>
        <w:rPr>
          <w:rFonts w:ascii="Times New Roman;serif" w:hAnsi="Times New Roman;serif"/>
          <w:b w:val="false"/>
          <w:color w:val="000000"/>
          <w:sz w:val="20"/>
        </w:rPr>
        <w:t>currently trade under the symbol SSEC: 688082.SS on the Shanghai SciTech</w:t>
      </w:r>
      <w:r>
        <w:rPr>
          <w:color w:val="000000"/>
          <w:shd w:fill="FFFFFF" w:val="clear"/>
        </w:rPr>
        <w:t xml:space="preserve"> </w:t>
      </w:r>
      <w:r>
        <w:rPr>
          <w:rFonts w:ascii="Times New Roman;serif" w:hAnsi="Times New Roman;serif"/>
          <w:b w:val="false"/>
          <w:color w:val="000000"/>
          <w:sz w:val="20"/>
          <w:shd w:fill="FFFFFF" w:val="clear"/>
        </w:rPr>
        <w:t>innovAtion boaRd, known as the STAR Market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Unless the context requires otherwise, references in this report to “our company,” “our,” “us,” “we” and similar terms refer to ACM Research, Inc. and its subsidiaries, including ACM Shanghai, collectively.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val="false"/>
          <w:color w:val="000000"/>
          <w:sz w:val="20"/>
          <w:shd w:fill="FFFFFF" w:val="clear"/>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w:t>
      </w:r>
      <w:r>
        <w:rPr>
          <w:rFonts w:ascii="Times New Roman;serif" w:hAnsi="Times New Roman;serif"/>
          <w:b w:val="false"/>
          <w:color w:val="000000"/>
          <w:sz w:val="20"/>
        </w:rPr>
        <w:t>ompanies. ACM Research has a direct ownership interest in ACM Shanghai as the result of its holding 74.6% of the outs</w:t>
      </w:r>
      <w:r>
        <w:rPr>
          <w:rFonts w:ascii="Times New Roman;serif" w:hAnsi="Times New Roman;serif"/>
          <w:b w:val="false"/>
          <w:color w:val="000000"/>
          <w:sz w:val="20"/>
          <w:shd w:fill="FFFFFF" w:val="clear"/>
        </w:rPr>
        <w:t>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w:t>
      </w:r>
      <w:r>
        <w:rPr>
          <w:color w:val="000000"/>
          <w:shd w:fill="FFFFFF" w:val="clear"/>
        </w:rPr>
        <w:t xml:space="preserve"> </w:t>
      </w:r>
      <w:r>
        <w:rPr>
          <w:rFonts w:ascii="Times New Roman;serif" w:hAnsi="Times New Roman;serif"/>
          <w:b w:val="false"/>
          <w:color w:val="000000"/>
          <w:sz w:val="20"/>
          <w:shd w:fill="FFFFFF" w:val="clear"/>
        </w:rPr>
        <w:t>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business of ACM Shanghai is subject to complex laws and regulations in mainland China that can change quickly with little or no advance notice. To date, we have not experienced such intervention or influence by mainland China central government authorities or a change in those authorities’ rules and regulations that have had a material impact on ACM Shanghai or ACM Research.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the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w:t>
      </w:r>
      <w:r>
        <w:rPr>
          <w:rFonts w:ascii="Times New Roman;serif" w:hAnsi="Times New Roman;serif"/>
          <w:b w:val="false"/>
          <w:color w:val="000000"/>
          <w:sz w:val="20"/>
        </w:rPr>
        <w:t>owing chart depicts our corporate</w:t>
      </w:r>
      <w:r>
        <w:rPr>
          <w:color w:val="000000"/>
          <w:shd w:fill="FFFFFF" w:val="clear"/>
        </w:rPr>
        <w:t xml:space="preserve"> </w:t>
      </w:r>
      <w:r>
        <w:rPr>
          <w:rFonts w:ascii="Times New Roman;serif" w:hAnsi="Times New Roman;serif"/>
          <w:b w:val="false"/>
          <w:color w:val="000000"/>
          <w:sz w:val="20"/>
        </w:rPr>
        <w:t>organization as of December 31, 2</w:t>
      </w:r>
      <w:r>
        <w:rPr>
          <w:rFonts w:ascii="Times New Roman;serif" w:hAnsi="Times New Roman;serif"/>
          <w:b w:val="false"/>
          <w:color w:val="000000"/>
          <w:sz w:val="20"/>
          <w:shd w:fill="FFFFFF" w:val="clear"/>
        </w:rPr>
        <w:t>025:</w:t>
      </w:r>
    </w:p>
    <w:p>
      <w:pPr>
        <w:pStyle w:val="TextBody"/>
        <w:bidi w:val="0"/>
        <w:spacing w:before="240" w:after="283"/>
        <w:jc w:val="both"/>
        <w:rPr/>
      </w:pPr>
      <w:r>
        <w:rPr/>
        <w:drawing>
          <wp:inline distT="0" distB="0" distL="0" distR="0">
            <wp:extent cx="6286500" cy="2381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286500" cy="2381250"/>
                    </a:xfrm>
                    <a:prstGeom prst="rect">
                      <a:avLst/>
                    </a:prstGeom>
                  </pic:spPr>
                </pic:pic>
              </a:graphicData>
            </a:graphic>
          </wp:inline>
        </w:drawing>
      </w:r>
      <w:bookmarkStart w:id="1" w:name="i-2"/>
      <w:bookmarkEnd w:id="1"/>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w:t>
      </w:r>
      <w:r>
        <w:rPr>
          <w:rFonts w:ascii="Times New Roman;serif" w:hAnsi="Times New Roman;serif"/>
          <w:b w:val="false"/>
          <w:color w:val="000000"/>
          <w:sz w:val="20"/>
        </w:rPr>
        <w:t>Ernst &amp; Young Hua Ming LLP, or E&amp;Y our independent registered public accounting firm for the fiscal year ended December 31, 2025, is based in mainland China. S</w:t>
      </w:r>
      <w:r>
        <w:rPr>
          <w:rFonts w:ascii="Times New Roman;serif" w:hAnsi="Times New Roman;serif"/>
          <w:b w:val="false"/>
          <w:color w:val="000000"/>
          <w:sz w:val="20"/>
          <w:shd w:fill="FFFFFF" w:val="clear"/>
        </w:rPr>
        <w:t xml:space="preserve">hould the PCAOB determine that is unable to inspect or investigate completely registered public accounting firms headquartered in mainland China and Hong Kong, including </w:t>
      </w:r>
      <w:r>
        <w:rPr>
          <w:rFonts w:ascii="Times New Roman;serif" w:hAnsi="Times New Roman;serif"/>
          <w:b w:val="false"/>
          <w:color w:val="000000"/>
          <w:sz w:val="20"/>
        </w:rPr>
        <w:t xml:space="preserve">E&amp;Y, ACM Research could be transferred to the SEC's </w:t>
      </w:r>
      <w:r>
        <w:rPr>
          <w:color w:val="000000"/>
          <w:shd w:fill="FFFFFF" w:val="clear"/>
        </w:rPr>
        <w:t>“</w:t>
      </w:r>
      <w:r>
        <w:rPr>
          <w:rFonts w:ascii="Times New Roman;serif" w:hAnsi="Times New Roman;serif"/>
          <w:b w:val="false"/>
          <w:color w:val="000000"/>
          <w:sz w:val="20"/>
          <w:shd w:fill="FFFFFF" w:val="clear"/>
        </w:rPr>
        <w:t>Conclusive list of issuers identified under the HFCA,” ("Conclusive List").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Conclusive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of this report for more information.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was amended by the Comprehensive Outbound Investment National Security Act (“COINS Act”) which was signed into law on December 18, 2025, although the provisions of the COINS Act will not come into effect until the Department of the Treasury issues implementing regulations, which by law must occur by March 2027.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CFIUS and OISP requirements, which together will limit cross-border investment opportunities, especially as they relate to China. The OISP regulations in effect today could be interpreted to restrict certain types of private investment in ACM Research in the United States, although these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6"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76" w:before="0" w:after="0"/>
        <w:jc w:val="both"/>
        <w:rPr/>
      </w:pPr>
      <w:r>
        <w:rPr>
          <w:rFonts w:ascii="Times New Roman;serif" w:hAnsi="Times New Roman;serif"/>
          <w:b w:val="false"/>
          <w:color w:val="000000"/>
          <w:sz w:val="20"/>
        </w:rPr>
        <w:t>do not impact investment in ACM Research’s publicly traded securities. The COINS Act reverses the possible application of the OISP to certain U.S. companies, including ACM Research, and therefore it appears ACM Research will not be subject to the OISP’s private investment restrictions once the provisions of the COINS Act enter into force in 2026 or 2027.</w:t>
      </w:r>
      <w:r>
        <w:rPr>
          <w:color w:val="000000"/>
        </w:rPr>
        <w:t xml:space="preserve"> </w:t>
      </w:r>
      <w:r>
        <w:rPr>
          <w:rFonts w:ascii="Times New Roman;serif" w:hAnsi="Times New Roman;serif"/>
          <w:b w:val="false"/>
          <w:color w:val="000000"/>
          <w:sz w:val="20"/>
        </w:rPr>
        <w:t xml:space="preserve">See “Item 1A. Risk Factors—Regulatory Risks—The U.S. Government has implemented an outbound investment review mechanism, which may prevent us from taking advantage of investment opportunities that could otherwise be advantageous to our stockholders” of this report for more information. </w:t>
      </w:r>
    </w:p>
    <w:p>
      <w:pPr>
        <w:pStyle w:val="TextBody"/>
        <w:bidi w:val="0"/>
        <w:spacing w:lineRule="auto" w:line="288" w:before="240" w:after="283"/>
        <w:jc w:val="both"/>
        <w:rPr/>
      </w:pPr>
      <w:r>
        <w:rPr>
          <w:rFonts w:ascii="Times New Roman;serif" w:hAnsi="Times New Roman;serif"/>
          <w:b w:val="false"/>
          <w:color w:val="000000"/>
          <w:sz w:val="20"/>
          <w:shd w:fill="FFFFFF" w:val="clear"/>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w:t>
      </w:r>
      <w:r>
        <w:rPr>
          <w:color w:val="000000"/>
          <w:shd w:fill="FFFFFF" w:val="clear"/>
        </w:rPr>
        <w:t xml:space="preserve"> </w:t>
      </w:r>
      <w:r>
        <w:rPr>
          <w:rFonts w:ascii="Times New Roman;serif" w:hAnsi="Times New Roman;serif"/>
          <w:b w:val="false"/>
          <w:color w:val="000000"/>
          <w:sz w:val="20"/>
          <w:shd w:fill="FFFFFF" w:val="clear"/>
        </w:rPr>
        <w:t>of this report, in particular the risk factors addressing the following issues: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pPr>
      <w:r>
        <w:rPr>
          <w:rFonts w:ascii="Times New Roman;serif" w:hAnsi="Times New Roman;serif"/>
          <w:b w:val="false"/>
          <w:color w:val="000000"/>
          <w:sz w:val="20"/>
          <w:shd w:fill="FFFFFF" w:val="clear"/>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Factors—Risks Related to International Aspects of Our Business”</w:t>
      </w:r>
      <w:r>
        <w:rPr>
          <w:color w:val="000000"/>
          <w:shd w:fill="FFFFFF" w:val="clear"/>
        </w:rPr>
        <w:t xml:space="preserve"> </w:t>
      </w:r>
      <w:r>
        <w:rPr>
          <w:rFonts w:ascii="Times New Roman;serif" w:hAnsi="Times New Roman;serif"/>
          <w:b w:val="false"/>
          <w:color w:val="000000"/>
          <w:sz w:val="20"/>
          <w:shd w:fill="FFFFFF" w:val="clear"/>
        </w:rPr>
        <w:t>of this report for more information.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7"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 AND STATISTICAL DATA</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pPr>
      <w:r>
        <w:rPr>
          <w:rFonts w:ascii="Times New Roman;serif" w:hAnsi="Times New Roman;serif"/>
          <w:b w:val="false"/>
          <w:color w:val="000000"/>
          <w:sz w:val="20"/>
        </w:rPr>
        <w:t xml:space="preserve">The information included under the heading “Item 1. Business,” of Part I of this report contains statistical data and estimates, including forecasts, that are based on information provided by </w:t>
      </w:r>
      <w:r>
        <w:rPr>
          <w:rFonts w:ascii="Times New Roman;serif" w:hAnsi="Times New Roman;serif"/>
          <w:b w:val="false"/>
          <w:color w:val="000000"/>
          <w:sz w:val="20"/>
          <w:shd w:fill="FFFFFF" w:val="clear"/>
        </w:rPr>
        <w:t>Gartner, Inc. ("Gartner") in "Forecast: Semiconductor Capital Spending, Wafer Fab Equipment and Capacity, Worldwide, 4Q25 Update, Bob Johnson et al., December 23, 2025."</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GARTNER is a trademark of Gartner, Inc. and its affiliates.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Gartner Content described herein ("Gartner Content"), represents research opinions or viewpoints published, as part of a syndicated subscription service, by Gartner, and are not representations of fact. Gartner Content speaks as of its original publication date (not as of the date of this report) and the opinions expressed in the Gartner Content are subject to change without notice.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are not aware of any misstatements in the Gartner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8"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supply advanced, innovative capital equipment developed for the global semiconductor industry.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products are designed to address yield-critical and performance-sensitive process steps that become increasingly difficult as semiconductor devices scale to smaller geometries and more complex structures. We focus on developing differentiated process solutions that enable effective particle removal, uniform material deposition, and reliable process control, while helping customers manage cost of ownership, throughput, and environmental considerations. We believe this approach has supported broader adoption of our tools across multiple technology nodes and device types.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Fabricators of advanced integrated circuits, or chips, can use our wet-cleaning, plating, furnace, PECVD, track, and other front-end processing equipment in numerous steps to improve product yield, even at increasingly advanced process nodes. We have designed these products for use in fabricating foundry, logic and memory chips, including dynamic random-access memory, or DRAM, and 3D NAND-flash memory chips. We also develop, manufacture and sell a range of advanced packaging equipment to wafer assembly and packaging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 from single wafer cleaning, Tahoe and semi-critical cleaning equipment totaled $626.0 million, or 69.5% of total revenue in 2025, $578.9 million, or 74.0% of total revenue in 2024, and $403.9 million, or 72.4% of total revenue in 2023. Revenue from ECP (front-end packaging), furnace and other technologies totaled $199.6 million, or 22.1% of total revenue in 2025, $151.1 million, or 19.3% of total revenue, in 2024, and $103.4 million, or 18.5% of total revenue in 2023. Revenue from advanced packaging (excluding ECP), services and spares totaled $75.8 million, or 8.4% of total revenue in 2025, $52.2 million, or 6.7% of total revenue in 2024, and $50.5 million, or 9.1% of total revenue in 2023. Selling prices for our tools generally range from $0.5 million to more than $5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based on third-party reports and on customer and other information, that our current product portfolio addresses approximately $21 billion of the 2025 global wafer fab equipment, or WFE, market. By product line, we estimate an approximately $7.3 billion market opportunity is addressed by our wafer cleaning equipment, $5.3 billion by our Plasma-Enhanced Chemical Vapor Deposition, or PECVD, equipment, $3.0 billion by our Track equipment, $2.6 billion by our furnace equipment, $1.5 billion by our electro-chemical plating, or ECP, equipment, and more than $1.2 billion by our stress-free polishing, advanced packaging, wafer processing, and other processing equipment. </w:t>
      </w:r>
    </w:p>
    <w:p>
      <w:pPr>
        <w:pStyle w:val="TextBody"/>
        <w:bidi w:val="0"/>
        <w:spacing w:lineRule="auto" w:line="288" w:before="240" w:after="283"/>
        <w:jc w:val="both"/>
        <w:rPr/>
      </w:pPr>
      <w:r>
        <w:rPr>
          <w:rFonts w:ascii="Times New Roman;serif" w:hAnsi="Times New Roman;serif"/>
          <w:b w:val="false"/>
          <w:color w:val="000000"/>
          <w:sz w:val="20"/>
        </w:rPr>
        <w:t>Gartner estimates the total worldwide semiconductor WFE market grew by 11.0% from $111.6 billion in 2024 to $123.9 billion in 2025, and estimates will increase by 11.8% to $138.5 billion in 2026. Gartner estimates China WFE decreased by 1.7%, from $40.0 billion in 2024 to $39.3 billion in 2025, and is expected to decrease by 9.9% to $35.4 billion in 2026</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lineRule="auto" w:line="288" w:before="240" w:after="283"/>
        <w:jc w:val="both"/>
        <w:rPr/>
      </w:pPr>
      <w:r>
        <w:rPr>
          <w:rFonts w:ascii="Times New Roman;serif" w:hAnsi="Times New Roman;serif"/>
          <w:b w:val="false"/>
          <w:color w:val="000000"/>
          <w:sz w:val="20"/>
        </w:rPr>
        <w:t>We have focused our selling efforts o</w:t>
      </w:r>
      <w:r>
        <w:rPr>
          <w:rFonts w:ascii="Times New Roman;serif" w:hAnsi="Times New Roman;serif"/>
          <w:b w:val="false"/>
          <w:color w:val="000000"/>
          <w:sz w:val="20"/>
          <w:shd w:fill="FFFFFF" w:val="clear"/>
        </w:rPr>
        <w:t>n establishing a referenceable base of leading foundry, logic and memory chip makers, whose use of our products can influence decisions by other manufacturers. We believe this customer base has helped us penetrate the mature chip manufacturing markets and build credibility with additional industry leaders. We have used a “demo-to-sales” process to place evaluation equipment, or “first tools,” with numerous selected customers.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date, a substantial majority of our sales of semiconductor capital equipment have been to customers located in Asia, and we anticipate that a substantial majority of our revenue from these products will continue to come from customers located in this region for the foreseeable future. Our operation includes sales, marketing and services personnel in North America, Western Europe and Southeast Asia to expand and support major new customer initiatives for the products of ACM Shanghai to additional regions beyond mainland China. </w:t>
      </w:r>
    </w:p>
    <w:p>
      <w:pPr>
        <w:pStyle w:val="TextBody"/>
        <w:bidi w:val="0"/>
        <w:spacing w:lineRule="auto" w:line="256"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information contains statistical data and estimates, including forecasts, that are based on information provided by Gartner®, "Forecast: Semiconductor Capital Spending, Wafer Fab Equipment and Capacity, Worldwide, 4Q25 Update, Revenue Basis, Bob Johnson et al., 23 December 2025."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9"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Our Technology and Product Offerings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Semiconductor manufacturing is becoming increasingly complex as device scaling, 3D architectures, advanced packaging, and power efficiency requirements place greater demands on yield-critical process steps. These trends increase the importance of differentiated process equipment capable of operating within tighter tolerances, supporting new materials, and integrating across multiple manufacturing stages.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develop and deliver a broad portfolio of differentiated semiconductor process equipment that spans front-end wafer fabrication through advanced packaging. Our product platforms are built around proprietary process technologies and system architectures designed to address increasingly complex device structures, tighter process windows, and rising yield sensitivity at advanced nodes. Our current business mix is primarily from wet cleaning, plating, and advanced packaging. We have been investing in the development of new products for several adjacent front-end process steps—including furnace, PECVD, and track—leveraging common design principles, modular platforms, and deep process integration.This multi-product approach enables us to support customers across a larger portion of the manufacturing flow, deepen technical engagement, and is intended to create additional growth opportunities over time.</w:t>
      </w:r>
    </w:p>
    <w:p>
      <w:pPr>
        <w:pStyle w:val="TextBody"/>
        <w:bidi w:val="0"/>
        <w:spacing w:before="240" w:after="283"/>
        <w:jc w:val="center"/>
        <w:rPr/>
      </w:pPr>
      <w:r>
        <w:rPr/>
        <w:drawing>
          <wp:inline distT="0" distB="0" distL="0" distR="0">
            <wp:extent cx="3533775" cy="34671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3533775" cy="3467100"/>
                    </a:xfrm>
                    <a:prstGeom prst="rect">
                      <a:avLst/>
                    </a:prstGeom>
                  </pic:spPr>
                </pic:pic>
              </a:graphicData>
            </a:graphic>
          </wp:inline>
        </w:drawing>
      </w:r>
      <w:bookmarkStart w:id="2" w:name="i-3"/>
      <w:bookmarkEnd w:id="2"/>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Wet Cleaning Equipment for Front End Production Processes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Wafer cleaning is a foundational process step in semiconductor manufacturing, directly impacting yield, reliability, and device performance across every major technology node. As device architectures have evolved toward smaller geometries, higher aspect ratios, and complex 3D structures, cleaning requirements have become increasingly demanding—requiring effective particle and residue removal while minimizing pattern damage and chemical consumption. Our wet cleaning portfolio is designed to address these challenges through proprietary process technologies, modular architectures, and application-specific configurations that support both advanced and mature nodes. Our solutions are deployed across multiple front-end process steps and are optimized to balance performance, yield, throughput, cost of ownership, and environmental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wet-cleaning platforms incorporate proprietary SAPS, TEBO, and Tahoe technologies, enabling effective removal of random particles while preserving delicate wafer features, even at increasingly advanced process nodes (the minimum line widths on a chip). The systems are built on a modular architecture that allows customers to tailor tool configurations to specific process requirements, while leveraging standardized chamber, electrical, chemical delivery, and control modules.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1"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approach supports rapid configuration, efficient qualification, and optimized chemical selection without sacrificing reliability or scalability. While our tools are primarily designed for 300mm silicon wafer manufacturing, we also offer solutions for 150mm and 200mm wafers, as well as non-standard substrates including compound semiconductors, quartz, sapphire, glass, and plastics.</w:t>
      </w:r>
    </w:p>
    <w:p>
      <w:pPr>
        <w:pStyle w:val="TextBody"/>
        <w:bidi w:val="0"/>
        <w:spacing w:lineRule="auto" w:line="288" w:before="240" w:after="283"/>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Space Alternated Phase Shift, or SAPS, technology for flat and patterned (deep via or deep trench with stronger structure) wafer surfaces. </w:t>
      </w:r>
      <w:r>
        <w:rPr>
          <w:rFonts w:ascii="Times New Roman;serif" w:hAnsi="Times New Roman;serif"/>
          <w:b w:val="false"/>
          <w:color w:val="000000"/>
          <w:sz w:val="20"/>
          <w:shd w:fill="FFFFFF" w:val="clear"/>
        </w:rPr>
        <w:t>SAPS technology employs alternating phases of megasonic waves to deliver megasonic energy in a highly uniform manner on a microscopic level. We have shown SAPS technology to be more effective than conventional megasonic and jet spray technologies in removing random defects across an entire wafer, with increasing relative effectiveness at more advanced production nodes.</w:t>
      </w:r>
    </w:p>
    <w:p>
      <w:pPr>
        <w:pStyle w:val="TextBody"/>
        <w:bidi w:val="0"/>
        <w:spacing w:lineRule="auto" w:line="288" w:before="0" w:after="0"/>
        <w:ind w:left="0" w:right="0" w:hanging="540"/>
        <w:jc w:val="both"/>
        <w:rPr/>
      </w:pPr>
      <w:r>
        <w:rPr>
          <w:color w:val="000000"/>
        </w:rPr>
        <w:t>•</w:t>
      </w:r>
      <w:r>
        <w:rPr>
          <w:rFonts w:ascii="Times New Roman;serif" w:hAnsi="Times New Roman;serif"/>
          <w:b w:val="false"/>
          <w:i/>
          <w:color w:val="000000"/>
          <w:sz w:val="20"/>
          <w:shd w:fill="FFFFFF" w:val="clear"/>
        </w:rPr>
        <w:t>Timely Energized Bubble Oscillation, or TEBO, technology for patterned wafer surfaces at advanced process nodes</w:t>
      </w:r>
      <w:r>
        <w:rPr>
          <w:rFonts w:ascii="Times New Roman;serif" w:hAnsi="Times New Roman;serif"/>
          <w:b w:val="false"/>
          <w:color w:val="000000"/>
          <w:sz w:val="20"/>
          <w:shd w:fill="FFFFFF" w:val="clear"/>
        </w:rPr>
        <w:t>. TEBO technology has been developed to provide effective, damage-free cleaning for 2D and 3D patterned wafers with fine feature sizes. We have demonstrated the damage-free cleaning capabilities of TEBO technology on patterned wafers for feature nodes as small as 1xnm (16 to 19 nanometers, or nm), and we have shown TEBO technology can be applied in manufacturing processes for patterned chips with 3D architectures having aspect ratios as high as 60</w:t>
        <w:noBreakHyphen/>
        <w:t>to</w:t>
        <w:noBreakHyphen/>
        <w:t>1.</w:t>
      </w:r>
    </w:p>
    <w:p>
      <w:pPr>
        <w:pStyle w:val="TextBody"/>
        <w:bidi w:val="0"/>
        <w:spacing w:lineRule="auto" w:line="288" w:before="0" w:after="0"/>
        <w:ind w:left="0" w:right="0" w:hanging="540"/>
        <w:jc w:val="both"/>
        <w:rPr/>
      </w:pPr>
      <w:r>
        <w:rPr>
          <w:color w:val="000000"/>
        </w:rPr>
        <w:t>•</w:t>
      </w:r>
      <w:r>
        <w:rPr>
          <w:rFonts w:ascii="Times New Roman;serif" w:hAnsi="Times New Roman;serif"/>
          <w:b w:val="false"/>
          <w:i/>
          <w:color w:val="000000"/>
          <w:sz w:val="20"/>
          <w:shd w:fill="FFFFFF" w:val="clear"/>
        </w:rPr>
        <w:t xml:space="preserve">Tahoe technology for cost and environmental savings. </w:t>
      </w:r>
      <w:r>
        <w:rPr>
          <w:rFonts w:ascii="Times New Roman;serif" w:hAnsi="Times New Roman;serif"/>
          <w:b w:val="false"/>
          <w:color w:val="000000"/>
          <w:sz w:val="20"/>
          <w:shd w:fill="FFFFFF" w:val="clear"/>
        </w:rPr>
        <w:t>Tahoe technology delivers high cleaning performance using significantly less sulfuric acid and hydrogen peroxide than is typically consumed by conventional high-temperature single-wafer cleaning tools.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Semi-critical cleaning. </w:t>
      </w:r>
      <w:r>
        <w:rPr>
          <w:rFonts w:ascii="Times New Roman;serif" w:hAnsi="Times New Roman;serif"/>
          <w:b w:val="false"/>
          <w:color w:val="000000"/>
          <w:sz w:val="20"/>
          <w:shd w:fill="FFFFFF" w:val="clear"/>
        </w:rPr>
        <w:t>Our cleaning portfolio also comprises a suite of semi-critical cleaning products including single wafer back-side cleaning, scrubber, and auto bench.</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ECP, Furnace, PECVD, and Track Platforms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Building on our core strengths in wet processing, ACM has expanded into several adjacent front-end process categories, including electrochemical plating (ECP), furnace, PECVD, and track platforms. Each of these product lines incorporates our differentiated approach to tool design, process control, and modular architecture, allowing us to apply proprietary technologies across multiple steps in the manufacturing flow. Our ECP portfolio addresses both front-end interconnect formation and back-end advanced packaging applications, while our furnace, PECVD, and track platforms are at earlier stages of customer evaluation and adoption, with meaningful long-term growth potential. Together, these platforms reflect our strategy to evolve into a broader, multi-product supplier supporting advanced logic, memory, power, and packaging applications.</w:t>
      </w:r>
    </w:p>
    <w:p>
      <w:pPr>
        <w:pStyle w:val="TextBody"/>
        <w:bidi w:val="0"/>
        <w:spacing w:lineRule="auto" w:line="288" w:before="240" w:after="283"/>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ECP technology for advanced metal plating. </w:t>
      </w:r>
      <w:r>
        <w:rPr>
          <w:rFonts w:ascii="Times New Roman;serif" w:hAnsi="Times New Roman;serif"/>
          <w:b w:val="false"/>
          <w:color w:val="000000"/>
          <w:sz w:val="20"/>
          <w:shd w:fill="FFFFFF" w:val="clear"/>
        </w:rPr>
        <w:t xml:space="preserve">Our Ultra ECP ap, or Advanced Packaging, technology was developed for back-end assembly processes to deliver a more uniform metal layer at the notch area of wafers prior to packaging. Our Ultra ECP map, or Multi-Anode Partial Plating, technology was developed for front-end wafer fabrication processes to deliver advanced electrochemical copper plating for copper interconnect applications. Ultra ECP map offers improved gap-filling performance for ultra-thin seed layer applications, which is critical for advanced nodes at 28nm, 14nm and beyond. </w:t>
      </w:r>
    </w:p>
    <w:p>
      <w:pPr>
        <w:pStyle w:val="TextBody"/>
        <w:bidi w:val="0"/>
        <w:spacing w:lineRule="auto" w:line="268" w:before="0" w:after="0"/>
        <w:ind w:left="0" w:right="0" w:hanging="540"/>
        <w:jc w:val="both"/>
        <w:rPr/>
      </w:pPr>
      <w:r>
        <w:rPr>
          <w:color w:val="000000"/>
          <w:shd w:fill="FFFFFF" w:val="clear"/>
        </w:rPr>
        <w:t>•</w:t>
      </w:r>
      <w:r>
        <w:rPr>
          <w:rFonts w:ascii="Times New Roman;serif" w:hAnsi="Times New Roman;serif"/>
          <w:b w:val="false"/>
          <w:i/>
          <w:color w:val="000000"/>
          <w:sz w:val="20"/>
        </w:rPr>
        <w:t>Ultra fn Furnace.</w:t>
      </w:r>
      <w:r>
        <w:rPr>
          <w:color w:val="000000"/>
        </w:rPr>
        <w:t xml:space="preserve"> </w:t>
      </w:r>
      <w:r>
        <w:rPr>
          <w:rFonts w:ascii="Times New Roman;serif" w:hAnsi="Times New Roman;serif"/>
          <w:b w:val="false"/>
          <w:color w:val="000000"/>
          <w:sz w:val="20"/>
        </w:rPr>
        <w:t xml:space="preserve">Our Ultra fn </w:t>
      </w:r>
      <w:r>
        <w:rPr>
          <w:rFonts w:ascii="Times New Roman;serif" w:hAnsi="Times New Roman;serif"/>
          <w:b w:val="false"/>
          <w:color w:val="000000"/>
          <w:sz w:val="20"/>
          <w:shd w:fill="FFFFFF" w:val="clear"/>
        </w:rPr>
        <w:t>Furnace is our first dry processing tool. Our</w:t>
      </w:r>
      <w:r>
        <w:rPr>
          <w:color w:val="000000"/>
        </w:rPr>
        <w:t xml:space="preserve"> </w:t>
      </w:r>
      <w:r>
        <w:rPr>
          <w:rFonts w:ascii="Times New Roman;serif" w:hAnsi="Times New Roman;serif"/>
          <w:b w:val="false"/>
          <w:color w:val="000000"/>
          <w:sz w:val="20"/>
        </w:rPr>
        <w:t>Ultra fn vertical furnace features a proprietary quartz-based process chamber capable of operating at temperatures up to 1250°C while maintaining uniformity, a performance level that we believe is not currently achieved by other vertical furnace platforms.</w:t>
      </w:r>
    </w:p>
    <w:p>
      <w:pPr>
        <w:pStyle w:val="TextBody"/>
        <w:bidi w:val="0"/>
        <w:spacing w:lineRule="auto" w:line="288" w:before="0" w:after="0"/>
        <w:ind w:left="0" w:right="0" w:hanging="540"/>
        <w:jc w:val="both"/>
        <w:rPr/>
      </w:pPr>
      <w:r>
        <w:rPr>
          <w:color w:val="000000"/>
        </w:rPr>
        <w:t>•</w:t>
      </w:r>
      <w:r>
        <w:rPr>
          <w:rFonts w:ascii="Times New Roman;serif" w:hAnsi="Times New Roman;serif"/>
          <w:b w:val="false"/>
          <w:i/>
          <w:color w:val="000000"/>
          <w:sz w:val="20"/>
        </w:rPr>
        <w:t xml:space="preserve">Ultra Pmax™ PECVD tools.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Ultra Pmax™ PECVD products are equipped with a proprietary designed chamber, gas distribution unit and chuck, and is intended to provide better film uniformity, reduced film stress, and improved particle performance.</w:t>
      </w:r>
    </w:p>
    <w:p>
      <w:pPr>
        <w:pStyle w:val="TextBody"/>
        <w:bidi w:val="0"/>
        <w:spacing w:lineRule="auto" w:line="288" w:before="0" w:after="0"/>
        <w:ind w:left="0" w:right="0" w:hanging="540"/>
        <w:jc w:val="both"/>
        <w:rPr/>
      </w:pPr>
      <w:r>
        <w:rPr>
          <w:color w:val="000000"/>
        </w:rPr>
        <w:t>•</w:t>
      </w:r>
      <w:r>
        <w:rPr>
          <w:rFonts w:ascii="Times New Roman;serif" w:hAnsi="Times New Roman;serif"/>
          <w:b w:val="false"/>
          <w:i/>
          <w:color w:val="000000"/>
          <w:sz w:val="20"/>
        </w:rPr>
        <w:t xml:space="preserve">Ultra Track. </w:t>
      </w:r>
      <w:r>
        <w:rPr>
          <w:rFonts w:ascii="Times New Roman;serif" w:hAnsi="Times New Roman;serif"/>
          <w:b w:val="false"/>
          <w:color w:val="000000"/>
          <w:sz w:val="20"/>
        </w:rPr>
        <w:t xml:space="preserve">Our Ultra </w:t>
      </w:r>
      <w:r>
        <w:rPr>
          <w:rFonts w:ascii="Times New Roman;serif" w:hAnsi="Times New Roman;serif"/>
          <w:b w:val="false"/>
          <w:color w:val="000000"/>
          <w:sz w:val="20"/>
          <w:shd w:fill="FFFFFF" w:val="clear"/>
        </w:rPr>
        <w:t>Track products include</w:t>
      </w:r>
      <w:r>
        <w:rPr>
          <w:color w:val="000000"/>
          <w:shd w:fill="FFFFFF" w:val="clear"/>
        </w:rPr>
        <w:t xml:space="preserve"> </w:t>
      </w:r>
      <w:r>
        <w:rPr>
          <w:rFonts w:ascii="Times New Roman;serif" w:hAnsi="Times New Roman;serif"/>
          <w:b w:val="false"/>
          <w:color w:val="000000"/>
          <w:sz w:val="20"/>
          <w:shd w:fill="FFFFFF" w:val="clear"/>
        </w:rPr>
        <w:t>a 300mm process tool that delivers uniform air downflow, fast robot handling and configurable software to address specific customer requirements, and has multiple features that enhance performance across defectivity, throughput, and cost of ownership.</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Advanced Packaging and other Back-End Processing Tools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leverage our technology and expertise to provide a range of single-wafer products for back-end wafer assembly and packaging customers. We develop, manufacture and sell a wide range of advanced packaging equipment, such as coaters, developers, photoresist strippers, scrubbers, wet etchers and copper-plating equipment. We focus on providing custom-made, differentiated equipment that incorporates customer-requested features at a competitive price.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example, our Ultra C Coater is used in applying photoresist, a light-sensitive material used in photolithography to transfer a pattern from a mask onto a wafer. Coaters typically provide input and output elevators, shuttle systems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2"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devices to handle and transport wafers during the coating process. Unlike most coaters, the Ultra C Coater is fully automated. Based on requests from customers, we developed and incorporated the special function of chamber auto-clean module into the Ultra C Coater, which further differentiates it from other products in the market by reducing or eliminating the cleaning of shroud in the coater which increases the tool’s continuous production time. The Ultra C Coater is designed to deliver improved throughput and more efficient tool utilization while eliminating particle generation.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other advanced packaging products include: Ultra ECP ap, which delivers a uniform metal layer to finished wafers prior to packaging; Ultra C Developer, which applies liquid developer to selected parts of photoresist to resolve an image; Ultra C PR Megasonic-Assisted Stripper, which removes photoresist; Ultra C Scrubber, which scrubs and cleans wafers; Ultra C Thin Wafer Scrubber, which addresses a sub-market of cleaning very thin wafers for certain Asian assembly factories; and Ultra C Wet Etcher, which etches silicon wafers and copper and titanium interconnects.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substantially all of our sales of equipment for semiconductor-manufacturing have been to customers located in mainland China,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lineRule="auto" w:line="288" w:before="240" w:after="283"/>
        <w:jc w:val="both"/>
        <w:rPr/>
      </w:pPr>
      <w:r>
        <w:rPr>
          <w:rFonts w:ascii="Times New Roman;serif" w:hAnsi="Times New Roman;serif"/>
          <w:b w:val="false"/>
          <w:color w:val="000000"/>
          <w:sz w:val="20"/>
          <w:shd w:fill="FFFFFF" w:val="clear"/>
        </w:rPr>
        <w:t>Since 2009 we have delivered m</w:t>
      </w:r>
      <w:r>
        <w:rPr>
          <w:rFonts w:ascii="Times New Roman;serif" w:hAnsi="Times New Roman;serif"/>
          <w:b w:val="false"/>
          <w:color w:val="000000"/>
          <w:sz w:val="20"/>
        </w:rPr>
        <w:t>ore than 1,435 tools to our customers, more than 1,255 of which were repeat orders or acceptances upon contractual performance obligations having be</w:t>
      </w:r>
      <w:r>
        <w:rPr>
          <w:rFonts w:ascii="Times New Roman;serif" w:hAnsi="Times New Roman;serif"/>
          <w:b w:val="false"/>
          <w:color w:val="000000"/>
          <w:sz w:val="20"/>
          <w:shd w:fill="FFFFFF" w:val="clear"/>
        </w:rPr>
        <w:t>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equipment can generally be configured for use by manufacturers, or customer types, who in turn build a range of different semiconductor types. Our revenue by customer type was distributed as follows: Foundry/Logic/Other represented 59%, 71%, and 64% of total revenue in 2025, 2024, and 2023, respectively; Memory represented 27%, 22%, and 24%; and Advanced Packaging/Wafer Processing represented 14%, 7%, and 13% for the same periods. For information on our customer concentration risks with respect to revenue and accounts receivable, see note 2 to the consolidated financial statements included in this report.</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Sales and Marketing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market and sell our products worldwide using a combination of our direct sales force and third-party representatives. We employ direct sales teams in mainland China, the United States, Southeast Asia, and Europe. We also employ field application engineers, who are typically co-located with our direct sales teams, to provide technical pre- and post-sale support and other assistance to existing and potential customers throughout the customers’ fab planning and production line qualification and fab expansion phases. Our field application engineers are organized by end markets as well as core competencies in hardware, control system, software and process development to support our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supplement our direct sales teams, we have contacts with several independent sales representatives in mainland China, Korea and Taiwan. We select these independent representatives based on their ability to provide effective field sales, marketing forecast and technical requirement updates for our products. In the case of representatives, our customers place purchase orders with us directly rather than with the representatives.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sales have historically been made using purchase orders with agreed technical specifications. Our sales terms and conditions are generally consistent with industry practice but may vary from customer to customer. We seek to obtain a purchase order four to six months ahead of the customer’s desired delivery date. Consistent with industry practice, customers may delay delivery, adjust, or cancel orders prior to shipment subject to penalties.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marketing team focuses on our product strategy and technology road maps, product marketing, new product introduction processes, demand assessment and competitive analysis, customer requirement communication and public relations. Our marketing team also has the responsibility to conduct environmental scans, study industry trends and arrange our participation at major trade shows.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3"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Manufacturing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conduct a substantial majority of our product development, manufacturing, support and services in mainland China, with additional product development and subsystem production in Korea. Substantially all of our tools are built to order at our Lingang development and production center. See “Item 2. Properties,” of Part I of this report.</w:t>
      </w:r>
    </w:p>
    <w:p>
      <w:pPr>
        <w:pStyle w:val="TextBody"/>
        <w:bidi w:val="0"/>
        <w:spacing w:lineRule="auto" w:line="288" w:before="240" w:after="283"/>
        <w:jc w:val="both"/>
        <w:rPr/>
      </w:pPr>
      <w:r>
        <w:rPr>
          <w:rFonts w:ascii="Times New Roman;serif" w:hAnsi="Times New Roman;serif"/>
          <w:b w:val="false"/>
          <w:color w:val="000000"/>
          <w:sz w:val="20"/>
          <w:shd w:fill="FFFFFF" w:val="clear"/>
        </w:rPr>
        <w:t>W</w:t>
      </w:r>
      <w:r>
        <w:rPr>
          <w:rFonts w:ascii="Times New Roman;serif" w:hAnsi="Times New Roman;serif"/>
          <w:b w:val="false"/>
          <w:color w:val="000000"/>
          <w:sz w:val="20"/>
        </w:rPr>
        <w:t>e purchase some of the components and assemblies that we subsequently integrate into our products from a range of suppliers, some of which are single-source suppliers, and/or U.S. based suppliers which can no longer supply ACM Shanghai, ACM Korea and related entities as a result of recently enacted regulations including designations on the BIS Entity List. We believe that we can obtain and qualify alternative sources to supply these components. Nevertheless, any delays or prolonged inability to obtain or to replace th</w:t>
      </w:r>
      <w:r>
        <w:rPr>
          <w:rFonts w:ascii="Times New Roman;serif" w:hAnsi="Times New Roman;serif"/>
          <w:b w:val="false"/>
          <w:color w:val="000000"/>
          <w:sz w:val="20"/>
          <w:shd w:fill="FFFFFF" w:val="clear"/>
        </w:rPr>
        <w:t>ese components could have an adverse effect on our operating results and could unfavorably impact our customer relationships. Please see “Item 1A. Risk Factors—Risks Related to Our Business and Our Industry—We depend on a limited number of suppliers, including single source suppliers, for critical components and assemblies, and our business could be disrupted if they are unable to meet our needs.”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Research and Development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success depends in part on our ability to develop and deliver breakthrough technologies and capabilities to meet our customers’ ever-more challenging technical requirements. For this reason, we devote significant financial and personnel resources to research and development. Our research and development team is comprised of highly skilled engineers and technologists with extensive experience across a range of technologies, cleaning processes and chemistry, mechanical design, and control system design.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Longer term, we are working on new proprietary process capabilities based on our existing tool hardware platforms. We are also working to integrate our tools with third-party tools in adjacent process areas in the chip manufacturing flow.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success and future revenue growth depend, in part, on our ability to protect our intellectual property. We control access to and use of our proprietary technologies, software and other confidential information through the use of internal and external controls, including contractual protections with employees, consultants, advisors, customers, partners and suppliers. We rely primarily on patent, copyright, trademark and trade secret laws, as well as confidentiality procedures, to protect our proprietary technologies and processes.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have aggressively pursued intellectual property since our founding in 1998. We focus our patent filing efforts in the United States, and, when justified by cost and strategic importance, we file corresponding foreign patent applications in strategic jurisdictions such as the European Union, mainland China, Japan, Singapore, Korea, and Taiwan. </w:t>
      </w:r>
      <w:r>
        <w:rPr>
          <w:rFonts w:ascii="Times New Roman;serif" w:hAnsi="Times New Roman;serif"/>
          <w:b w:val="false"/>
          <w:color w:val="000000"/>
          <w:sz w:val="20"/>
        </w:rPr>
        <w:t>Our patent strategy is designed to provide a balance between the need for coverage in our strategic markets and the need to maintain costs at a reasonable level.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have been issued more than 594 patents in the United States, mainland China, Japan, Korea, Singapore and Taiwan, including 82 issued patents, and 33 patents pending, in the United States. These patents carry expiration dates from 2027 through 2045. Many of the US patents and applications have also been filed internationally, including one or more of the European Union, Japan, mainland China, Singapore, Korea, and Taiwan. Specifically, we own patents in wafer cleaning, electro-polishing and plating, wafer preparation, and other semiconductor processing technologies.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advanced single-wafer cleaning systems equipped with our SAPS, TEBO and Tahoe technologies. We have 66 patents granted internationally protecting our SAPS technologies, and we have filed 13 international patent applications for key TEBO technologies, and 8 for Tahoe, in accordance with the Patent Cooperation Treaty. In addition, we have patented technologies for SFP and ECP that are embedded in certain tools. We also have patented technologies in other semiconductor processing areas, including wafer preparation and several specific processing steps.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date we have not granted licenses to third parties under the patents described above. Not all of these patents have been implemented in products. We may enter into licensing or cross-licensing arrangements with other companies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4"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cannot assure you that any patents will issue from any of our pending applications. Any rights granted under any of our existing or future patents may not provide meaningful protection or any commercial advantage to us. With respect to our other proprietary rights, it may be possible for third parties to copy or otherwise obtain and use our proprietary technology or marks without authorization or to develop similar technology independently.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semiconductor equipment industry is characterized by vigorous protection and pursuit of intellectual property rights or positions, which have resulted in often protracted and expensive litigation. We may in the future initiate claims or litigation against third parties to determine the validity and scope of proprietary rights of others. In addition, we may in the future initiate litigation to enforce our intellectual property rights or the rights of our customers or to protect our trade secrets.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customers could become the target of litigation relating to the patent or other intellectual property rights of others. This could trigger technical support and indemnification obligations in some of our customer agreements. These obligations could result in substantial expenses, including the payment by us of costs and damages related to claims of patent infringement. In addition to the time and expense required for us to provide support or indemnification to our customers, any such litigation could disrupt the businesses of our customers, which in turn could hurt our relations with our customers and cause the sale of our products to decrease. We do not have any insurance coverage for intellectual property infringement claims for which we may be obligated to provide indemnification.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 information about the risks relating to our intellectual property is provided under “Item 1A. Risk Factors—Risks Related to Our Intellectual Property and Data Security.”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240" w:after="283"/>
        <w:jc w:val="both"/>
        <w:rPr/>
      </w:pPr>
      <w:r>
        <w:rPr>
          <w:rFonts w:ascii="Times New Roman;serif" w:hAnsi="Times New Roman;serif"/>
          <w:b w:val="false"/>
          <w:color w:val="000000"/>
          <w:sz w:val="20"/>
          <w:shd w:fill="FFFFFF" w:val="clear"/>
        </w:rPr>
        <w:t>The chip equipment industry is characterized by rapid change and is highly competitive throughout the world. We compete with semiconductor equipment companies located around the world, and we may also face competition from new and emerging companies, including new competitors from mainland China. We consider our principal competitors to be those companies that provide wafer cleaning, electrical plating and furnace products to the global market, including Lam Research Corporation, NAURA Technology Group Co., Ltd., SCREEN Holdings Co., Ltd., SEMES Co. Ltd., Tokyo Electron Ltd. and Kokusai Semiconductor Equipment Corporation. Principal competitors for our PECVD and Track products also include Lam Research Corporation, Applied Materials, Inc., and Suzhou Jingtuo Semiconductor Technology Co., Ltd</w:t>
      </w:r>
      <w:r>
        <w:rPr>
          <w:rFonts w:ascii="Times New Roman;serif" w:hAnsi="Times New Roman;serif"/>
          <w:b w:val="false"/>
          <w:color w:val="000000"/>
          <w:sz w:val="20"/>
        </w:rPr>
        <w:t>. We also face additional competitors based in mainland China across multiple product lines due in part to the recent entrants of local equipment suppliers.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Compared to our company, our current and potential competitors may have: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better established credibility and market reputations, longer operating histories, and broader product offerings;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significantly greater financial, technical, marketing and other resources, which may allow them to pursue design, development, manufacturing, sales, marketing, distribution and service support of their products;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more extensive customer and partner relationships, which may position them to identify and respond more successfully to market developments and changes in customer demands;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multiple product offerings, which may enable them to offer bundled discounts for customers purchasing multiple products or other incentives that we cannot match or offer.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principal competitive factors in our market include: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performance of products, including particle removal efficiency, rate of damage to wafer structures, high temperature chemistry, throughput, tool uptime and reliability, safety, chemical waste treatment, and environmental impact;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gap filling capability, the deposited film thickness uniformity within wafer and wafer to wafer, particle generated on the wafer during the processes;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service support capability and spare parts delivery time; innovation and development of functionality and features that are must-haves for advanced fabrication nodes;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ability to anticipate customer requirements, especially for advanced process nodes of less than 45nm; ability to identify new process applications;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brand recognition and reputation;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skill and capability of personnel, including design engineers, manufacturing engineers and technicians, application engineers, and service engineers.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semiconductor manufacturers must make a substantial investment to qualify and integrate new equipment into semiconductor production lines. Once a semiconductor manufacturer has selected a particular supplier’s equipment and qualified it for production, the manufacturer generally maintains that selection for that specific production application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15"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node as long as the supplier’s products demonstrate performance to specification in the installed base. Accordingly, we may experience difficulty in selling to a given manufacturer if that manufacturer has qualified a competitor’s equipment. If, however, that cleaning equipment constrains chip yield, we expect, based on our experience to date, that the manufacturer will evaluate implementing new equipment that cleans more effectively.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Our People </w:t>
      </w:r>
    </w:p>
    <w:p>
      <w:pPr>
        <w:pStyle w:val="TextBody"/>
        <w:bidi w:val="0"/>
        <w:spacing w:lineRule="auto" w:line="288" w:before="240" w:after="283"/>
        <w:jc w:val="both"/>
        <w:rPr/>
      </w:pPr>
      <w:r>
        <w:rPr>
          <w:rFonts w:ascii="Times New Roman;serif" w:hAnsi="Times New Roman;serif"/>
          <w:b w:val="false"/>
          <w:color w:val="000000"/>
          <w:sz w:val="20"/>
        </w:rPr>
        <w:t>As of December 31, 2025, we had 2,513 full-time equivalent employees, of whom 196 were in administration, 365 were in manufacturing, 1,228 were in research and development, and 724</w:t>
      </w:r>
      <w:r>
        <w:rPr>
          <w:color w:val="000000"/>
        </w:rPr>
        <w:t xml:space="preserve"> </w:t>
      </w:r>
      <w:r>
        <w:rPr>
          <w:rFonts w:ascii="Times New Roman;serif" w:hAnsi="Times New Roman;serif"/>
          <w:b w:val="false"/>
          <w:color w:val="000000"/>
          <w:sz w:val="20"/>
        </w:rPr>
        <w:t>were in sales and marketing and customer services. Of these employees, 2,357 were located in mainland China and the Taiwan region, 127 were located in Korea and 29 were based in the United States. We have never had a work stoppage, and none of our employees are represented by a labor organization or subject to any collective bargaining arrangements. We consider our employee relations to be good.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compete in the highly competitive semiconductor equipment industry, with operations principally in mainland China.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our corporate philosophy of talent development and career opportunities, and compensation and benefits.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attract and retain qualified employees and key talent, we offer total compensation packages that are competitive with comparable companies, particularly in mainland China and, specifically, Shanghai.</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provide training and development programs to our employees, and we have trained many of our key engineers and managers for more than a decade. Retention of these key employees is critical to secure our future growth and technology development. To assist in employee retention and recruitment, we offer employee housing in the Lingang region of Shanghai nearby our new research and development and production center.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Severe weather events, including earthquakes, fires, floods, heat waves, hurricanes and other environmental disasters, could pose a threat to our manufacturing and research and development activities through physical damage to our operating facilities or equipment or disruption of power supply or telecommunications infrastructure. The frequency and intensity of severe weather events are reportedly increasing throughout the world as part of broader climate changes. Global weather pattern changes may also pose long-term risks of physical impacts to our business. We maintain disaster recovery and business continuity plans that would be implemented to help us recover in the event of severe weather events that interrupt our business. See “Item 1A. Risk Factors—General—Our production facilities could be damaged or disrupted by a natural disaster, war, terrorist attacks or other catastrophic events.”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Concerns about climate change have resulted in various laws and regulations that are intended to limit carbon emissions and address other environmental concerns. In recent years, mainland China, where our production facilities are located, has undertaken comprehensive sustainability initiatives that are requiring companies to meet new environmental standards and deal with higher energy and other production costs. Environmental laws and regulations may impose new or unexpected cost either directly through, for example, higher energy costs or indirectly through increased costs of compliance or of failing to comply with these laws and regulations. These laws and regulations might increase the cost of construction, maintenance and operation of our new research and development center and factory in the Lingang region of Shanghai.</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currently expect that existing or pending climate change laws and regulations will be material to our results of operations in the foreseeable future. Climate change could, however, have a direct effect on our customer base of semiconductor fabricators, whose operations typically require copious quantities of power and water and a number of chemicals. Chip fabrication operations often result in significant amounts of wastewater, which can contain a number of harmful contaminants, including antimony, arsenic, hydrofluoric acid and hydrogen peroxide, that historically have resulted in groundwater pollution and related violations of environmental laws. Moreover, water and chemical demands for semiconductor fabrication are expected to increase with the production of more advanced chips at smaller process nodes. As a result, some leading chip fabricators have begun to invest in conservation and treatment technologies for water and chemicals.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designed some of our tools to require significantly reduced levels of environmentally harmful chemicals, which helps customers face increased environmental laws and regulations. SAPS and TEBO technologies use environmentally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16"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friendly dilute chemicals, such as dilute hydrofluoric acid, RCA SC-1 solution, ozonated de-ionized water and functional de-ionized water with dissolved hydrogen. In interconnect and barrier metals applications based on SAPS technology, for example, these chemical solutions take the place of chemicals such as piranha solution, a high-temperature mixture of sulfuric acid and hydrogen peroxide used by conventional wet wafer cleaning processes. Similarly, Tahoe technology delivers high cleaning performance using significantly less sulfuric acid and hydrogen peroxide than is typically consumed by conventional high-temperature single-wafer cleaning tools. For additional information, see “—Our Technology and Product Offerings—Wet Cleaning Equipment for Front End Production Processes.”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required to file annual, quarterly and current reports, proxy statements and other information with the U.S. Securities and Exchange Commission, or the SEC. The SEC maintains a website at www.sec.gov that contains reports, proxy and information statements, and other information regarding issuers that file electronically with the SEC.</w:t>
      </w:r>
    </w:p>
    <w:p>
      <w:pPr>
        <w:pStyle w:val="TextBody"/>
        <w:bidi w:val="0"/>
        <w:spacing w:lineRule="auto" w:line="288" w:before="240" w:after="283"/>
        <w:jc w:val="both"/>
        <w:rPr/>
      </w:pPr>
      <w:r>
        <w:rPr>
          <w:rFonts w:ascii="Times New Roman;serif" w:hAnsi="Times New Roman;serif"/>
          <w:b w:val="false"/>
          <w:color w:val="000000"/>
          <w:sz w:val="20"/>
          <w:shd w:fill="FFFFFF" w:val="clear"/>
        </w:rPr>
        <w:t>Our Annual Reports on Form 10-K, Quarterly Reports on Form 10-Q, Current Reports on Form 8-K, proxy statements and amendments to those documents filed or furnished pursuant to Section 13(a) or 15(d) of the Securities Exchange Act of 1934, or the Exchange Act, are also available free of charge on our website at</w:t>
      </w:r>
      <w:r>
        <w:rPr>
          <w:color w:val="000000"/>
        </w:rPr>
        <w:t xml:space="preserve"> </w:t>
      </w:r>
      <w:r>
        <w:rPr>
          <w:rFonts w:ascii="Times New Roman;serif" w:hAnsi="Times New Roman;serif"/>
          <w:b w:val="false"/>
          <w:color w:val="000000"/>
          <w:sz w:val="20"/>
        </w:rPr>
        <w:t>www.acmr.com a</w:t>
      </w:r>
      <w:r>
        <w:rPr>
          <w:rFonts w:ascii="Times New Roman;serif" w:hAnsi="Times New Roman;serif"/>
          <w:b w:val="false"/>
          <w:color w:val="000000"/>
          <w:sz w:val="20"/>
          <w:shd w:fill="FFFFFF" w:val="clear"/>
        </w:rPr>
        <w:t>s soon as reasonably practicable after such reports are electronically filed with or furnished to the SEC.</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should note that we announce material information to our investors and others using filings with the SEC, press releases, public conference calls, webcasts or our website (www.acmr.com), including news and announcements regarding our financial performance, key personnel, our brands and our business strategy. Information that we post on our corporate website could be deemed material to investors. We encourage investors to review the information we post on these channels. We may from time to time update the list of channels we will use to communicate information that could be deemed material and will post information about any such change on www.acmr.com. The information on our website is not, and shall not be deemed to be, a part hereof or incorporated into this or any of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Class A common stock involves a high degree of risk. You should consider and read carefully all of the risks and uncertainties described below, as well as other information contained in this report, including the consolidated financial statements and related notes set forth in “Item 8. Financial Statements and Supplementary Data”, before making an investment decision. The occurrence of any of the following risks or additional risks and uncertainties not presently known to us or that we currently believe to be immaterial could materially and adversely affect our business, financial condition, results of operations or cash flows. In any such case, the trading price of Class A common stock could decline, and you may lose all or part of your investment. This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pStyle w:val="TextBody"/>
        <w:bidi w:val="0"/>
        <w:spacing w:lineRule="auto" w:line="288" w:before="240" w:after="283"/>
        <w:jc w:val="both"/>
        <w:rPr/>
      </w:pPr>
      <w:r>
        <w:rPr>
          <w:rFonts w:ascii="Times New Roman;serif" w:hAnsi="Times New Roman;serif"/>
          <w:b/>
          <w:color w:val="000000"/>
          <w:sz w:val="20"/>
        </w:rPr>
        <w:t>R</w:t>
      </w:r>
      <w:r>
        <w:rPr>
          <w:rFonts w:ascii="Times New Roman;serif" w:hAnsi="Times New Roman;serif"/>
          <w:b/>
          <w:color w:val="000000"/>
          <w:sz w:val="14"/>
        </w:rPr>
        <w:t>ISK</w:t>
      </w:r>
      <w:r>
        <w:rPr>
          <w:color w:val="000000"/>
        </w:rPr>
        <w:t xml:space="preserve"> </w:t>
      </w:r>
      <w:r>
        <w:rPr>
          <w:rFonts w:ascii="Times New Roman;serif" w:hAnsi="Times New Roman;serif"/>
          <w:b/>
          <w:color w:val="000000"/>
          <w:sz w:val="20"/>
        </w:rPr>
        <w:t>F</w:t>
      </w:r>
      <w:r>
        <w:rPr>
          <w:rFonts w:ascii="Times New Roman;serif" w:hAnsi="Times New Roman;serif"/>
          <w:b/>
          <w:color w:val="000000"/>
          <w:sz w:val="14"/>
        </w:rPr>
        <w:t>ACTOR</w:t>
      </w:r>
      <w:r>
        <w:rPr>
          <w:color w:val="000000"/>
        </w:rPr>
        <w:t xml:space="preserve"> </w:t>
      </w:r>
      <w:r>
        <w:rPr>
          <w:rFonts w:ascii="Times New Roman;serif" w:hAnsi="Times New Roman;serif"/>
          <w:b/>
          <w:color w:val="000000"/>
          <w:sz w:val="20"/>
        </w:rPr>
        <w:t>S</w:t>
      </w:r>
      <w:r>
        <w:rPr>
          <w:rFonts w:ascii="Times New Roman;serif" w:hAnsi="Times New Roman;serif"/>
          <w:b/>
          <w:color w:val="000000"/>
          <w:sz w:val="14"/>
        </w:rPr>
        <w:t>UMMARY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Our business is subject to a number of risks, including risks that may prevent us from achieving our business objectives or may adversely affect our business, financial condition, results of operations, cash flows and prospects. The risks are discussed more fully below and include, but are not limited to, the risks summarized below.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International Aspects of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17"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w:t>
      </w:r>
      <w:r>
        <w:rPr>
          <w:color w:val="000000"/>
        </w:rPr>
        <w:t xml:space="preserve"> </w:t>
      </w:r>
      <w:r>
        <w:rPr>
          <w:rFonts w:ascii="Times New Roman;serif" w:hAnsi="Times New Roman;serif"/>
          <w:b w:val="false"/>
          <w:color w:val="000000"/>
          <w:sz w:val="20"/>
        </w:rPr>
        <w:t>cause significant declines in the value of ACM Research Class A common stock, or make them worthless;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unable to comply with recent and proposed legislation and regulations regarding improved access to audit and other information and audit inspections of accounting firms, including registered public accounting firms, such as our prior and current audit firms, operating in mainland China, we could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it may be difficult for overseas regulators to conduct investigations or collect evidence within mainland China;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substantially all of our assets are located outside of the United States which may make it difficult for you to enforce your rights based on the U.S. federal securities laws;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potential future needs for additional capital that may not be available at all or on terms acceptable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cyclicality in the semiconductor industry that may lead to substantial variations in demand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a small number of customers for a substantial portion of our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industry manufacturers of chips adopting our SAPS, TEBO, Tahoe, ECP, furnace and other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SAPS, TEBO, Tahoe, ECP, furnace and other technologies not achieving widespread market acceptance;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continue to enhance our existing single-wafer wet cleaning tools and identifying and entering new product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establish and maintain a reputation for credibility and product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expand our customer base;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long and unpredictable sales cycle, including our deployment of significant expenses long before we can recognize revenue from new products, if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forecasting demand for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third parties to manufacture significant portions of our tools and our ability to manage our relationships with these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shortage of components or subassemblies, which could result in delayed delivery of products to us or in increased costs to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a limited number of suppliers, including single source suppliers, for critical components and subassemblies;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our Chief Executive Officer and President and other senior management and key employees;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Regulatory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actions limiting our ability and the broader industry's ability to export into China, as well as other specified countries, items, software, or technology sourced from the U.S. or otherwise subject to control under the U.S. Export Administration Regulations (EAR), or controls introduced by other countries including Japan and the Netherlands, thereby impacting our ability to sell our tools to customers in these jurisdictions, source certain services from these jurisdictions, and/or engage in R&amp;D activities with our foreign affiliates;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operations in mainland China and Korea subsidiaries, including the import of components, technology, and activities of U.S. personnel therein, may be further impacted by the addition of ACM Shanghai, ACM Korea and related entities to the BIS Entity List;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U.S. Government has implemented an outbound investment review mechanism, which may prevent us from taking advantage of investment opportunities outside the United States and/or receiving capital from investors in the United States that could otherwise be advantageous to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government trade policies that could limit the demand for our tools and/or increase the cost of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risks related to recent U.S. tariffs on the semiconductor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political and economic policies with respect to mainland China;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mainland China’s currency exchange control and government restrictions on investment repatriation may impact our ability to transfer funds outside of mainland China; </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the STAR Listing of ACM Shanghai</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implement our strategy to expand our mainland China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18"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achieve the results contemplated by our business strategy and our strategy for growth in mainland China and expectations related to the STAR Listing;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ACM Shanghai’s status as a publicly traded company that is controlled, but less than wholly owned, by ACM Research;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manage potentially inconsistent accounting and disclosure requirements of ACM Research and ACM Shanghai as a result of the STAR Listing;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 and Data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our intellectual property, including in mainland China;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breaches of our cybersecurity systems;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volatility in the market price of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difficulty to predict the effect of the STAR Listing on the Class A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dual class structure of common stock, which has the effect of concentrating voting control with our executive officers and directors;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manipulative short sellers of our stock, which may drive down the market price of our Class A common stock and could result in litigation;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International Aspects of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Mainland China central government authorities have taken steps to preclude, or significantly discourage, certain mainland China companies from listing on U.S. and other exchanges outside mainland China. Investments activities in mainland China by non-mainland China investors are principally governed by the Encouraged Industries Catalog for Foreign Investment (2020 version) and the Special Administrative Measures for Foreign Investment Access (Negative List 2021), both of which were promulgated by mainland China’s Ministry of Commerce, or MOFCOM, and National Development and Reform Commission. These regulations set forth the industries in which foreign investments are encouraged, restricted and prohibited.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Industries that are not listed in any of these three categories are generally open to foreign investment unless otherwise specifically restricted by other mainland China rules and regulations. We believe that our operations do not fall within any industry that is restricted or prohibited under these regulations and that the regulations therefore do not apply to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Mainland China-based companies that seek to list their shares in the United States but are subject to mainland China restrictions on investments by non-mainland China investors sometimes use a special purpose vehicle known as a VIE created in an off-shore jurisdiction such as the Cayman Islands. In these structures, a VIE enters into a series of contractual arrangements with mainland China-based operating company and its mainland China-based shareholders that afford those shareholders, rather than the shareholders of the VIE, effective control over the finances and operations of the operating company. The VIE, effectively a shell company, issues share that are listed for trading on a U.S. exchange, but the enterprise is controlled by the legacy mainland China-based shareholders and is subject to mainland China laws and regulations. ACM Research is not a VIE or other special purpose, or shell, company, and its relationship with ACM Shanghai does not involve the types of contractual arrangements existing between a VIE and a mainland China-based operating company. ACM Research is a Delaware corporation founded in California in 1998 that formed ACM Shanghai to conduct business operations in mainland China. ACM Research controls the operations of ACM Shanghai through its direct ownership of ACM Shanghai shares, and it also conducts sales and marketing activities focused on sales of ACM Shanghai products in North America, Europe and certain regions in Asia outside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19"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do not believe that our corporate structure or any other matters relating to our business operations currently require that ACM Shanghai obtain any permissions or approvals from the China Securities Regulatory Commission, or CSRC, or any other mainland China central government authority in connection with ACM’s listing, or offering for sale in the future, shares of our Class A common stock in the United States. We, including ACM Shanghai, therefore have never solicited any permission or approval from any mainland China central government authority, and thus no such permissions or approvals have been received or denied, in connection with ACM Research’s seeking and maintaining the listing of our Class A common stock in the United States. In the event that we inadvertently conclude that permissions or approvals are not required, or either the CSRC or another mainland China central government authority were to determine that existing mainland China laws or regulations require that ACM Shanghai obtain the authority’s permission or approval to continue ACM Research’s listing of Class A common stock in the United States or if those existing mainland China laws and regulations, or interpretations thereof, were to change to require such permission or approval, ACM Shanghai could be unable to obtain any such permission or approval or could be able to obtain such permission or approval only on terms and conditions that impose material new operating or other restrictions and limitations on ACM Shanghai. In such circumstances, it would materially and adversely affect the value of our Class A common stock, which may decline in value or become worthless. In addition, ACM Shanghai could face sanctions by the CSRC or other mainland China central government authorities or pressure from the mainland China government in various business matters for failure to obtain such permission or approval. Such potential sanctions or pressure may include fines and penalties on ACM Shanghai’s operations in mainland China, limitations on its operating privileges in mainland China, delays in or restrictions on the transfer of proceeds from a public offering of ACM Research securities in the United States to ACM Shanghai, restrictions on or prohibition of the payments or remittance of dividends by ACM Shanghai to ACM Research, or other actions that could have a material and adverse effect on our business, financial condition, results of operations, reputation and prospects, as well as the trading price of ACM Research Class A common stock, which could decline in value or become worthless.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business of ACM Shanghai is subject to complex laws and regulations in mainland China that can change quickly with little or no advance notice. We have not experienced such intervention or influence by mainland China central government authorities or a change in those authorities’ rules and regulations that have had a material impact of ACM Shanghai or ACM Research. We cannot assure you, however, that future changes in mainland China laws and regulations will not materially and adversely affect our mainland China-based operations. For example: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Intellectual Property</w:t>
      </w:r>
      <w:r>
        <w:rPr>
          <w:rFonts w:ascii="Times New Roman;serif" w:hAnsi="Times New Roman;serif"/>
          <w:b w:val="false"/>
          <w:color w:val="000000"/>
          <w:sz w:val="20"/>
        </w:rPr>
        <w:t>. Our commercial success depends in part on our ability to obtain and maintain patent and trade secret protection for our intellectual property, including our SAPS, TEBO, Tahoe, ECP, furnace and other technologies and the design of our Ultra C equipment. See “—Risks Related to Our Intellectual Property and Data Security—</w:t>
      </w:r>
      <w:r>
        <w:rPr>
          <w:rFonts w:ascii="Times New Roman;serif" w:hAnsi="Times New Roman;serif"/>
          <w:b w:val="false"/>
          <w:i/>
          <w:color w:val="000000"/>
          <w:sz w:val="20"/>
        </w:rPr>
        <w:t>Our success depends on our ability to protect our intellectual property, including our SAPS, TEBO, Tahoe, ECP, furnace and other technologies</w:t>
      </w:r>
      <w:r>
        <w:rPr>
          <w:rFonts w:ascii="Times New Roman;serif" w:hAnsi="Times New Roman;serif"/>
          <w:b w:val="false"/>
          <w:color w:val="000000"/>
          <w:sz w:val="20"/>
        </w:rPr>
        <w:t>.” in Item 1A, “Risk Factors” of Part I of this report. The significant majority of our intellectual property has been developed in mainland China and is owned by ACM Shanghai. Implementation and enforcement of intellectual property-related laws in mainland China have historically been lacking due primarily to ambiguities in mainland China intellectual property law. See “—Risks Related to Our Intellectual Property and Data Security—</w:t>
      </w:r>
      <w:r>
        <w:rPr>
          <w:rFonts w:ascii="Times New Roman;serif" w:hAnsi="Times New Roman;serif"/>
          <w:b w:val="false"/>
          <w:i/>
          <w:color w:val="000000"/>
          <w:sz w:val="20"/>
        </w:rPr>
        <w:t>We may not be able to protect our intellectual property rights throughout the world, including mainland China, which could materially, negatively affect our business</w:t>
      </w:r>
      <w:r>
        <w:rPr>
          <w:color w:val="000000"/>
        </w:rPr>
        <w:t xml:space="preserve">” </w:t>
      </w:r>
      <w:r>
        <w:rPr>
          <w:rFonts w:ascii="Times New Roman;serif" w:hAnsi="Times New Roman;serif"/>
          <w:b w:val="false"/>
          <w:color w:val="000000"/>
          <w:sz w:val="20"/>
        </w:rPr>
        <w:t>in Item 1A, “Risk Factors” of Part I of this report. In the event mainland China central government authorities were to significantly revise or revamp the current scope and structure of intellectual property protection in mainland China, our ability to protect and enforce our intellectual property rights for our key proprietary technologies may be adversely impacted and competitors may be able to match our technologies and tools in order to compete with us.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Data Security</w:t>
      </w:r>
      <w:r>
        <w:rPr>
          <w:rFonts w:ascii="Times New Roman;serif" w:hAnsi="Times New Roman;serif"/>
          <w:b w:val="false"/>
          <w:color w:val="000000"/>
          <w:sz w:val="20"/>
        </w:rPr>
        <w:t xml:space="preserve">. The Standing Committee of the National People’s Congress, or the Standing Committee, has promulgated the Cyber Security Law, which imposes requirements on entities who build and operate mainland China’s internet architecture or provide services in mainland China over the internet, and the Data Security Law, which imposes data security and privacy obligations on entities and individuals carrying out data activities. The Data Security Law also provides for a national security review procedure for data activities that may affect national security and imposes export restrictions on certain data an information. ACM Shanghai is not subject to the existing restrictions imposed by the Cyber Security Law or the Data Security Law, in part because its business operations do not involve the collection, processing or use of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0"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or information involving personal privacy or private information of customers. In addition, ACM Shanghai is subject to oversight by the Cyberspace Administration of China, or the CAC, regarding data security. ACM Shanghai does not collect or maintain personal information except for routine personal information necessary to process payroll payments and other benefits and emergency contact information, and as a result, ACM Shanghai is not currently subject to significant restrictions or limitations in addressing and managing data security issues and complying with CAC regulations. To date, ACM Shanghai has not been involved in any investigations on cybersecurity review initiated by the CAC or any related mainland China central government authority and has not received any inquiry, notice, warning, or sanction in such respect. However, cybersecurity is increasingly a focus of the mainland China central government. If the CAC or other mainland China central government authorities should in the future require ACM Shanghai to comply with these or additional, or more restrictive, mainland China cybersecurity regulations, it could require ACM Shanghai to make changes to its operations, and any failure to satisfy or delay in meeting such requirements may subject ACM Shanghai to restrictions and penalties imposed by the CAC or other mainland China regulatory authorities, which may include regulatory actions, fines and penalties on our operations in mainland China, which could materially harm our business, financial condition, results of operations, reputation and prospects.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Anti-Monopoly</w:t>
      </w:r>
      <w:r>
        <w:rPr>
          <w:rFonts w:ascii="Times New Roman;serif" w:hAnsi="Times New Roman;serif"/>
          <w:b w:val="false"/>
          <w:color w:val="000000"/>
          <w:sz w:val="20"/>
        </w:rPr>
        <w:t>. A number of mainland China laws and regulations have established procedures and requirements that could make merger and acquisition activities in China by foreign investors more time consuming and complex. These laws and regulations, which include the Anti-Monopoly Law and the Rules of the Ministry of Commerce on Implementation of Security Review System of Mergers and Acquisitions of Domestic Enterprises by Foreign Investors, impose requirements that in some instances that MOFCOM be notified in advance of, for example, any change-of-control transaction in which a foreign investor takes control of a mainland China domestic enterprise. In addition, such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In February 2021, the Anti-Monopoly Committee of the State Council published the Anti-Monopoly Guidelines for the Internet Platform Economy Sector, which stipulate that any concentration of undertakings involving VIEs is subject to anti-monopoly review. Those Guidelines provide more stringent rules for Internet platform operators, including regulations on the use of data and algorithms, technology and platform to commit abusive acts. The Measures for the Security Review for Foreign Investment, which was promulgated jointly by National Development and Reform Commission and MOFCOM effective January 18, 2021, and the Standing Committee on Amending the Anti-Monopoly Law of the People’s Republic of China, which was promulgated by the Standing Committee effective August 1, 2022, delineated provisions concerning the security review procedures on foreign investment, including the types of investments subject to review and the scopes and procedures of the review. ACM Shanghai does not have the concentration of business operators stipulated in the Anti-Monopoly Law, and our operations and activities to date have not otherwise subjected us to restrictive provisions or limitations set forth in applicable mainland China laws and regulations govern merger and acquisition activities. Among other things, ACM Shanghai’s business operations do not constitute identified “national defense and security” concerns associated with the arms industry, any industry ancillary to the arms industry, or any other field related to national defense security. We cannot assure you, however, that future changes in mainland China laws and regulations governing mergers and acquisitions, including activities in mainland China by foreign investors, will not extend or otherwise modify existing requirements, which could materially and adversely affect our mainland China-based operations or our ability to expand by investments or acquisitions.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Permits</w:t>
      </w:r>
      <w:r>
        <w:rPr>
          <w:rFonts w:ascii="Times New Roman;serif" w:hAnsi="Times New Roman;serif"/>
          <w:b w:val="false"/>
          <w:color w:val="000000"/>
          <w:sz w:val="20"/>
        </w:rPr>
        <w:t>. In the ordinary course of business, ACM Shanghai has obtained all of the permits and licenses it believes are necessary for it to operate in mainland China. ACM Shanghai may be adversely affected, however, by the complexity, uncertainties and changes in mainland China laws and regulations applicable to, or otherwise affecting, the semiconductor equipment industry and related businesses, and any lack of requisite approvals, licenses or permits applicable to ACM Shanghai’s business may have a material adverse effect on its business and results of operations.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u w:val="single"/>
        </w:rPr>
        <w:t>Trade Policies</w:t>
      </w:r>
      <w:r>
        <w:rPr>
          <w:rFonts w:ascii="Times New Roman;serif" w:hAnsi="Times New Roman;serif"/>
          <w:b w:val="false"/>
          <w:color w:val="000000"/>
          <w:sz w:val="20"/>
        </w:rPr>
        <w:t>. Since 2018, general trade tensions between the United States and mainland China have escalated. See “—Regulatory Risks—</w:t>
      </w:r>
      <w:r>
        <w:rPr>
          <w:rFonts w:ascii="Times New Roman;serif" w:hAnsi="Times New Roman;serif"/>
          <w:b w:val="false"/>
          <w:i/>
          <w:color w:val="000000"/>
          <w:sz w:val="20"/>
        </w:rPr>
        <w:t>Changes in government trade policies could limit the demand for our tools and increase the cost of our tools”</w:t>
      </w:r>
      <w:r>
        <w:rPr>
          <w:color w:val="000000"/>
        </w:rPr>
        <w:t xml:space="preserve"> </w:t>
      </w:r>
      <w:r>
        <w:rPr>
          <w:rFonts w:ascii="Times New Roman;serif" w:hAnsi="Times New Roman;serif"/>
          <w:b w:val="false"/>
          <w:color w:val="000000"/>
          <w:sz w:val="20"/>
        </w:rPr>
        <w:t xml:space="preserve">in Item 1A, “Risk Factors” of Part I of this report. The imposition of tariffs by the U.S. and mainland China governments and the surrounding economic uncertainty may negatively impact the semiconductor industry, including by reducing the demand of fabricators for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1"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equipment such as our tools. Further changes in trade policy,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Moreover, by imposing industrial policies and other economic measures, such as control of foreign exchange, taxation and foreign investment, the mainland China central government exerts considerable direct and indirect influence on the development of the mainland China economy. Other political, economic and social factors may also lead to further legal and regulatory changes and reforms, which may adversely affect our operations and business development.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lineRule="auto" w:line="288" w:before="240" w:after="283"/>
        <w:jc w:val="both"/>
        <w:rPr/>
      </w:pPr>
      <w:r>
        <w:rPr>
          <w:rFonts w:ascii="Times New Roman;serif" w:hAnsi="Times New Roman;serif"/>
          <w:b w:val="false"/>
          <w:color w:val="000000"/>
          <w:sz w:val="20"/>
        </w:rPr>
        <w:t>The mainland China central government may determine to exert additional control over securities offerings conducted overseas and/or foreign investment in mainland China-based issuers, which could result in a material adverse change in operations of ACM Shanghai and cause the value of ACM Research Class A common stock to significantly decline or become worthless. See also “—</w:t>
      </w:r>
      <w:r>
        <w:rPr>
          <w:rFonts w:ascii="Times New Roman;serif" w:hAnsi="Times New Roman;serif"/>
          <w:b w:val="false"/>
          <w:i/>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r>
        <w:rPr>
          <w:color w:val="000000"/>
        </w:rPr>
        <w:t xml:space="preserve">” </w:t>
      </w:r>
      <w:r>
        <w:rPr>
          <w:rFonts w:ascii="Times New Roman;serif" w:hAnsi="Times New Roman;serif"/>
          <w:b w:val="false"/>
          <w:color w:val="000000"/>
          <w:sz w:val="20"/>
        </w:rPr>
        <w:t>above.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w:t>
      </w:r>
    </w:p>
    <w:p>
      <w:pPr>
        <w:pStyle w:val="TextBody"/>
        <w:bidi w:val="0"/>
        <w:spacing w:lineRule="auto" w:line="256" w:before="240" w:after="283"/>
        <w:jc w:val="both"/>
        <w:rPr/>
      </w:pPr>
      <w:r>
        <w:rPr>
          <w:rFonts w:ascii="Times New Roman;serif" w:hAnsi="Times New Roman;serif"/>
          <w:b w:val="false"/>
          <w:color w:val="000000"/>
          <w:sz w:val="20"/>
        </w:rPr>
        <w:t>The HFCA Act, which became law in December 2020, includes requirements for the SEC to identify issuers whose audit work is performed by auditors that the PCAOB is unable to inspect or investigate completely because of a restriction imposed by a non-U.S. authority in any non-U.S. jurisdiction. Under current regulations, the HFCA Act also requires that, to the extent that the PCAOB has been unable to inspect an issuer’s auditor for two consecutive years, the SEC shall prohibit the issuer’s securities registered in the United States from being traded on any national securities exchange or over-the-counter market in the United States. Our current independent registered public accounting firm, E&amp;Y, is a PCAOB-registered firm that is headquartered in mainland China. However, we do not believe that we will be impacted by the HFCA Act due favorable determinations made by the PCAOB on December 15, 2022 regarding its ability to inspect auditors in mainland China.</w:t>
      </w:r>
      <w:r>
        <w:rPr>
          <w:color w:val="000000"/>
        </w:rPr>
        <w:t xml:space="preserve"> </w:t>
      </w:r>
      <w:r>
        <w:rPr>
          <w:rFonts w:ascii="Times New Roman;serif" w:hAnsi="Times New Roman;serif"/>
          <w:b w:val="false"/>
          <w:color w:val="000000"/>
          <w:sz w:val="20"/>
        </w:rPr>
        <w:t>It remains unclear, however, what further actions the SEC, the PCAOB or Nasdaq may take to address these issues and what impact those actions will have on U.S. companies, such as ours, that have significant operations in mainland China and have securities listed on a U.S. stock exchange. Any such actions could materially affect our operations and stock price, including by resulting in our being de-listed from Nasdaq or being required to engage a new audit firm, which would require significant expense and management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It may be difficult for overseas regulators to conduct investigations or collect evidence within mainland China.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 claims or regulatory investigations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of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2"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practical cooperation mechanism. Furthermore, according to Article 177 of the mainland China Securities Law, or Article 177, which became effective in March 2020, no overseas securities regulator is allowed to directly conduct investigation or evidence collection activities within the territory of mainland China. While detailed interpretation of or implementing rules under Article 177 have yet to be promulgated, the inability for an overseas securities regulator to directly conduct investigation or evidence collection activities within mainland China may further increase difficulties faced by you in protecting your interests.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Because substantially all of our assets are located outside of the United States and certain of our officers reside outside of the United States, it may be difficult for you to enforce your rights based on the U.S. federal securities laws against such assets or officers or to enforce a judgment of a United States court against assets or officers in mainland China.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ACM Research is a Delaware corporation, certain of our officers are nonresidents of the United States, and certain of our assets are located in mainland China, and the operations of ACM Shanghai are conducted in mainland China. It may, therefore, not be possible to effect service of process on such persons in the United States, and it may be difficult to enforce any judgments rendered against them or any of our assets that are located overseas. Moreover, there is doubt whether courts in mainland China would enforce (a) judgments of United States courts against ACM Shanghai, our officers based on the civil liability provisions of the securities laws of the United States or any state, or (b) in original actions brought in mainland China, liabilities against us or any nonresidents based upon the securities laws of the United States or any state.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conduct substantially all of our operations outside the United States and face risks associated with conducting business in foreign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our sales in 2025, 2024, and 2023 were made to customers outside the United States. Our manufacturing center has been located in Shanghai since 2006 and substantially all of our operations are located in mainland China. We expect that all of our significant activities will remain outside the United States in the future. We are subject to a number of risks associated with our international business activities, including: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need to comply with the import laws and regulations of various foreign jurisdictions, including a range of U.S. import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potentially adverse tax consequences, including withholding tax rules that may limit the repatriation of our earnings, and higher effective income tax rates in foreign countries where we conduct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from local suppliers with which potential customers may prefer to do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seasonal reduction in business activity, such as during the Lunar New Year in parts of Asia and in other periods in various individual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exposure to foreign currency exchange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protection for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longer sales cycles and reliance on indirect sales in certain regions;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length of time for shipping and acceptance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difficulty in responding to customer requests for maintenance and spare parts on a timely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difficulty in enforcing contracts and accounts receivable collection and longer collection periods;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in staffing and managing foreign operations and the increased travel, infrastructure and legal and compliance costs associated with multiple international locations;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heightened risk of unfair or corrupt business practices in certain geographies and of improper or fraudulent sales arrangements that may impact financial results and result in restatements of, or irregularities in, our consolidated financial statements;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conditions, geopolitical events or natural disasters in countries where we conduct our operations or where our customers are located, including political unrest, war, acts of terrorism or responses to such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particular, the Asian market is extremely competitive, and chip manufacturers may be aggressive in seeking price concessions from suppliers, including chip equipment manufacturers.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not be successful in developing and implementing policies and strategies that will be effective in managing these risks in each country in which we do business. Our failure to manage these risks successfully could adversely affect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23"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Fluctuation in foreign currency exchange rates may adversely affect our results of operations and financial position.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results of operations and financial position could be adversely affected as a result of fluctuations in foreign currency exchange rates. Although our financial statements are denominated in U.S. dollars, a sizable portion of our costs are denominated in other currencies, principally the Chinese Renminbi and, to a lesser extent, the Korean Won. Because many of our raw material purchases are denominated in Renminbi while the majority of the purchase orders we receive are denominated in U.S. dollars, exchange rates have a significant effect on our gross margin. We have not engaged in any foreign currency exchange hedging transactions to date, and any strategies that we may use in the future to reduce the adverse impact of fluctuations in foreign currency exchange rates may not be successful. Our foreign currency exposure with respect to assets and liabilities for which we do not have hedging arrangements could have a material impact on our results of operations in periods when the U.S. dollar significantly fluctuates in relation to unhedged non-U.S. currencies in which we transact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exacerbation or further continuation of currently challenging global systemic economic and financial conditions could adversely affect our business,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prolonged slowdown in mainland China, United States or global economy may have a negative impact on our business, results of operations and financial condition. Financial and other markets in the United States and worldwide have experienced significant volatility reflecting uncertainty over, among other things, (a) the long-term effects of the expansionary monetary and fiscal policies adopted by the central banks and financial authorities of some of the world’s leading economies, including the United States and mainland China, (b) unrest in Ukraine, the Middle East and Africa, and (c) the rising level of inflation in major industrial countries, including the United States, and worries that efforts to curb inflation may result in an economic recession. General inflation, including rising energy prices, interest rates and wages, could adversely impact our business by increasing our operating and borrowing costs as well as limiting the amount of capital available for customers to purchase our products. This economic turmoil has had, and could continue to have, a number of repercussions on our business, including significant decreases in orders from our customers, business slowdowns or cessations at key suppliers resulting in delays in our product deliveries, increased raw material prices leading to increased production costs that we may not be able to pass onto customers, and business challenges at customers resulting in the inability to obtain credit to finance purchases of our products or even insolvency, and counterparty failures negatively impacting our operations and sales. Any systemic economic or financial crisis could cause revenues for the semiconductor industry as a whole to decline dramatically, which could materially and adversely affect our 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require additional capital in the future and we cannot give any assurance that such capital will be available at all or available on terms acceptable to us and, if it is available, additional capital raised by us may dilute holders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need to raise funds in the future, depending on many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sales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applying our existing technologies to new or enhanced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of developing new technologies and introducing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associated with protecting our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associated with our expansion, including capital expenditures and Lingang-related land purchases and deposits, and with increasing our sales and marketing and service and support efforts, and with expanding our geographic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continue to obtain governmental subsidies for developmental projects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debt repayment obligations;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number and timing of any future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our existing sources of cash, together with any cash generated from operations, are insufficient to fund our activities, we may need to raise additional funds through public or private financings, strategic relationships, or other arrangements. Additional funding may not be available to us on acceptable terms or at all. If adequate funding is not available, we may be required to reduce expenditures, including curtailing our growth strategies and reducing our product development efforts, or to forego acquisition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24"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val="false"/>
          <w:color w:val="000000"/>
          <w:sz w:val="20"/>
        </w:rPr>
        <w:t>Proceeds received by ACM Shanghai from the initial placements of shares with mainland China investors, from the STAR IPO in connection with the STAR Listing of ACM Shanghai shares on the STAR Market, the Private Offering completed by ACM Shanghai during the twelve months ended December 31</w:t>
      </w:r>
      <w:r>
        <w:rPr>
          <w:rFonts w:ascii="Times New Roman;serif" w:hAnsi="Times New Roman;serif"/>
          <w:b w:val="false"/>
          <w:color w:val="000000"/>
          <w:sz w:val="20"/>
          <w:shd w:fill="FFFFFF" w:val="clear"/>
        </w:rPr>
        <w:t xml:space="preserve">, 2025, and </w:t>
      </w:r>
      <w:r>
        <w:rPr>
          <w:rFonts w:ascii="Times New Roman;serif" w:hAnsi="Times New Roman;serif"/>
          <w:b w:val="false"/>
          <w:color w:val="000000"/>
          <w:sz w:val="20"/>
        </w:rPr>
        <w:t>from future financing activities undertaken by ACM Shanghai (including follow-on offerings or private placements of shares with mainland China investors), will generally be used to grow and support our mainland China operations. Those proceeds generally are not available for distribution to ACM Research. Under existing mainland China laws and regulations, it may be difficult, if not impossible, for ACM Research to be able to receive dividends comprised of funds generated by ACM Shanghai and, even if such dividends can be paid from mainland China to the United States, any such dividends can be paid to ACM Research only if other holders of ACM Shanghai shares receive their pro rata dividends. As a result, it is unlikely that funds raised or generated by ACM Shanghai will be readily distributable to ACM Research.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we succeed in raising additional funds through the issuance of equity or convertible securities, then the issuance could result in substantial dilution to existing stockholders. Furthermore, the holders of these new securities or debt may have rights, preferences and privileges senior to those of the holders of Class A common stock. In addition, any preferred equity issuance or debt financing that we may obtain in the future could have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quarterly operating results can be difficult to predict and can fluctuate substantially, which could result in volatility in the price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quarterly revenue and other operating results have varied in the past and are likely to continue to vary significantly from quarter to quarter. Accordingly, you should not rely upon our past quarterly financial results as indicators of future performance. Any variations in our quarter-to-quarter performance may cause our stock price to fluctuate. Our financial results in any given quarter can be influenced by a variety of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cyclicality of the semiconductor industry and the related impact on the purchase of equipment used in the manufacture of chips;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purchases of our tools by chip fabricators, which order types of tools based on multi-year capital plans under which the number and dollar amount of tool purchases can vary significantly from year to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relatively high average selling price of our tools and our dependence on a limited number of customers for a substantial portion of our revenue in any period, whereby the timing and volume of purchase orders or cancellations from our customers could significantly reduce our revenue for that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significant expenditures required to configure our products often exceed the deposits received from our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lead time required to manufacture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recognizing revenue due to the timing of shipment and acceptance of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sell additional tools to existing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changes in customer specifications or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length of our product sales cycle;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our product mix, including the mix of systems, upgrades, spare parts and service;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our product releases or upgrades or announcements of product releases or upgrades by us or our competitors, including changes in customer orders in anticipation of new products or product enhancements;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enhance our tools with new and better functionality that meet customer requirements and changing industry trends;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constraints on our suppliers’ capacity;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sell our tools to Chinese customers due to regulatory restrictions, including the addition of our customers to the Entity List;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of other suppliers to provide sufficient quantities of their tools to our Chinese customers which may indirectly impact the production plans of our customers and result in a reduction of demand for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investments in research and development related to releasing new applications of our technologies and new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delays in the development and manufacture of our new products and upgraded versions of our products and the market acceptance of these products when introduced;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control costs, including operating expenses and the costs of the components and subassemblies used in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related to the acquisition and integration of product lines, technologies or businesses;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costs associated with protecting our intellectual property, including defending our intellectual property against third-party claims or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25"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Seasonality has played an increasingly important role in the market for chip manufacturing tools. The period of November through February has been a particularly weak period historically for manufacturers of chip tools, in part because capital equipment needed to support manufacturing of chips for the December holidays usually needs to be in the supply chain by no later than October and chip makers in Asia often wait until after Chinese, or Lunar, New Year, which occurs in January or February, before implementing their capital acquisition plans. The timing of new product releases also has an impact on seasonality, with the acquisition of manufacturing equipment occurring six to nine months before a new release.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Many of these factors are beyond our control, and the occurrence of one or more of them could cause our operating results to vary widely. As a result, it is difficult for us to forecast our quarterly revenue accurately. Our results of operations for any quarter may not be indicative of results for future quarters and quarter-to-quarter comparisons of our operating results are not necessarily meaningful. Variability in our periodic operating results could lead to volatility in our stock price. Because a substantial proportion of our expenses are relatively fixed in the short term, our results of operations will suffer if revenue falls below our expectations in a particular quarter, which could cause the price of Class A common stock to decline. Moreover, as a result of any of the foregoing factors, our operating results might not meet our announced guidance or expectations of public market analysts or investors, in which case the price of Class A common stock could decrease significantly.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Cyclicality in the semiconductor industry is likely to lead to substantial variations in demand for our products, and as a result our operating results could be adversely affected.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chip industry has historically been cyclic and is characterized by wide fluctuations in product supply and demand. From time to time, this industry has experienced significant downturns, often in connection with, or in anticipation of, maturing product and technology cycles, excess inventories and declines in general economic conditions. This cyclicality could cause our operating results to decline dramatically from one period to the next.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business depends upon the capital spending of chip manufacturers, which, in turn, depends upon the current and anticipated market demand for chips. During industry downturns, chip manufacturers often have excess manufacturing capacity and may experience reductions in profitability due to lower sales and increased pricing pressure for their products. As a result, chip manufacturers generally sharply curtail their spending during industry downturns and historically have lowered their spending more than the decline in their revenues. If we are unable to control our expenses adequately in response to lower revenue from our customers, our operating results will suffer and we could experience operating losses. We cannot reasonably estimate the duration or impact of such a downturn, and it could have a material adverse effect on our business and the value of our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Conversely, during industry upturns we must successfully increase production output to meet expected customer demand. This may require us or our suppliers, including third-party contractors, to order additional inventory, hire additional employees and expand manufacturing capacity. If we are unable to respond to a rapid increase in demand for our tools on a timely basis, or if we misjudge the timing, duration or magnitude of such an increase in demand, we may lose business to our competitors or incur increased costs disproportionate to any gains in revenue, which could have a material adverse effect on our business, results of operations, financial condition or cash flows.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mainland China government is implementing focused policies, including state-led investment initiatives, that aim to create and support an independent domestic semiconductor supply chain spanning from design to final system production. If these policies, which include loans and subsidies, result in lower demand for equipment than is expected by equipment manufacturers, the resulting overcapacity in the chip manufacturing equipment market could lead to excess inventory and price discounting that could have a material adverse effect on our business and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a small number of customers for a substantial portion of our revenue, and the loss of, or a significant reduction in orders from, one or more of our major customers could have a material adverse effect on our revenue and operating results. There are also a limited number of potential customers for our products.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chip manufacturing industry is highly concentrated, and we derive most of our revenue from a limited number of customers. A total of four customers accounted for 52.2% of our revenue in 2025, four customers accounted for 52.2% of our revenue in 2024, and three customers accounted for 45.5% of our revenue in 2023.</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consequence of the concentrated nature of our customer base, our revenue and results of operations may fluctuate from quarter to quarter and are difficult to estimate, and any cancellation of orders or any acceleration or delay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26"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anticipated product purchases or the acceptance of shipped products by our larger customers could materially affect our revenue and results of operations in any quarterly period.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may be unable to sustain or increase our revenue from our larger customers or offset the discontinuation of concentrated purchases by our larger customers with purchases by new or existing customers. We expect a small number of customers will continue to account for a high percentage of our revenue for the foreseeable future and that our results of operations may fluctuate materially as a result of such larger customers’ buying patterns. Thus, our business success depends on our ability to maintain strong relationships with our customers. The loss of any of our key customers for any reason, or a change in our relationship with any of our key customers, including a significant delay or reduction in their purchases, may cause a significant decrease in our revenue, which we may not be able to recapture due to the limited number of potential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seen, and may see in the future, consolidation of our customer base. Industry consolidation generally has negative implications for equipment suppliers, including a reduction in the number of potential customers, a decrease in aggregate capital spending and greater pricing leverage on the part of consumers over equipment suppliers. Continued consolidation of the chip industry could make it more difficult for us to grow our customer base, increase sales of our products and maintain adequate gross margins.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success will depend on industry chip manufacturers adopting our SAPS, TEBO, Tahoe, ECP, furnace and other technologies.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date our strategy for commercializing our tools has been to place them with selected industry leaders in the manufacturing of memory and logic chips, the two largest chip categories, to enable those leading manufacturers to evaluate our technologies, and then leverage our reputation to gain broader market acceptance. In order for these industry leaders to adopt our tools, we need to establish our credibility by demonstrating the differentiated, innovative nature of our SAPS, TEBO, Tahoe, ECP, furnace and other technologies. If these leading manufacturers do not agree that our technologies add significant value over conventional technologies or do not otherwise accept and use our tools, we may need to spend a significant amount of time and resources to enhance our technologies or develop new technologies. Even if these leading manufacturers adopt our technologies, other manufacturers may not choose to accept and adopt our tools and our products may not achieve widespread adoption. Any of the above factors would have a material adverse effect on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SAPS, TEBO, Tahoe, ECP, furnace and other technologies do not achieve widespread market acceptance, we will not be able to compete effectively.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commercial success of our tools will depend, in part, on gaining substantial market acceptance by chip manufacturers. Our ability to gain acceptance for our products will depend upon a number of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demonstrate the differentiated, innovative nature of our SAPS, TEBO, Tahoe, ECP, furnace and other technologies and the advantages of our tools over those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compatibility of our tools with existing or potential customers’ manufacturing processes and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level of customer service available to support our products;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experiences our customers have with our products.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obtaining orders from new customers may be difficult because many chip manufacturers have pre-existing relationships with our competitors. Chip manufacturers must make a substantial investment to qualify and integrate wet processing equipment into a chip production line. Due, in part, to the cost of manufacturing equipment and the investment necessary to integrate a particular manufacturing process, a chip manufacturer that has selected a particular supplier’s equipment and qualified that equipment for production typically continues to use that equipment for the specific production application and process node, which is the minimum line width on a chip, as long as that equipment continues to meet performance specifications. Some of our potential and existing customers may prefer larger, more established vendors from which they can purchase equipment for a wider variety of process steps than our tools address. Further, because the cleaning process with our TEBO equipment can be up to five times longer than cleaning processes based on other technologies, we must convince chip manufacturers of the innovative, differentiated nature of our technologies and the benefits associated with using our tools. If we are unable to obtain new customers and continue to achieve widespread market acceptance of our tools, then our business, operations, financial results and growth prospects will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27"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do not continue to enhance our existing tools and achieve market acceptance, we will not be able to compete effectively.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operate in an industry that is subject to evolving standards, rapid technological changes and changes in customer demands. Additionally, if process nodes continue to shrink to ever-smaller dimensions and conventional two-dimensional chips reach their critical performance limitations, the technology associated with manufacturing chips may advance to a point where our Ultra C equipment based on SAPS, TEBO, Tahoe, ECP, furnace and other technologies becomes obsolete. Accordingly, the future of our business will depend in large part upon the continuing relevance of our technological capabilities, our ability to interpret customer and market requirements in advance of tool deliveries, and our ability to introduce in a timely manner new tools that address chip makers’ requirements for cost-effective cleaning solutions. We expect to spend a significant amount of time and resources developing new tools and enhancing existing tools. Our ability to introduce and market successfully any new or enhanced cleaning equipment is subject to a wide variety of challenges during the tool’s development, including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accurate anticipation of market requirements, changes in technology and evolving standards;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availability of qualified product designers and technologies needed to solve difficult design challenges in a cost-effective, reliable manner;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design products that meet chip manufacturers’ cost, size, acceptance and specification criteria, and performance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availability of suppliers and third-party manufacturers to manufacture and deliver the critical components and subassemblies of our tools in a timely manner;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market acceptance of our customers’ products, and the lifecycle of those products;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deliver products in a timely manner within our customers’ product planning and deployment cycle.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enhancements to our products in future periods may reduce demand for our pre-existing tools. As we introduce new or enhanced cleaning tools, we must manage the transition from older tools in order to minimize disruptions in customers’ ordering patterns, avoid excessive levels of older tool inventories and ensure timely delivery of sufficient supplies of new tools to meet customer demand. Furthermore, product introductions could delay purchases by customers awaiting arrival of our new products, which could cause us to fail to meet our expected level of production orders for pre-existing tools.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success will depend on our ability to identify and enter new product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to spend a significant amount of time and resources identifying new product markets in addition to the market for cleaning solutions and in developing new products for entry into these markets. Product development requires significant investments in engineering hours, third-party development costs, prototypes and sample materials, as well as sales and marketing expenses, which will not be recouped if the product launch is unsuccessful. We may fail to predict the needs of other markets accurately or develop new, innovative technologies to address those needs. Further, we may not be able to design and introduce new products in a timely or cost-efficient manner, and our new products may be more costly to develop, may fail to meet the requirements of the market, or may be adopted slower than we expect. If we are not able to introduce new products successfully, our inability to gain market share in new product markets could adversely affect our ability to sustain our revenue growth or maintain our current revenue levels.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fail to establish and maintain a reputation for credibility and product quality, our ability to expand our customer base will be impaired and our operating results may suffer.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must develop and maintain a market reputation for innovative, differentiated technologies and high quality, reliable products in order to attract new customers and achieve widespread market acceptance of our products. Our market reputation is critical because we compete against several larger, more established competitors, many of which supply equipment for a larger number of process steps than we do to a broader customer base in an industry with a limited number of customers. In these circumstances, traditional marketing and branding efforts are of limited value, and our success depends on our ability to provide customers with reliable and technically sophisticated products. If the limited customer base does not perceive our products and services to be of high quality and effectiveness, our reputation could be harmed, which could adversely impact our ability to achieve our targeted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28"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operate in a highly competitive industry and many of our competitors are larger, better-established, and have significantly greater operating and financial resources than we have.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chip equipment industry is highly competitive, and we face substantial competition throughout the world in each of the markets we serve. Many of our current and potential competitors have,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greater financial, technical, sales and marketing, manufacturing, distribution and other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established credibility and market reputations;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longer operating histories;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broader product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extensive service offerings, including the ability to have large inventories of spare parts available near, or even at, customer locations;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local sales forces;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more extensive geographic coverage.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competitors may also have the ability to offer their products at lower prices by subsidizing their losses in wet cleaning with profits from other lines of business in order to retain current or obtain new customers. Among other things, some competitors have the ability to offer bundled discounts for customers purchasing multiple products. Many of our competitors have more extensive customer and partner relationships than we do and may therefore be in a better position to identify and respond to market developments and changes in customer demands. Potential customers may prefer to purchase from their existing suppliers rather than a new supplier, regardless of product performance or features. If we are not able to compete successfully against existing or new competitors, our business, operating results and financial condition will be negatively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industry practice, our sales are on a purchase order basis, which we seek to obtain three to four months in advance of the expected product delivery date. Until a purchase order is received, we do not have a binding purchase commitment. Our customers to date have provided us with non-binding one- to two-year forecasts of their anticipated demands, but those forecasts can be changed at any time, without any required notice to us. Because the lead-time needed to produce a tool configured to a customer’s specifications can extend up to six months, we may need to begin production of tools based on non-binding forecasts, rather than waiting to receive a binding purchase order. No assurance can be made that a customer’s forecast will result in a firm purchase order within the time period we expect, or at 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If we do not accurately predict the amount and timing of a customer’s future purchases, we risk expending time and resources on producing a specific configured tool that is not purchased by a particular customer, which may result in excess or unwanted inventory, or we may be unable to fulfill an order on the schedule required by a purchase order, which would result in foregone sales. Customers may place purchase orders that exceed forecasted amounts, which could result in delays in our delivery time and harm our reputation. In the future a customer may decide not to purchase our tools at all, may purchase fewer tools than it did in the past or may otherwise alter its purchasing patterns, and the impact of any such actions may be intensified given our dependence on a small number of large customers. Our customers make major purchases periodically as they add capacity or otherwise implement technology upgrades. If any significant customers cancel, delay or reduce orders, our operating results could suffer.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often incur significant research and development costs for products that are purchased by our customers only after much, or all, of the cost has been incurred or that may never be purchased. We allow some new customers, or existing customers considering new products, to evaluate products without any payment becoming due unless the product is ultimately accepted, which means we may invest a significant amount in manufacturing a tool that may never be accepted and purchased or may be purchased months or even years after production. In the past we have borrowed money in order to fund first-time purchase order equipment and next-generation evaluation equipment. When we deliver evaluation equipment, or a “first tool,” we may not recognize revenue or receive payment for the tool for 24 months or longer. Even returning customers may take as long as six months to make any payments. If our sales efforts are unsuccessful after expending significant resources, or if we experience delays in completing sales, our future cash flow, revenue and profitability may fluctuate or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29"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sales cycle is long and unpredictable, which results in variability of our financial performance and may require us to incur high sales and marketing expenses with no assurance that a sale will result, all of which could adversely affect our profitability.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results of operations may fluctuate, in part, because of the resource-intensive nature of our sales efforts and the length and variability of our sales cycle. A sales cycle is the period between initial contact with a prospective customer and any sale of our tools. Our sales process involves educating customers about our tools, participating in extended tool evaluations and configuring our tools to customer-specific needs, after which customers may evaluate the tools. The length of our sales cycle, from initial contact with a customer to the execution of a purchase order, is generally 6 to 24 months. During the sales cycle, we expend significant time and money on sales and marketing activities and make investments in evaluation equipment, all of which lower our operating margins, particularly if no sale occurs or if the sale is delayed as a result of extended qualification processes or delays from our customers’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duration or ultimate success of our sales cycle depends on factors such 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efforts by our sales force;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complexity of our customers’ manufacturing processes and the compatibility of our tools with those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customers’ internal technical capabilities and sophistication;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customers’ capital spending plans and processes, including budgetary constraints, internal approvals, extended negotiations or administrative delays.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It is difficult to predict exactly when, or even if, we will make a sale to a potential customer or if we can increase sales to our existing customers. As a result, we may not recognize revenue from our sales efforts for extended periods of time, or at all. The loss or delay of one or more large transactions in a quarter could impact our results of operations for that quarter and any future quarters for which revenue from that transaction is lost or delayed. In addition, we believe that the length of the sales cycle and intensity of the evaluation process may increase for those current and potential customers that centralize their purchasing decisions.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Difficulties in forecasting demand for our tools may lead to periodic inventory shortages or excess spending on inventory items that may not be used.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need to manage our inventory of components and production of tools effectively to meet changing customer requirements. Accurately forecasting customers’ needs is difficult. Our tool demand forecasts are based on multiple assumptions, including non-binding forecasts received from our customers years in advance, each of which may introduce error into our estimates. Inventory levels for components necessary to build our tools in excess of customer demand may result in inventory write-downs and could have an adverse effect on our operating results and financial condition. Conversely, if we underestimate demand for our tools or if our manufacturing partners fail to supply components we require at the time we need them, we may experience inventory shortages. Such shortages might delay production or shipments to customers and may cause us to lose sales. These shortages may also harm our credibility, diminish the loyalty of our channel partners or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failure to prevent inventory shortages or accurately predict customers’ needs could result in decreased revenue and gross margins and harm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Some of our products and supplies may become obsolete or be deemed excess while in inventory due to changes in customer specifications, changes in product structure, components or bills of material as a result of engineering changes, or a decrease in customer demand. We also have exposure to contractual liabilities to our contract manufacturers for inventories purchased by them on our behalf, based on our forecasted requirements, which may become excess or obsolete. Our inventory balances also represent an investment of cash. To the extent our inventory turns are slower than we anticipate based on historical practice, our cash conversion cycle extends and more of our cash remains invested in working capital. If we are not able to manage our inventory effectively, we may need to write down the value of some of our existing inventory or write off non-saleable or obsolete inventory. Any such charges we incur in future periods could materially and adversely affect our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difficulty in forecasting demand also makes it difficult to estimate our future results of operations and financial condition from period to period. A failure to accurately predict the level of demand for our products could adversely affect our net revenue and net income, and we are unlikely to forecast such effects with any certainty in advance.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0"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our tools contain defects or do not meet customer specifications, we could lose customers and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Highly complex tools such as ours may develop defects during the manufacturing and assembly process. We may also experience difficulties in configuring our tools to meet customer specifications or detecting defects during the development and manufacturing of our tools. Some of these failures may not be discovered until we have expended significant resources in configuring our tools, or until our tools have been installed in our customers’ production facilities. These quality problems could harm our reputation as well as our customer relationships in the following ways: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customers may delay or reject acceptance of our tools that contain defects or fail to meet their specifications;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suffer customer dissatisfaction, negative publicity and reputational damage, resulting in reduced orders or otherwise damaging our ability to retain existing customers and attract new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substantial costs as a result of warranty claims or service obligations or in order to enhance the reliability of our tools;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attention of our technical and management resources may be diverted;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required to replace defective systems or invest significant capital to resolve these problems;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required to write off inventory and other assets related to our tools.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defects in our tools or our inability to meet the needs of our customers could cause damage to our customers’ products or manufacturing facilities, which could result in claims for product liability, tort or breach of warranty, including claims from our customers. The cost of defending such a lawsuit, regardless of its merit, could be substantial and could divert management’s attention from our ongoing operations.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Warranty claims in excess of our estimates could adversely affect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provided warranties against manufacturing defects of our tools that range from 12 to 36 months in duration. Our product warranty requires us to provide labor and parts necessary to repair defects. As of December 31, 2025, we had accrued $19.1 million in liability contingency for potential warranty claims. Warranty claims substantially in excess of our expectations, or significant unexpected costs associated with warranty claims, could harm our reputation and could cause customers to decline to place new or additional orders, which could have a material adverse effect on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rely on third parties to manufacture significant portions of our tools and our failure to manage our relationships with these parties could harm our relationships with our customers, increase our costs, decrease our sales and limit our growth.</w:t>
      </w:r>
    </w:p>
    <w:p>
      <w:pPr>
        <w:pStyle w:val="TextBody"/>
        <w:bidi w:val="0"/>
        <w:spacing w:lineRule="auto" w:line="288" w:before="240" w:after="283"/>
        <w:jc w:val="both"/>
        <w:rPr/>
      </w:pPr>
      <w:r>
        <w:rPr>
          <w:rFonts w:ascii="Times New Roman;serif" w:hAnsi="Times New Roman;serif"/>
          <w:b w:val="false"/>
          <w:color w:val="000000"/>
          <w:sz w:val="20"/>
        </w:rPr>
        <w:t>Our tools are complex and require components and subassemblies having a high degree of reliability, accuracy and performance. We rely on third parties to manufacture most of the subassemblies and supply most of the components used in our tools. Accordingly, we cannot directly control our delivery schedules and quality assurance. This reliance on third parties and lack of control could result in shortages or quality assurance problems. See also “—Our supply chain may be materially adversely impacted due to global events, including public health issues and the armed conflict in Ukraine.”</w:t>
      </w:r>
      <w:r>
        <w:rPr>
          <w:color w:val="000000"/>
        </w:rPr>
        <w:t xml:space="preserve"> </w:t>
      </w:r>
      <w:r>
        <w:rPr>
          <w:rFonts w:ascii="Times New Roman;serif" w:hAnsi="Times New Roman;serif"/>
          <w:b w:val="false"/>
          <w:color w:val="000000"/>
          <w:sz w:val="20"/>
        </w:rPr>
        <w:t>These issues and our ability to manage increased demand could delay shipments of our tools, increase our testing or production costs or lead to costly failure claims.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do not have long-term supply contracts with some of our suppliers, and those suppliers are not obligated to perform services or supply products to us for any specific period, in any specific quantities or at any specific price, except as may be provided in a particular purchase order. In addition, we attempt to dynamically adjust our inventory levels based on market demand, our assessment of supply chain continuity and other factors. There are significant risks associated with our reliance on these third-party suppliers,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price increases;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capacity shortages or other inability to meet any increase in demand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control over manufacturing process for components and subassemblies and delivery schedules;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ability of some suppliers to manufacture and sell subassemblies or parts in the volumes we require and at acceptable quality levels and prices, due to the suppliers’ relatively small operations and limited manufacturing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exposure to potential misappropriation of our intellectual property;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warranties on subassemblies and components supplied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1"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delays in the shipment of our products due to our reliance on third-party suppliers could harm our relationships with our customers. In addition, any increase in costs due to our suppliers increasing the price they charge us for subassemblies and components or arising from our need to replace our current suppliers that we are unable to pass on to our customers could negatively affect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supply chain may be materially adversely impacted due to global events, including public health issues and the armed conflict in Ukraine.</w:t>
      </w:r>
    </w:p>
    <w:p>
      <w:pPr>
        <w:pStyle w:val="TextBody"/>
        <w:bidi w:val="0"/>
        <w:spacing w:lineRule="auto" w:line="256" w:before="240" w:after="283"/>
        <w:jc w:val="both"/>
        <w:rPr/>
      </w:pPr>
      <w:r>
        <w:rPr>
          <w:rFonts w:ascii="Times New Roman;serif" w:hAnsi="Times New Roman;serif"/>
          <w:b w:val="false"/>
          <w:color w:val="000000"/>
          <w:sz w:val="20"/>
        </w:rPr>
        <w:t>We rely upon the facilities of our global suppliers with operations in mainland China, Japan, Taiwan and the United States to support our business. We source the substantial majority of our components from Asia, and as a result, our supply chain can be adversely affected by a variety of global events, including those related to public health issues and the armed conflict in Ukraine. Further, our subsidiaries ACM Shanghai and ACM Korea were recently added to the BIS Entity List, which prohibit any party worldwide from furnishing hardware, software, or technology that are subject to U.S. export controls jurisdiction to ACM Shanghai or ACM Korea and could adversely impact our supply chain.</w:t>
      </w:r>
      <w:r>
        <w:rPr>
          <w:color w:val="000000"/>
        </w:rPr>
        <w:t xml:space="preserve"> </w:t>
      </w:r>
      <w:r>
        <w:rPr>
          <w:rFonts w:ascii="Times New Roman;serif" w:hAnsi="Times New Roman;serif"/>
          <w:b w:val="false"/>
          <w:color w:val="000000"/>
          <w:sz w:val="20"/>
        </w:rPr>
        <w:t>See “—Regulatory Risks—Our operations in mainland China and Korea, including the import of components, technology, and activities of U.S. personnel therein, may be further impacted by the addition of ACM Shanghai, ACM Korea and related entities to the BIS Entity List.”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these types of global events and resulting governmental regulations and business reactions, our suppliers may not have the materials, capacity, or capability to supply our components according to our schedule and specifications. Further, there may be logistics issues, including our ability and our supply chain’s ability to quickly ramp up production, labor issues and transportation demands that may cause further delays. Supply chain constraints have intensified, which may further intensify due to other global events and government regulations, contributing to existing global shortages coupled with increased demand in the supply of semiconductors. The unavailability of any component or supplier could result in production delays, underutilized facilities, and loss of access to critical raw materials and parts for producing and supporting our tools, and could impact our ongoing capacity expansion and our ability to fulfill our product delivery obligations. If our suppliers’ operations are curtailed, we may need to seek alternate sources of supply, which may be more expensive and may not be available to us at all due to government regulations. Alternate sources may not be available or may result in delays in shipments to us from our supply chain and subsequently to our customers, each of which would affect our results of operations. These types of disruptions and governmental restrictions may also result in the inability of our customers to obtain materials necessary for their full production, which could also result in reduced demand for our products. While certain disruptions and governmental restrictions, as well as related general limitations on movement around the world, may be temporary, the duration of the production and supply chain disruption, and related financial impact, cannot be estimated at this time. Should these distributions and restrictions continue for an extended period of time, the impact on our supply chain could have a material adverse effect on our results of operations and cash flows. Business disruptions could also negatively affect the sources and availability of components and materials that are essential to the operation of our business. Moreover, our customers source a range of production equipment, supplies and services from other suppliers with operations around the world, and any reduction in supply capacity at those customers’ factories may reduce or even halt those customers’ production and result in a decrease in the demand for our products.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Any shortage of components or subassemblies could result in delayed delivery of products to us or in increased costs to us, which could harm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ability of our manufacturers to supply our tools is dependent, in part, upon the availability of certain components and subassemblies. Our manufacturers may experience shortages in the availability of such components or subassemblies, which could result in delayed delivery of products to us or in increased costs to us. Any shortage of components or subassemblies or any inability to control costs associated with manufacturing could increase the costs for our products or impair our ability to ship orders in a timely cost-efficient manner. As a result, we could experience cancellation of orders, refusal to accept deliveries or a reduction in our prices and margins, any of which could harm our financial performance and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depend on a limited number of suppliers, including single source suppliers, for critical components and subassemblies, and our business could be disrupted if they are unable to meet our needs.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a limited number of suppliers for components and subassemblies used in our tools. Certain components and subassemblies of our tools have only been purchased from our current suppliers to date and changing the source of those components and subassemblies may result in disruptions during the transition process and entail significant delay and expense. We rely on Ninebell Co., Ltd., or Ninebell, as the principal supplier of robotic delivery system subassemblies used in our semiconductor capital equipment; Advanced Electric Co. Inc., as a key supplier of valves used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32"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semiconductor capital equipment; and certain companies from other countries which supply components and subsystems used in our semiconductor capital equipment. An adverse change to our relationship with any of these suppliers, including an inability to export the components to mainland China, could disrupt our production of our semiconductor capital equipment and could cause substantial harm to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some of these suppliers, we do not have long-term agreements and instead purchase components and subassemblies through a purchase order process. As a result, these suppliers may stop supplying us components and subassemblies, limit the allocation of supply and equipment to us due to increased industry demand or significantly increase their prices at any time with little or no advance notice. Our reliance on a limited number of suppliers could also result in delivery problems, reduced control over product pricing and quality, and our inability to identify and qualify another supplier in a timely manner.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Moreover, some of our suppliers may experience financial difficulties that could prevent them from supplying us with components or subassemblies used in the design and manufacture of our products. In addition, our key suppliers may experience manufacturing delays or shutdowns due to circumstances beyond their control, such as labor issues, political unrest or natural disasters. Any supply deficiencies could materially and adversely affect our ability to fulfill customer orders and our results of operations. We have in the past and may in the future, experience delays or reductions in supply shipments, which could reduce our revenue and profitability. If key components or materials are unavailable, our costs would increase and our revenue would decline.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Further, the addition of our subsidiaries ACM Shanghai and ACM Korea to the BIS Entity List prohibits any party worldwide from furnishing hardware, software, or technology that are subject to U.S. export controls jurisdiction to ACM Shanghai or ACM Korea, which could adversely affect the ability of our existing suppliers to sell products to those entities and our ability to seek and obtain replacement suppliers for those entities on acceptable terms, or at all.</w:t>
      </w:r>
      <w:r>
        <w:rPr>
          <w:color w:val="000000"/>
        </w:rPr>
        <w:t xml:space="preserve"> </w:t>
      </w:r>
      <w:r>
        <w:rPr>
          <w:rFonts w:ascii="Times New Roman;serif" w:hAnsi="Times New Roman;serif"/>
          <w:b w:val="false"/>
          <w:color w:val="000000"/>
          <w:sz w:val="20"/>
        </w:rPr>
        <w:t>See “—Regulatory Risks—Our operations in mainland China and Korea, including the import of components, technology, and activities of U.S. personnel therein, may be further impacted by the addition of ACM Shanghai, ACM Korea and related entities to the BIS Entity List.”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success of our business will depend on our ability to manage any future growth.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experienced rapid growth in our business recently due, in part, to an expansion of our product offerings and an increase in the number of customers that we serve. For example, our headcount grew by 24% in 2025, 27% in 2024, and 32% in 2023. We will seek to continue to expand our operations in the future, including by adding new offices, locations and employees. Managing our growth has placed and could continue to place a significant strain on our management, other personnel and our infrastructure. If we are unable to manage our growth effectively, we may not be able to take advantage of market opportunities, develop new products, enhance our technological capabilities, satisfy customer requirements, respond to competitive pressures or otherwise execute our business plan. In addition, any inability to manage our growth effectively could result in operating inefficiencies that could impair our competitive position and increase our costs disproportionately to the amount of growth we achieve. To manage our growth, we believe we must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hire, train, integrate and manage additional qualified engineers for research and development activities, sales and marketing personnel, service and support personnel and financial and information technology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 multiple relationships with our customers, suppliers and other third parties;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 to enhance our information technology infrastructure, systems and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organizational structure has become more complex, including as a result of the STAR Listing. We will need to continue to scale and adapt our operational, financial and management controls, as well as our reporting systems and procedures, at both ACM Research and ACM Shanghai. The continued expansion of our infrastructure will require us to commit substantial financial, operational and management resources before our revenue increases and without any assurances that our revenue will increase.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highly dependent on our Chief Executive Officer and President and other senior management and key employees.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largely depends on the skills, experience and continued efforts of our management, technical and sales personnel, including in particular Dr. David H. Wang, the Chair of the Board, Chief Executive Officer and President of ACM Research. All of our senior management are at-will employees, which means either we or the employee may terminate their employment at any time. If one or more of our other senior management personnel were unable or unwilling to continue their employment with us, we may not be able to replace them in a timely manner. Moreover,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33"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with the STAR Listing, ACM Shanghai is now managed by a group of officers separate from those of ACM Research and those officers owe fiduciary duties to the various stakeholders of ACM Shanghai. We do not have employment or retention agreements with, or maintain key person life insurance policies on, any of our employees. Our business may be severely disrupted and our financial condition and results of operations may be materially and adversely affected. In addition, our senior management may join a competitor or form a competing company. The loss of Dr. Wang or other key management personnel, including our Chief Financial Officer, could significantly delay or prevent the achievement of our business objectives.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Failure to attract and retain qualified personnel could put us at a competitive disadvantage and prevent us from effectively growing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continue to attract and retain highly skilled personnel. There is substantial competition for experienced management, technical and sales personnel in the chip equipment industry. If qualified personnel become scarce or difficult to attract or retain for compensation-related or other reasons, we could experience higher labor, recruiting or training costs. New hires may require significant training and time before they achieve full productivity and may not become as productive as we expect. If we are unable to retain and motivate our existing employees and attract qualified personnel to fill key positions, we may experience inadequate levels of staffing to develop and market our products and perform services for our customers, which could have a negative effect on our operating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Acquisitions that we pursue in the future, whether or not consummated, could result in other operating and financial difficulties.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seek to acquire additional product lines, technologies or businesses in an effort to increase our growth, enhance our ability to compete, complement our product offerings, enter new and adjacent markets, obtain access to additional technical resources, enhance our intellectual property rights or pursue other competitive opportunities. We may also make investments in certain key suppliers to align our interests with such suppliers. If we seek acquisitions, we may not be able to identify suitable acquisition candidates at prices we consider appropriate. We cannot readily predict the timing or size of our future acquisitions, or the success of any future 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we consummate acquisitions or investments, we may face financial risks as a result, including increased costs associated with merged or acquired operations, increased indebtedness, economic dilution to gross and operating profit and earnings per share, or unanticipated costs and liabilities. Acquisitions may involve additional risks,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acquired product lines, technologies or businesses may not improve our financial and strategic position as planned;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determine we have overpaid for the product lines, technologies or businesses, or that the economic conditions underlying our acquisition have changed;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have difficulty integrating the operations and personnel of the acquired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have difficulty retaining the employees with the technical skills needed to enhance and provide services with respect to the acquired product lines or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acquisition may be viewed negatively by customers, employees, suppliers, financial markets or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have difficulty incorporating the acquired product lines or technologies with our existing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encounter a competitive response, including price competition or intellectual property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encounter difficulties related to required CFIUS approval (see also “-Regulatory Risks-Certain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encounter difficulties related to OISP notification requirements or prohibitions (see also “-Regulatory Risks- The U.S. Government has implemented an outbound investment review mechanism, which may prevent us from taking advantage of investment opportunities that could otherwise be advantageous to our stockholders”);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become a party to product liability or intellectual property infringement claims as a result of our sale of the acquired company’s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incur one-time write-offs, such as acquired in-process research and development costs, and restructuring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acquire goodwill and other intangible assets that are subject to impairment tests, which could result in future impairment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ongoing business and management’s attention may be disrupted or diverted by transition or integration issues and the complexity of managing geographically or culturally diverse enterprises;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due diligence process may fail to identify significant existing issues with the target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34"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enter into negotiations for acquisitions or investments that are not ultimately consummated. These negotiations could result in significant diversion of management time, as well as substantial out-of-pocket costs, any of which could have a material adverse effect on our business,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Declines in the semiconductor industry, or the overall world economic conditions on which the industry is significantly dependent, could have a material adverse impact on our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capital equipment expenditures of chip manufacturers, which in turn depend on the current and anticipated market demand for integrated circuits. With the consolidation of customers within the industry, the chip capital equipment market may experience rapid changes in demand driven both by changes in the market generally and the plans and requirements of particular customers. Global economic and business conditions, which are often unpredictable, have historically impacted customer demand for our products and normal commercial relationships with our customers, suppliers and creditors. Additionally, in times of economic uncertainty our customers’ budgets for our tools, or their ability to access credit to purchase them, could be adversely affected. This would limit their ability to purchase our products and services. As a result, economic downturns could cause material adverse changes to our results of operations and financial condition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demand for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reserves on accounts receivable due to our customers’ inability to pay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reserves on inventory balances due to excess or obsolete inventory as a result of our inability to sell such inventory;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valuation allowances on deferred tax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restructuring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asset impairments;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the value of our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exposure to claims from our suppliers for payment on inventory that is ordered in anticipation of customer purchases that do not come to fruition;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the value of certain facilities we lease to less than our residual value guarantee with the lessor;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maintaining reliable and uninterrupted sources of supply.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Fluctuating levels of investment by chip manufacturers may materially affect our aggregate shipments, revenue, operating results and earnings. Where appropriate, we will attempt to respond to these fluctuations with cost management programs aimed at aligning our expenditures with anticipated revenue streams, which could result in restructuring charges. Even during periods of reduced revenues, we must continue to invest in research and development and maintain extensive ongoing worldwide customer service and support capabilities to remain competitive, which may temporarily harm our profitability and other financial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Regulatory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ability to sell our tools to customers in mainland China and certain other countries has been impacted, and will likely continue to be materially and adversely impacted, by export license requirements, other regulatory changes, or other actions taken by the U.S. or other governmental agencies.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has imposed, and may continue to impose, additional restrictions under the EAR on certain exports to China, to include Hong Kong and Macau, including restrictions targeting the semiconductor manufacturing industry in China. These types of restrictions may impact the operations of ACM Shanghai.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October 2022 and continuing through 2025, BIS announced a series of new rules that significantly expanded U.S. export controls as applied to advanced IC products, related manufacturing equipment and technology, and supercomputers, where the destination or ultimate end user is based in mainland China, Hong Kong and Macau. In the case of semiconductor manufacturing equipment, the new rules require an export license for the export, re-export, or transfer to or within mainland China, Hong Kong and Macau of additional types of semiconductor manufacturing equipment, items for use in manufacturing designated types of semiconductor manufacturing equipment (along with other items subject to the EAR, for use in the development or production of ICs), and semiconductor manufacturing equipment for use at certain IC manufacturing and development facilities in mainland China. In most cases, license applications for these exports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35"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reviewed under a presumption of denial. In addition, BIS imposed new restrictions by which U.S. persons anywhere in the world are effectively barred from engaging in certain activities related to the development and production of semiconductors at mainland China fabrication facilities meeting specified criteria, even if no items subject to the EAR are involved.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Effective on December 2, 2024, BIS promulgated a final rule naming a number of companies to the BIS Entity List Among the 140 companies added to the BIS Entity List were two subsidiaries of ACM Research,</w:t>
      </w:r>
      <w:r>
        <w:rPr>
          <w:color w:val="000000"/>
        </w:rPr>
        <w:t xml:space="preserve"> </w:t>
      </w:r>
      <w:r>
        <w:rPr>
          <w:rFonts w:ascii="Times New Roman;serif" w:hAnsi="Times New Roman;serif"/>
          <w:b w:val="false"/>
          <w:color w:val="000000"/>
          <w:sz w:val="20"/>
        </w:rPr>
        <w:t>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These new restrictions have impacted the procurement by ACM Shanghai and ACM Korea of items, technology and software from the United States, and of certain commodities subject to U.S. export controls from outside the United States, for use in manufacturing its products. The new restrictions may also limit the ability of ACM Shanghai and ACM Korea personnel to provide services to U.S. customers, as these activities could involve the disclosure of U.S. technology to ACM Shanghai or ACM Korea personnel, which could require authorization from BIS. See “Item 1A. Risk Factors—Regulatory Risks—Our operations in mainland China and Korea, including the import of components, technology, and activities of U.S. personnel therein, may be further impacted by the addition of ACM Shanghai, ACM Korea and related entities to the BIS Entity List” of this report for more information.</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ACM and ACM Shanghai have implemented modifications to their existing business policies and practices in response to these enhanced export restrictions, including by imposing limitations on the activities of their U.S. persons and undertaking measures in connection with their supply chains more broadly to comply with the new regulations. ACM Shanghai is continuing to assess the impact of these export control restrictions, and will continually adjust or modify its policies and practices as required to comply with these or other related updates. Based on our ongoing review, we believe these regulations may directly impact ACM Shanghai’s ability to meet its future production plans, or indirectly impact the spending plans of ACM Shanghai’s customer base. ACM Shanghai may not import, or faces substantial restrictions in importing, parts from the United States or parts subject to U.S. export controls from outside the United States to support tool shipments to such facilities.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be certain what additional actions the U.S. government may take with respect to China entities, or whether such actions will impact our relationships with our mainland China-based customers. Additional actions could take the form of further revisions to the Entity List or Unverified List, new export restrictions, further expansions to the geographic scope of the controls, or additional tariffs or other trade restrictions. It is also possible that other countries could adopt similar semiconductor-focused export controls to align with the U.S. actions.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Outside of the U.S., during the three and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erif" w:hAnsi="Times New Roman;serif"/>
          <w:b w:val="false"/>
          <w:color w:val="000000"/>
          <w:sz w:val="20"/>
        </w:rPr>
        <w:t>The amendment expands the scope of export controls to prohibit (1) exporting 23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erif" w:hAnsi="Times New Roman;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Likewise, on September 30, 2023, the Government of the Netherlands published additional export control measures for advanced semiconductor manufacturing equipment. The Regulation on Advanced Semiconductor Manufacturing Equipment entered force on September 1, 2023. From that point on, the export of certain advanced semiconductor manufacturing equipment, as specified in the Annex to the Regulation, is now subject to a national export license authorization requirement by the Dutch Central Import and Export Service.</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color w:val="000000"/>
          <w:sz w:val="20"/>
        </w:rPr>
        <w:t>Efforts to further tighten semiconductor-related export controls have continued in 2025.</w:t>
      </w:r>
      <w:r>
        <w:rPr>
          <w:color w:val="000000"/>
        </w:rPr>
        <w:t xml:space="preserve"> </w:t>
      </w:r>
      <w:r>
        <w:rPr>
          <w:rFonts w:ascii="Times New Roman;serif" w:hAnsi="Times New Roman;serif"/>
          <w:b w:val="false"/>
          <w:color w:val="000000"/>
          <w:sz w:val="20"/>
        </w:rPr>
        <w:t>In December 2025, the Government of the Netherlands implemented supplemental export controls on certain emerging technology items including sensitive goods, software, and technology related to the semiconductor sector.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36"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new restrictions, the ability of ACM Shanghai to acquire such parts from Japan and the Netherlands to fulfill customer requirements, and the ability of ACM Shanghai’s customers in mainland China to scale their production, could be further negatively impacted by these additional controls. The introduction of additional multilateral semiconductor-focused export controls could further negatively impact ACM Shanghai’s supply arrangements.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We are unable to predict the duration of the restrictions imposed by the U.S. government, Japan and the Netherlands or the</w:t>
      </w:r>
      <w:r>
        <w:rPr>
          <w:color w:val="000000"/>
        </w:rPr>
        <w:t xml:space="preserve"> </w:t>
      </w:r>
      <w:r>
        <w:rPr>
          <w:rFonts w:ascii="Times New Roman;serif" w:hAnsi="Times New Roman;serif"/>
          <w:b w:val="false"/>
          <w:color w:val="000000"/>
          <w:sz w:val="20"/>
        </w:rPr>
        <w:t>effects of any future governmental actions by the U.S., Japan, the Netherlands or other countries that may impact our relationships with our mainland China-based customers, any of which could have a long-term adverse effect on our business,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Changes in government trade policies could limit the demand for our tools and increase the cost of our tools.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trade tensions between the United States and mainland China escalated beginning in 2018, and have continued to escalate. Since 2018, the U.S. government has imposed new or higher tariffs on specified imported products originating from mainland China in response to what the U.S. government characterized as unfair trade practices. The mainland China government responded to each of these rounds of U.S. tariff changes by imposing new or higher tariffs on specified products imported from the United States. Higher tariffs and additional rounds of tariffs have been suggested or threatened by U.S. and mainland China officials. More recently, in February 2025, U.S. officials have suggested potentially targeting Chinese origin legacy semiconductors with additional tariffs. Certain U.S. officials have also called for revocation of, or revisions to, China’s permanent normal trade relations (PNTR) status, which would increase tariffs significantly on goods of Chinese origin. In the event any such increased tariffs take effect, it is possible that the Chinese government could respond with additional tariffs or restrictions.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imposition of heightened tariffs on imports by both the U.S. and mainland China governments and the surrounding economic uncertainty may negatively impact the semiconductor industry, including by reducing the demand of fabricators for capital equipment such as our tools. Further changes in trade policy, including by tariffs, additional taxes, restrictions on exports or other trade barriers, or restrictions on supplies, equipment, and raw materials including rare earth minerals, may limit the ability of our customers to manufacture or sell semiconductors or to make the manufacture or sale of semiconductors more expensive and less profitable, which could lead those customers to fabricate fewer semiconductors and to invest less in capital equipment such as our tools. In addition, if mainland China were to impose additional tariffs on raw materials, subsystems or other supplies that we source from the United States, our cost for those supplies would increase. As a result of any of the foregoing events, the imposition of new or additional tariffs may limit our ability to manufacture tools, increase our selling and/or manufacturing costs, decrease margins, or inhibit our ability to sell tools or to purchase necessary equipment and supplies, which could have a material adverse effect on our business, results of operations, or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subject to risks related to recent U.S. tariffs on the semiconductor industry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April 5, 2025, the Trump administration imposed sweeping new “reciprocal” tariffs on most imported items, including a “baseline” rate of 10% on most countries. This baseline 10% rate was scheduled to increase on various countries on April 9, 2025, but was subject to a 90-day “pause” for the administration to negotiate agreements with affected countries. However, full reciprocal tariffs did go into effect on China, which currently stand at 125%. Earlier 20% tariffs against China imposed under an executive order targeting the fentanyl import trade “stack” on top of the reciprocal tariffs, such that China is subject to 145% tariffs. Additional 25% tariffs may also apply to goods from China that are subject to earlier duties imposed by the first Trump Administration under Section 301 of the Trade Act of 1974.</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Semiconductors are currently exempted from coverage of the reciprocal tariffs (including the 125% reciprocal tariffs on China). This exemption was later clarified to include certain electronic items incorporating semiconductors. However, this exemption may be temporary as the U.S. Department of Commerce on April 1, 2025, initiated an investigation under Section 232 of the Trade Expansion Act of 1962 to assess the national security implication of imports of semiconductors, semiconductor manufacturing equipment, and derivative products. Under Section 232, the Department of Commerce has 270 days (by December 27, 2025) to complete its investigation, although the Trump administration has indicated a desire to finish on a timeline of a few months. After that, the administration may take measures to address national security concerns, such as imposing specific tariffs on semiconductors or taking other actions to curtail imports.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company that designs and manufactures equipment and products used in the semiconductor industry, we are exposed to risks arising from these proposed tariffs due to our reliance on global supply chains. Tariffs may also disrupt the global electronics supply chain, as semiconductors are critical components in products such as servers, smartphones, and automotive systems. Increased costs for our customers could lead to reduced demand for our products, particularly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37"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price-sensitive markets, which may adversely affect our revenue and market share. Furthermore, the Section 232 national security investigation into semiconductors (as well as the overall tariff regime) introduces additional uncertainty, as it could result in broader trade restrictions or changes to import policies that further impact our ability to source raw materials and sell our products efficiently.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uncertainty surrounding the current semiconductor Section 232 investigation, its implementation timeline, and other issues, combined with the potential for retaliatory trade actions from key markets like China, poses a significant risk to our financial condition, results of operations, and competitive position in the global market.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Changes in political and economic policies of the mainland China government may materially and adversely affect our business, financial condition and results of operations and may result in our inability to sustain our growth and expansion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our operations are conducted in mainland China, and a substantial majority of our revenue is sourced from mainland China. Accordingly, our financial condition and results of operations are affected to a significant extent by economic, political and legal development in mainland China.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Chinese economy differs from the economies of most developed countries in many respects, including the extent of government involvement, level of development, growth rate, and control of foreign exchange and allocation of resources. Although the mainland China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mainland China are still owned by the government. In addition, the mainland China government continues to play a significant role in regulating industry development by imposing industrial policies. The mainland China government also exercises significant control over economic growth in mainland China by allocating resources, controlling payment of foreign currency-denominated obligations, setting monetary policy, regulating financial services and institutions, and providing preferential treatment to particular industries or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the mainland China economy has experienced significant growth in the past three decades, growth has been uneven, both geographically and among various sectors of the economy. The mainland China government has implemented various measures to encourage economic growth and guide the allocation of resources. Some of these measures may benefit the overall mainland China economy, but may also have a negative effect on us. Our financial condition and results of operation could be materially and adversely affected by government control over capital investments or changes in tax regulations that are applicable to us. In the past the mainland China government has implemented measures to control the pace of economic growth, and similar measures in the future may cause decreased economic activity, which in turn could lead to a reduction in demand for our products and consequently have a material adverse effect on our businesses,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mainland China government has been implementing policies to develop an independent domestic semiconductor industry supply chain, there is no guaranteed time frame in which these initiatives will be implemented. We cannot guarantee that the implementation of these policies will result in additional revenue to us or that our presence in mainland China will result in support from the mainland China government. To the extent that any capital investment or other assistance from the mainland China government is not provided to us, it could be used to promote the products and technologies of our competitors, which could adversely affect our business, operating results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generate substantially all of our revenue through ACM Shanghai, our mainland China subsidiary. Mainland China statutory laws and regulations permit payments of dividends by ACM Shanghai only out of its retained earnings, which are determined in accordance with mainland China accounting standards and regulations that differ from U.S. generally accepted accounting principles. Mainland China regulations and ACM Shanghai’s articles of association require annual appropriations of 10% of net after-tax profits to be set aside, prior to payment of dividends, as a reserve or surplus fund, which restricts ACM Shanghai’s ability to transfer a portion of its net assets to us. Such reserved funds can only be used for specific purposes and are not transferable to ACM in the form of loans, advances or cash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38"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restrictions under mainland China laws and regulations as well as restrictions under ACM Shanghai’s bank loan agreements, we may be significantly restricted in our ability to transfer a portion of ACM Shanghai’s net assets to ACM or other subsidiaries of ACM. We have no assurance that mainland China governmental authorities in the future will not limit further or eliminate the ability of ACM Shanghai to purchase foreign currencies and transfer such funds to ACM to meet its liquidity or other business needs. Any inability to access funds in mainland China, if and when needed for use outside of mainland China, could have a material and adverse effect on our liquidity and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Certain of our investments may be subject to review by and approval from CFIUS, which may prevent us from taking advantage of investment opportunities that would otherwise be advantageous to our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of our investments may be subject to review by and approval from the U.S. Committee on Foreign Investment in the U.S., or CFIUS. In the event that CFIUS reviews one or more of our investments, there can be no assurances that we will be able to maintain or proceed with such investments on terms acceptable to us. Additionally, CFIUS may seek to impose limitations on one or more such investments that may prevent us from maintaining or pursuing investment opportunities that we otherwise would have maintained or pursued, which could adversely affect the performance of our investments and thus our overall performance. Certain of our stockholders may be non-U.S. investors, and in the aggregate, may comprise a substantial portion of our net asset value, which may increase the risks of such limitations being imposed in connection with investments pursued or made by us. Legislative and regulatory changes, including changes to agency practice, in the future may negatively impact our ability to realize value from certain existing and future investments, including by limiting exit opportunities or causing us to favor buyers that we believe are less likely to require CFIUS review, even in circumstances where other buyers may offer better terms or more consideration.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U.S. Government has implemented an outbound investment review mechanism, which may prevent us from taking advantage of investment opportunities that could otherwise be advantageous to our stockholders.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15, 2024, the Office of Investment Security of the U.S. Department of the Treasury published in the Federal Register a final rule to implement President Biden’s August 2023 Executive Order on Addressing United States Investments in Certain National Security Technologies and Products in Countries of Concern (the EO). The EO provided for the establishment of a new and targeted national security regulatory framework directed at controlling outbound investment from the United States in certain sensitive industry sectors in the People’s Republic of China (PRC) and the Special Administrative Regions of Hong Kong and Macau (collectively, China). This final rule went into effect January 2, 2025. The OISP was amended by the Comprehensive Outbound Investment National Security Act (“COINS Act”) which was signed into law on December 18, 2025, although the provisions of the COINS Act will not come into effect until the Department of the Treasury issues implementing regulations, which by law must occur by March 2027.</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As implemented by the final rule, the framework imposes notification requirements and prohibitions on specified investments by U.S. persons in the semiconductor and microelectronics sector, quantum information technologies, and artificial intelligence (AI) systems. These restrictions apply not only to investments in China, but also to certain investments outside of China.</w:t>
      </w:r>
      <w:r>
        <w:rPr>
          <w:color w:val="000000"/>
        </w:rPr>
        <w:t xml:space="preserve"> </w:t>
      </w:r>
      <w:r>
        <w:rPr>
          <w:rFonts w:ascii="Times New Roman;serif" w:hAnsi="Times New Roman;serif"/>
          <w:b w:val="false"/>
          <w:color w:val="000000"/>
          <w:sz w:val="20"/>
        </w:rPr>
        <w:t>The OISP regulations in effect today could also be interpreted to restrict certain types of private investment in ACM Research in the United States, although these measures do not impact investment in ACM Research’s publicly traded securities.</w:t>
      </w:r>
      <w:r>
        <w:rPr>
          <w:color w:val="000000"/>
        </w:rPr>
        <w:t xml:space="preserve"> </w:t>
      </w:r>
      <w:r>
        <w:rPr>
          <w:rFonts w:ascii="Times New Roman;serif" w:hAnsi="Times New Roman;serif"/>
          <w:b w:val="false"/>
          <w:color w:val="000000"/>
          <w:sz w:val="20"/>
        </w:rPr>
        <w:t>The COINS Act reverses the possible application of the OISP to certain U.S. companies, including ACM Research, and therefore it appears ACM Research will not be subject to the OISP’s private investment restrictions once the provisions of the COINS Act enter into force in 2026 or 2027.</w:t>
      </w:r>
      <w:r>
        <w:rPr>
          <w:color w:val="000000"/>
        </w:rPr>
        <w:t xml:space="preserve">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semiconductor and microelectronics sector, prohibited investments will include certain covered investments in electronic design automation software; certain fabrication and advanced packaging tools; the design, fabrication, or packaging of certain advanced integrated circuits, and supercomputers. Notifiable investments will include any covered investments related to the design, fabrication, or packaging of integrated circuits not otherwise covered by the prohibition.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Given the breadth of the notification requirement as applicable within the semiconductor industry, we will likely be subject to increased regulatory burden to engage in certain investments in the PRC and other countries. Until the issuance of COINS Act implementing regulations in 2026 or 2027, ACM Research may also be subject to restrictions on raising capital through private investments.</w:t>
      </w:r>
      <w:r>
        <w:rPr>
          <w:color w:val="000000"/>
        </w:rPr>
        <w:t xml:space="preserve"> </w:t>
      </w:r>
      <w:r>
        <w:rPr>
          <w:rFonts w:ascii="Times New Roman;serif" w:hAnsi="Times New Roman;serif"/>
          <w:b w:val="false"/>
          <w:color w:val="000000"/>
          <w:sz w:val="20"/>
        </w:rPr>
        <w:t>Such a mechanism could negatively impact our ability to realize value from certain existing and future investments, including by limiting exit opportunities or causing us to favor buyers or investors that may avoid complex notification requirements or even outright prohibitions, even in circumstances where other buyers may offer better terms or more consideration. There can be no assurances that we will be able to maintain or proceed with investments on terms acceptable to us. It is possible that the outbound investment reporting requirements and prohibitions could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39"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operations in mainland China and Korea, including the import of components, technology, and activities of U.S. personnel therein, may be further impacted by the addition of ACM Shanghai, ACM Korea and related entities to the BIS Entity List.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 2024, the U.S. BIS imposed additional controls on exports to, and transfers within, the People’s Republic of China PRC relating to advanced integrated circuit products, certain IC manufacturing equipment and technology, and supercomputers associated with artificial intelligence (AI) and advanced computing.</w:t>
      </w:r>
    </w:p>
    <w:p>
      <w:pPr>
        <w:pStyle w:val="TextBody"/>
        <w:bidi w:val="0"/>
        <w:spacing w:before="0" w:after="0"/>
        <w:jc w:val="left"/>
        <w:rPr/>
      </w:pPr>
      <w:r>
        <w:rPr/>
      </w:r>
    </w:p>
    <w:p>
      <w:pPr>
        <w:pStyle w:val="TextBody"/>
        <w:bidi w:val="0"/>
        <w:spacing w:lineRule="auto" w:line="268"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 xml:space="preserve">In coordination with the new regulations, among other updates, ACM Shanghai and its operating subsidiaries in China and Korea, were added to the Entity List published by BIS. Neither ACM, nor its direct subsidiaries outside of mainland China, were added to the Entity List. </w:t>
      </w:r>
    </w:p>
    <w:p>
      <w:pPr>
        <w:pStyle w:val="TextBody"/>
        <w:bidi w:val="0"/>
        <w:spacing w:before="0" w:after="0"/>
        <w:ind w:left="0" w:right="0" w:hanging="2"/>
        <w:jc w:val="both"/>
        <w:rPr/>
      </w:pPr>
      <w:r>
        <w:rPr/>
      </w:r>
    </w:p>
    <w:p>
      <w:pPr>
        <w:pStyle w:val="TextBody"/>
        <w:bidi w:val="0"/>
        <w:spacing w:lineRule="auto" w:line="268" w:before="0" w:after="0"/>
        <w:ind w:left="0" w:right="0" w:hanging="2"/>
        <w:jc w:val="both"/>
        <w:rPr>
          <w:rFonts w:ascii="Times New Roman;serif" w:hAnsi="Times New Roman;serif"/>
          <w:b w:val="false"/>
          <w:color w:val="000000"/>
          <w:sz w:val="20"/>
        </w:rPr>
      </w:pPr>
      <w:r>
        <w:rPr>
          <w:rFonts w:ascii="Times New Roman;serif" w:hAnsi="Times New Roman;serif"/>
          <w:b w:val="false"/>
          <w:color w:val="000000"/>
          <w:sz w:val="20"/>
        </w:rPr>
        <w:t>The regulations prohibit ACM Shanghai and ACM Korea from obtaining U.S.-sourced components, software or technology. In the future, other countries may also restrict ACM Shanghai's ability to source certain commodities. Although we believe the impact to our supply chain, and the ability of ACM Shanghai and ACM Korea to produce tools in mainland China can be managed without a significant interruption of our business, it will require the transition of certain components to be qualified at our customers to maintain consistent quality standards. The potential impact on sales to our customers will also depend on the effect of the new regulations on the overall spending plans of our customers.</w:t>
      </w:r>
    </w:p>
    <w:p>
      <w:pPr>
        <w:pStyle w:val="TextBody"/>
        <w:bidi w:val="0"/>
        <w:spacing w:before="0" w:after="0"/>
        <w:ind w:left="0" w:right="0" w:hanging="2"/>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anticipate a significant impact to the ability to sell, deliver and service products to our global customers outside of mainland China. The new regulations prohibit the export or reexport of U.S.-origin items to companies on the Entity List without a BIS license, but do not inhibit the ability of companies on the Entity List to sell, deliver, and service their products to global customers, including customers in the United States.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are subject to government regulation, including import, export, economic sanctions, and anti-corruption laws and regulations, that may limit our sales opportunities, expose us to liability and increase our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products are subject to import and export controls in jurisdictions in which we distribute or sell our products. Import and export controls and economic sanctions laws and regulations include restrictions and prohibitions on the sale or supply of certain products and on our transfer of parts, components, and related technical information and know-how to certain countries, regions, governments, persons and entities.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Various countries regulate the importation of certain products through import permitting and licensing requirements and have enacted laws that could limit our ability to distribute our products. The exportation, re-exportation, transfers within foreign countries and importation of our products, including by our partners, must comply with these laws and regulations, and any violations may result in reputational harm, government investigations and penalties, or a denial or curtailment of exporting privileges. Complying with export control and sanctions laws for a particular sale may be time consuming, may increase our costs, and may result in the delay or loss of sales opportunities. If we are found to be in violation of U.S. sanctions or export control laws, or similar laws in other jurisdictions, we and the individuals working for us could incur substantial fines and penalties. Changes in export, sanctions or import laws or regulations may delay the introduction and sale of our products in international markets, require us to expend resources to seek necessary government authorizations or develop different versions of our products, or, in some cases, prevent the export or import of our products to certain countries, regions, governments, persons or entities, which could adversely affect our business, financial condition and operating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various domestic and international anti-corruption laws, such as the U.S. Foreign Corrupt Practices Act, as well as similar anti-bribery and anti-kickback laws and regulations in the United States and other jurisdictions. These laws and regulations generally prohibit companies and their intermediaries from offering or making improper payments to non-U.S. officials for the purpose of obtaining, retaining or directing business. Our exposure for violating these laws and regulations increases as our international presence expands and as we increase sales and operations in foreign jurisdictions.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the STAR Listing of ACM Shanghai</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achieve the results contemplated by our business strategy and our strategy for growth in mainland China may not result in increases in the price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cannot assure you that we will realize any or all of our anticipated benefits of the STAR Listing, which may not have the anticipated effects of including the strengthening of our market position and operations in mainland China. ACM Shanghai continues to have broad discretion in the use of the proceeds from the initial sales of shares to investors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0"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proceeds from the STAR IPO and the STAR Private Offering, and will have similar discretion over the use of proceeds from future financing activities (including follow-on offerings or private placements of shares with mainland China investors). ACM Shanghai may not spend or invest those proceeds in a manner that results in our operating success or with which ACM Research stockholders agree. Our failure to successfully leverage the completion of the STAR Listing the STAR IPO,and the STAR Private Offering, and any future financings by ACM Shanghai, to expand our mainland China business could result in a decrease in the price of the Class A common stock, and we cannot assure you that the success of ACM Shanghai will have an attendant positive effect on the price of the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Mainland China companies are critical to the global semiconductor industry, and our current business is substantially concentrated in the mainland China market. Our inability to build, or any delay in growing, our mainland China-based operations would materially and adversely limit our operations and operating results, including our revenue growth.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ACM Shanghai’s status as a publicly traded company that is controlled, but less than wholly owned, by ACM Research could have an adverse effect on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2021, we completed the STAR Listing and STAR IPO with respect to shares of ACM Shanghai. ACM Shanghai is our principal operating company and, prior to the STAR Listing process, was a wholly owned subsidiary of ACM Research. As the result of actions taken in connection with the STAR Listing and the STAR IPO, ACM Shanghai is no longer a wholly owned subsidiary of ACM Research, and the interests of ACM Shanghai may diverge from the interests of ACM Research and its other subsidiaries in the future. We may face conflicts of interest in managing, financing or engaging in transactions with ACM Shanghai, or allocating business opportunities between our subsidiaries, including future arrangements for operating subsidiaries other than ACM Shanghai to license and use our intellectual property. Substantially all of our intellectual property has been developed in mainland China and is owned by ACM Shanghai. As we expand our global operations through operating subsidiaries outside of mainland China, those operating subsidiaries may need to license intellectual property from ACM Shanghai in order to operate, and there can be no assurance that conflicts of interest will not preclude those operating subsidiaries from licensing the required intellectual property from ACM Shanghai on reasonable terms or at 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Research retains majority ownership of ACM Shanghai since the STAR IPO, but ACM Shanghai is managed by a separate board of directors and officers and those directors and officers will owe fiduciary duties to the various stakeholders of ACM Shanghai, including shareholders other than ACM Research. In the operation of ACM Shanghai’s business, there may be situations that arise whereby the directors and officers of ACM Shanghai, in the exercise of their fiduciary duties, take actions that may be contrary to the best interests of ACM Research.</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ACM Shanghai may issue options, restricted shares and other forms of share-based compensation to its directors, officers and employees, which could dilute ACM Research’s ownership in ACM Shanghai. In addition, ACM Shanghai may engage in capital raising activities in the future that could further dilute ACM Research’s ownership interest.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For example, i</w:t>
      </w:r>
      <w:r>
        <w:rPr>
          <w:rFonts w:ascii="Times New Roman;serif" w:hAnsi="Times New Roman;serif"/>
          <w:b w:val="false"/>
          <w:color w:val="000000"/>
          <w:sz w:val="20"/>
          <w:shd w:fill="FFFFFF" w:val="clear"/>
        </w:rPr>
        <w:t>n September 2025, ACM Shanghai completed a private offering, in which ACM Shanghai sold 38,601,326 ordinary shares at price per share of RMB 116.11, raising net proceeds of RMB 4.4 billion (approximately US $623.0 million) after deducting offering-related expenses (the "Private Offering"). The proceeds are intended to be used by ACM Shanghai for research and development, capital expenditures and working capital. As a result, our ownership interest in ACM Shanghai declin</w:t>
      </w:r>
      <w:r>
        <w:rPr>
          <w:rFonts w:ascii="Times New Roman;serif" w:hAnsi="Times New Roman;serif"/>
          <w:b w:val="false"/>
          <w:color w:val="000000"/>
          <w:sz w:val="20"/>
        </w:rPr>
        <w:t>ed to 74.6%.</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ACM Research and ACM Shanghai both are public reporting companies but each is subject to separate, and potentially inconsistent, accounting and disclosure requirements, which may lead to investor confusion or uncertainty that could cause decreased demand for, or fluctuations in the price of, one or both of the companies’ publicly traded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Since ACM Shanghai completed the STAR Listing, it has been subject to accounting, disclosure and other regulatory requirements of the STAR Market. At the same time, ACM Research remains subject to accounting, disclosure and other regulatory requirements of the SEC and the Nasdaq Global Market, or Nasdaq. As a result, ACM Research and ACM Shanghai periodically will disclose information simultaneously pursuant to differing laws and regulations. Even though substantially all of the operations of ACM Research are currently conducted through ACM Shanghai, the information disclosed by the two companies will differ, and may differ materially from time to time, due to the distinct, and potentially inconsistent, accounting standards applicable to the two companies and disclosure requirements imposed by securities regulatory authorities, as well as differences in language, culture and expression habit, in composition of investors in the United States and mainland China, and in the capital markets of the United States and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1"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Differing disclosures could lead to confusion or uncertainty among investors in the publicly traded shares of one or both companies. Differences between the price of ACM Shanghai shares on the STAR Market and the price of ACM Research Class A common stock on Nasdaq could lead to increased volatility, as some investors seek to arbitrage price differences. Moreover, such volatility could be exacerbated by the fact that ACM Shanghai shares currently represent substantially all of the assets of ACM Research.</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 and Data Security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success depends on our ability to protect our intellectual property, including our SAPS, TEBO, Tahoe, ECP, furnace and other technologies.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and maintain patent and trade secret protection for our intellectual property, including our SAPS, TEBO, Tahoe, ECP, furnace and other technologies and the design of our Ultra C equipment, as well as our ability to operate without infringing upon the proprietary rights of others.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intellectual property is uncertain. Only limited protection may be available and may not adequately protect our rights or permit us to gain or keep any competitive advantage. This failure to properly protect the intellectual property rights relating to our products and technologies could have a material adverse effect on our financial condition and 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U.S. Patent and Trademark Office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Patent applications may not result in any patents being issued.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Patents that may be issued may be challenged, invalidated, modified, revoked, circumvented, found to be unenforceable or otherwise may not provide any competitive advantage.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competitors may seek or may have already obtained patents that will limit, interfere with, or eliminate our ability to make, use and sell our potential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Mainland China and other 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we rely on the protection of our trade secrets and know-how. Although we have taken steps to protect our trade secrets and unpatented know-how, including entering into confidentiality and non-disclosure agreements with third parties and confidential information and inventions agreements with key employees, customers and suppliers, other parties may still obtain this information or may come upon this information independently. If any of these events occurs or if we otherwise lose protection for our trade secrets or proprietary know-how, the value of this information may be greatly reduced.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be involved in lawsuits to protect or enforce our patents, which could be expensive, time consuming and unsuccessful.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upon our patents. If our technologies are adopted, we believe that competitors may try to match our technologies and tools in order to compete. To counter infringement or unauthorized use, we may be required to file infringement claims, which can be expensive and time consuming. An adverse result in any litigation or defense proceedings, including our current suits, could put one or more of our patents at risk of being invalidated, found to be unenforceable or interpreted narrowly and could put our patent applications at risk of not issuing. Furthermore, because of the substantial amount of discovery required in connection with intellectual property litigation, there is a risk that some of our confidential information could be compromised by disclosure during litigation. In addition, any future patent litigation, interference or other administrative proceedings will result in additional expense and distraction of our personnel. Most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42"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competitors are larger than we are and have substantially greater resources, and they therefore are likely to be able to sustain the costs of complex patent litigation longer than we could. An adverse outcome in such litigation or proceedings may expose us to loss of our proprietary position.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 including mainland China, which could materially, negatively affect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Filing, prosecuting and defending patents on our products or proprietary technologies in all countries throughout the world would be prohibitively expensive, and our intellectual property rights in some countries outside the United States, including mainland China, can be less extensive than those in the United States. In addition, the laws of some foreign countries do not protect intellectual property rights to the same extent as federal and state laws in the United States. Consequently, competitors may use our technologies in jurisdictions where we have not obtained patent protection to develop their own products and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significant majority of our intellectual property has been developed in mainland China and is owned by ACM Shanghai. Implementation and enforcement of intellectual property-related laws in mainland China has historically been lacking due primarily to ambiguities in mainland China intellectual property law. Accordingly, protection of intellectual property and proprietary rights in mainland China may not be as effective as in the United States or other countries. As a result, third parties could illegally use the technologies and proprietary processes that we have developed and compete with us, which could negatively affect any competitive advantage we enjoy, dilute our brand and harm our operating results. Litigation may be necessary to enforce our intellectual property rights, and given the relative unpredictability of mainland China’s legal system and potential difficulties enforcing a court judgment in mainland China, there is no guarantee litigation would result in an outcome favorable to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affect our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we are sued for infringing intellectual property rights of third parties, it will be costly and time consuming, and an unfavorable outcome in that litigation could have a material adverse effect on our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develop, manufacture, market and sell our products without infringing upon the proprietary rights of third parties. Numerous U.S. and foreign-issued patents and pending patent applications owned by third parties exist in the fields in which we are developing products, some of which may contain claims that overlap with the subject matter of our intellectual property. A third party has claimed in the past, and others may claim in the future, that our technology or products infringe their intellectual property. In some instances third parties may initiate litigation against us in an effort to prevent us from using our technology in alleged violation of their intellectual property rights. The risk of such a lawsuit will likely increase as our size and the number and scope of our products increase and as our geographic presence and market share expand.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potential intellectual property claims or litigation commenced against us could: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be time consuming and expensive to defend, whether or not meritorious;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force us to stop selling products or using technology that allegedly infringes the third party’s intellectual property rights;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delay shipments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pay damages or settlement fees to the party claiming infringement;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attempt to obtain a license to the relevant intellectual property, which may not be available on reasonable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43"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force us to attempt to redesign products that contain the allegedly infringing technology, which could be expensive or which we may be unable to do;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indemnify our customers, suppliers or other third parties for any loss caused by their use of our technology that allegedly infringes the third party’s intellectual property rights;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divert the attention of our technical and managerial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patent applications can take many years to issue, there may be currently pending applications, unknown to us, that may later result in issued patents upon which our products or technologies may infringe. Similarly, there may be issued patents relevant to our products of which we are not aware.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increasingly depend upon our information technology systems to conduct our business operations, ranging from our internal operations and product development and manufacturing activities to our marketing and sales efforts and communications with our customers and business partners. Computer programmers may attempt to penetrate our network security, or that of our website, and misappropriate our proprietary information or cause interruptions of our service. Because the techniques used by such computer programmers to access or sabotage networks change frequently and may not be recognized until launched against a target, we may be unable to anticipate these techniques. We have also outsourced a number of our business functions to third-party contractors, including our manufacturers, and our business operations also depend, in part, on the success of our contractors’ own cybersecurity measures. Accordingly, if our cybersecurity systems and those of our contractors fail to protect against unauthorized access, sophisticated cyberattacks and the mishandling of data by our employees and contractors, our ability to conduct our business effectively could be damaged in a number of ways, including sensitive data regarding our employees or business, including intellectual property and other proprietary data, could be stolen. Should this occur, we could be subject to significant claims for liability from our customers and regulatory actions from governmental agencies. In addition, our ability to protect our intellectual property rights could be compromised and our reputation and competitive position could be significantly harmed. Consequently, our financial performance and results of operations could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Class A Common Stock</w:t>
      </w:r>
    </w:p>
    <w:p>
      <w:pPr>
        <w:pStyle w:val="TextBody"/>
        <w:bidi w:val="0"/>
        <w:spacing w:lineRule="auto" w:line="288" w:before="240" w:after="283"/>
        <w:jc w:val="both"/>
        <w:rPr/>
      </w:pPr>
      <w:r>
        <w:rPr>
          <w:rFonts w:ascii="Times New Roman;serif" w:hAnsi="Times New Roman;serif"/>
          <w:b/>
          <w:i/>
          <w:color w:val="000000"/>
          <w:sz w:val="20"/>
        </w:rPr>
        <w:t>The market price of Class A common stock</w:t>
      </w:r>
      <w:r>
        <w:rPr>
          <w:color w:val="000000"/>
        </w:rPr>
        <w:t xml:space="preserve"> </w:t>
      </w:r>
      <w:r>
        <w:rPr>
          <w:rFonts w:ascii="Times New Roman;serif" w:hAnsi="Times New Roman;serif"/>
          <w:b/>
          <w:i/>
          <w:color w:val="000000"/>
          <w:sz w:val="20"/>
        </w:rPr>
        <w:t>has been and may continue to be volatile, which could result in substantial losses for investors purchasing our shares.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market price of Class A common stock has been, and could continue to be, subject to significant fluctuations. The market price of Class A common stock may fluctuate significantly in response to numerous factors, many of which are beyond our control,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anticipated fluctuations in our revenue and other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actions of securities analysts who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projections for the chips or chip equipment industries or in the operating performance or expectations and stock market valuations of chip companies, chip equipment companies or technology companies in general;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changes in the financial projections we may provide to the public, our failure to meet these projections, or changes in recommendations by any securities analysts that elect to follow Class A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shares of Class A common stock being sold into the market by us or our existing stockholders or the anticipation of such sales;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price and volume fluctuations in the overall stock market, including as a result of trends in the economy as a whole;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lawsuits threatened or filed against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litigation and other developments relating to our patents or other proprietary rights or those of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economic trends, including changes in the demand for electronics or information technology or geopolitical events such as war or acts of terrorism, or any responses to such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44"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recent years, the stock market in general, and Nasdaq in particular, has experienced extreme price and volume fluctuations that have often been unrelated or disproportionate to changes in the operating performance of the companies whose stock is experiencing those price and volume fluctuations. Further, following periods of volatility in the overall market and the market price of a particular company’s securities, securities class action litigation has often been instituted against these companies. Similar litigation may be instituted against us in the future, which could result in substantial costs and a diversion of our management’s attention and resources.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Few if any companies with stock publicly traded in the United States have effected a STAR Market listing of stock of a mainland China-based subsidiary, and it is therefore difficult to predict the effect of the STAR Listing and STAR IPO on the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China Securities Regulatory Commission initially launched the STAR Market in June 2019 and trading on the Market began in July 2019. In November 2021 ACM Shanghai completed the STAR Listing and the STAR IPO. We believe we are one of the first publicly traded U.S. companies to complete an initial public offering of shares of a mainland China subsidiary on the STAR Market. As a result, no assurance can be given regarding the effect of the STAR Listing and the STAR IPO on the market price of the Class A common stock. The market price of Class A common stock may be volatile or may decline, for reasons other than the risk and uncertainties described above, as the result of investor negativity or uncertainty with respect to the impact of the STAR Listing and STAR IPO.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investors may elect to invest in our business and operations by purchasing ACM Shanghai shares on the STAR Market rather than purchasing ACM Research Class A common stock, and that reduction in demand could lead to a decrease in the market price for the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have never paid and do not intend to pay cash dividends and, consequently, your ability to achieve a return on your investment will depend on appreciation in the price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ability to pay dividends on Class A common stock depends significantly on our receiving distributions of funds from our subsidiaries in mainland China. mainland China statutory laws and regulations permit payments of dividends by those subsidiaries only out of their retained earnings, which are determined in accordance with mainland China accounting standards and regulations that differ from U.S. generally accepted accounting principles. Mainland China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The dual class structure of common stock has the effect of concentrating voting control with our executive officers and directors, including our Chief Executive Officer and President, which will limit or preclude your ability to influence corporate matters.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Class B common stock has twenty votes per share and Class A common stock has one vote per share. As of February 25, 2025, stockholders who hold shares of Class B common stock, who consist principally of our executive officers, employees, directors and their respe</w:t>
      </w:r>
      <w:r>
        <w:rPr>
          <w:rFonts w:ascii="Times New Roman;serif" w:hAnsi="Times New Roman;serif"/>
          <w:b w:val="false"/>
          <w:color w:val="000000"/>
          <w:sz w:val="20"/>
          <w:shd w:fill="FFFFFF" w:val="clear"/>
        </w:rPr>
        <w:t>ctive affiliates, collect</w:t>
      </w:r>
      <w:r>
        <w:rPr>
          <w:rFonts w:ascii="Times New Roman;serif" w:hAnsi="Times New Roman;serif"/>
          <w:b w:val="false"/>
          <w:color w:val="000000"/>
          <w:sz w:val="20"/>
        </w:rPr>
        <w:t xml:space="preserve">ively held 62.3% of the </w:t>
      </w:r>
      <w:r>
        <w:rPr>
          <w:rFonts w:ascii="Times New Roman;serif" w:hAnsi="Times New Roman;serif"/>
          <w:b w:val="false"/>
          <w:color w:val="000000"/>
          <w:sz w:val="20"/>
          <w:shd w:fill="FFFFFF" w:val="clear"/>
        </w:rPr>
        <w:t xml:space="preserve">voting power of our outstanding capital stock. Because of the twenty-to-one voting ratio between Class B and Class A common stock, holders of Class B common stock collectively will continue to control a majority of the combined voting power of Class A common stock and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45"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both"/>
        <w:rPr/>
      </w:pPr>
      <w:r>
        <w:rPr>
          <w:rFonts w:ascii="Times New Roman;serif" w:hAnsi="Times New Roman;serif"/>
          <w:b w:val="false"/>
          <w:color w:val="000000"/>
          <w:sz w:val="20"/>
          <w:shd w:fill="FFFFFF" w:val="clear"/>
        </w:rPr>
        <w:t>be able to control all matters submitted to our stockholders for approval so long as the shares of Class B common stock represent at least 4.8% of all outstanding shares of Class A and Class B commo</w:t>
      </w:r>
      <w:r>
        <w:rPr>
          <w:rFonts w:ascii="Times New Roman;serif" w:hAnsi="Times New Roman;serif"/>
          <w:b w:val="false"/>
          <w:color w:val="000000"/>
          <w:sz w:val="20"/>
        </w:rPr>
        <w:t>n stock. This concentrated control will limit or preclude your ability to influence corporate matters for the foreseeable future. This concentrated control could also discourage a potential investor from acquiring Class A common stock due to the limited voting power of such stock relative to the Class B common stock and might harm the market price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Because of the market capitalization achieved by Class A common stock during October 2020, the trigger included in our charter pursuant to which all of the shares of Class B common stock must convert into Class A common stock no longer applies. Instead, all of the Class B common stock generally will convert into Class A common stock only upon the election of the holders of a majority of the then-outstanding shares of Class B common stock, and specific shares of Class B common stock will convert into Class A common stock upon future transfers by the holders of those shares. The potential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Delaware law and provisions in our charter and bylaws could make a merger, tender offer or proxy contest difficult, thereby depressing the trading price of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Our charter and bylaws contain provisions that may make the acquisition of our company more difficult, including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dual class common stock structure provides holders of Class B common stock with the ability to control the outcome of matters requiring stockholder approval, even if they own significantly less than a majority of the total number of 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when the outstanding shares of Class B common stock represent less than a majority of the combined voting power of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amendments to our charter or bylaws will require the approval of two-thirds of the combined vote of our then-outstanding shares of Class A and Class B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vacancies on the board of directors will be able to be filled only by the board and not by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board, which currently is not staggered, will be automatically separated into three classes with staggered three-year terms;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directors will only be able to be removed from office for cause;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stockholders will only be able to take action at a meeting and not by written consent;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only our chair, our chief executive officer or a majority of our directors is authorized to call a special meeting of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charter authorizes undesignated preferred stock, the terms of which may be established, and shares of which may be issued, without stockholder approval;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cumulative voting in the election of directors is prohibited.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limits the ability of stockholders holding more than 15% of our outstanding voting stock from engaging in certain business combinations with us. Any provision of our charter or bylaws or Delaware law that has the effect of delaying or deterring a change in control could limit the opportunity for our stockholders to receive a premium for their shares of Class A common stock, and could also affect the price that some investors are willing to pay for Class A common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charter designates the Court of Chancery of the State of Delaware as the sole and exclusive forum for certain litigation that may be initiated by our stockholders, which could limit our stockholders’ ability to obtain a favorable judicial forum for disputes with us or our directors, officers or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charter provides that the Court of Chancery of the State of Delaware will, to the fullest extent permitted by law, be the sole and exclusive forum for: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action asserting a claim of breach of a fiduciary duty owed to us, our stockholders, creditors or other constituents by any of our directors, officers, other employees, agents or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46"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action asserting a claim arising under the Delaware General Corporation Law, our charter or bylaws, or as to which the Delaware General Corporation Law confers jurisdiction on the Court of Chancery of the State of Delaware;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any action asserting a claim that is governed by the internal affairs doctrine.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By becoming a stockholder in our company, you will be deemed to have notice of and have consented to the provisions of our charter related to choice of forum. The choice of forum provision in our charter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We incur increased costs and demands upon management as a result of complying with the laws and regulations affecting public companies which could adversely affect our business, operating results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and other expenses. We are subject to the reporting requirements of the Securities and Exchange Act, the Sarbanes-Oxley Act, the Dodd-Frank Wall Street Reform and Consumer Protection Act, and the rules and regulations of Nasdaq. These requirements have increased and will continue to increase our legal, accounting and financial compliance costs and have made and will continue to make some activities more time 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as our executive officers or on the board of directors, particularly to serve on the audit and compensation committees.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our management to perform system and process evaluation and testing to allow it to report on the effectiveness of our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Investor perceptions of our company may suffer if deficiencies are found, which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Short sellers of our stock may be manipulative and may drive down the market price of our Class A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Short selling is the practice of selling securities that a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securities short. The use of the Internet, social media, and blogging have allowed short sellers to publicly attack a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47"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credibility, strategy and veracity by means of so-called “research reports” that mimic the type of investment analysis performed by legitimate securities research analysts. Issuers with limited trading volumes or substantial retail stockholder bases can be particularly susceptible to higher volatility levels, and can be particularly vulnerable to such short attacks.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Short seller publications are not regulated by any governmental or self-regulatory organization or any other official authority in the United States and are not subject to the certification requirements imposed by the SEC in Regulation Analyst Certification.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Short-seller publications may create the appearance or perception of wrongdoing, even when they are not substantiated, and may therefore affect the reputation or perception of our company and management.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intend to strongly defend our public filings against any such short seller attacks, in many situations we could be constrained, for example, by principles of freedom of speech, applicable state law or issues of commercial confidentiality, in the manner in which we are able to proceed against the relevant short seller.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Such short-seller attacks have caused, and may cause in the future, temporary or possibly long term, declines in the market price of Class A common stock and possible litigation initiated against us.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production facilities could be damaged or disrupted by a natural disaster, war, terrorist attacks or other catastrophic events.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manufacturing facilities are subject to risks associated with natural disasters, such as earthquakes, fires, floods tsunami, typhoons and volcanic activity, environmental disasters, health epidemics, and other events beyond our control such as power loss, telecommunications failures, and uncertainties arising out of armed conflicts or terrorist attacks. The frequency and intensity of severe weather events are reportedly increasing throughout the world as part of broader climate changes. Global weather pattern changes may pose long-term risks of physical impacts to our business. A substantial majority of our facilities as well as our research and development personnel are located in mainland China. Any catastrophic loss or significant damage to any of our facilities would likely disrupt our operations, delay production, and adversely affect our product development schedules, shipments and revenue. In addition, any such catastrophic loss or significant damage could result in significant expense to repair or replace the facility and could significantly curtail our research and development efforts in a particular product area or primary market, which could have a material adverse effect on our operations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assessing cybersecurity risk is integrated into our overall risk management systems and processes.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Cybersecurity risks related to our business, technical operations, privacy and compliance issues are identified and addressed through a multi-faceted approach including third party assessments, internal IT Audit, IT security, governance, risk and compliance reviews. To defend, detect and respond to cybersecurity incidents, we, among other things: conduct proactive privacy and cybersecurity reviews of systems and applications, audit applicable data policies, perform penetration testing using external third-party tools and techniques to test security controls, conduct employee training, monitor emerging laws and regulations related to data protection and information security and implement appropriate changes.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risk management process, we conduct application security assessments, vulnerability management, penetration testing, security audits, and ongoing risk assessments. We also maintain a variety of incident response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48"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that are utilized when incidents are detected. We require employees with access to information systems, including all corporate employees, to undertake data protection and cybersecurity training and compliance programs.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We describe whether and how risks from cybersecurity threats are reasonably likely to materially affect us, including our financial performance and results of operations, under the heading “Breaches of our cybersecurity systems could degrade our ability to conduct our business operations and deliver products to our customers, result in data losses and the theft of our intellectual property, damage our reputation, and require us to incur significant additional costs to maintain the security of our networks and data” </w:t>
      </w:r>
      <w:r>
        <w:rPr>
          <w:rFonts w:ascii="Times New Roman;serif" w:hAnsi="Times New Roman;serif"/>
          <w:b w:val="false"/>
          <w:color w:val="000000"/>
          <w:sz w:val="20"/>
          <w:shd w:fill="FFFFFF" w:val="clear"/>
        </w:rPr>
        <w:t>in Item 1A, “Risk Factors” of Part I of this report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Cybersecurity is an important part of our risk management processes. Our Audit Committee is responsible for the oversight of risks from cybersecurity threats. Members of the Audit Committee receive reports of any breaches or developments regarding matters of cybersecurity. This includes existing and new cybersecurity risks, status on how management is addressing and/or mitigating those risks, cybersecurity and data privacy incidents (if any) and status on key information security initiatives. Our Audit Committee and Board members may also engage in ad hoc conversations with management on cybersecurity-related news events and discuss any updates to our cybersecurity risk management and strategy programs.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and strategy processes are overseen by leaders from our Information Security, Product Security, Compliance and Legal teams. Key individuals have an average of over 15 years of prior work experience in various roles involving information technology, including security, auditing, compliance, systems and programming.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directly or indirectly to the Audit Committee on any appropriate items.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in a leased facility located in Fremont, California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ACM Shanghai's mainland China headquarters includes four company-owned buildings located in Shanghai's ZhangJiang Science City, where ACM Shanghai conducts sales, marketing, R&amp;D and administrative activities. Additional research and development, service support and administrative activities are conducted at a multi-story leased facility also in Shanghai's ZhangJiang Science City.In addition, we perform sales support, customer service operations, R&amp;D, and/ or production activities from leased facilities in Beijing, Chengdu, Jiangyin and Wuxi in mainland China and in Jinwi, Gwangju, Baekam, and Seongnam in Korea.</w:t>
      </w:r>
    </w:p>
    <w:p>
      <w:pPr>
        <w:pStyle w:val="TextBody"/>
        <w:bidi w:val="0"/>
        <w:spacing w:lineRule="auto" w:line="288" w:before="240" w:after="283"/>
        <w:jc w:val="both"/>
        <w:rPr/>
      </w:pPr>
      <w:r>
        <w:rPr>
          <w:rFonts w:ascii="Times New Roman;serif" w:hAnsi="Times New Roman;serif"/>
          <w:b w:val="false"/>
          <w:color w:val="000000"/>
          <w:sz w:val="20"/>
        </w:rPr>
        <w:t xml:space="preserve">ACM Shanghai, through ACM Lingang, </w:t>
      </w:r>
      <w:r>
        <w:rPr>
          <w:rFonts w:ascii="Times New Roman;serif" w:hAnsi="Times New Roman;serif"/>
          <w:b w:val="false"/>
          <w:color w:val="000000"/>
          <w:sz w:val="20"/>
          <w:shd w:fill="FFFFFF" w:val="clear"/>
        </w:rPr>
        <w:t xml:space="preserve">conducts manufacturing, warehousing and R&amp;D operations at its R&amp;D </w:t>
      </w:r>
      <w:r>
        <w:rPr>
          <w:rFonts w:ascii="Times New Roman;serif" w:hAnsi="Times New Roman;serif"/>
          <w:b w:val="false"/>
          <w:color w:val="000000"/>
          <w:sz w:val="20"/>
        </w:rPr>
        <w:t>and Production Center in the Lingang region of Shanghai. Th</w:t>
      </w:r>
      <w:r>
        <w:rPr>
          <w:rFonts w:ascii="Times New Roman;serif" w:hAnsi="Times New Roman;serif"/>
          <w:b w:val="false"/>
          <w:color w:val="000000"/>
          <w:sz w:val="20"/>
          <w:shd w:fill="FFFFFF" w:val="clear"/>
        </w:rPr>
        <w:t xml:space="preserve">e five-building </w:t>
      </w:r>
      <w:r>
        <w:rPr>
          <w:rFonts w:ascii="Times New Roman;serif" w:hAnsi="Times New Roman;serif"/>
          <w:b w:val="false"/>
          <w:color w:val="000000"/>
          <w:sz w:val="20"/>
        </w:rPr>
        <w:t xml:space="preserve">complex comprises more than 1,485,000 square foot of floor space in aggregate, and incorporates state-of-the-art manufacturing systems and automation technologies.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ACM Shanghai leases several facilities totaling more than 200,000 square feet, which are located in the Chuansha area of Shanghai and are used for R&amp;D, production and warehousing.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Lingang facility project, on October 28, 2020, a wholly owned subsidiary of ACM Lingang entered into Shanghai Public Rental Housing Overall Pre-Sale Contracts with Shanghai Lingang Industrial Zone Public Rental Housing Construction and Operation Management Co., Ltd. for an aggregate price to us of approximately $40 million. ACM Lingang’s subsidiary received ownership of the apartment units and corresponding land use rights in January 2022 as part of a pilot project of public rental housing in the “rent before sale” park in the Lingang Industrial Zone. The contracts stipulate that, for a ten-year term, ACM Lingang’s subsidiary is obligated to manage the apartment units for public rental use in accordance with public rental housing standards and must rent the apartment units to employees of ACM Shanghai and its subsidiaries who work in the Lingang Industrial Zone. After that ten-year period expires, ACM Lingang’s subsidiary may use the apartment units as stock of commercial housing and may sell them separately in 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lease a 10,683 square foot facility in Hillsborough, Oregon, which is used for our U.S.-based sales and services team to support customer activities in the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49"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2024, we acquired a commercial facility, comprised of 39,500 square foot total floor space and which includes a 5,200 square foot functional clean room, for a price of $7.75 million. This facility is located in the City of Hillsboro in Oregon, and we have begun investments to expand our research and development, production, and demonstration capabilities in the United States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As of December 31, 2025, the Company had no outstanding material legal proceedings, other than ordinary routine litigation incidental to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Information Regarding the Trading of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Class A common stock has traded on NASDAQ Global Market under the symbol “ACMR” since November 3, 2017. The Class B common stock is not listed or traded on any stock exchange.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Holders of Common Stock</w:t>
      </w:r>
    </w:p>
    <w:p>
      <w:pPr>
        <w:pStyle w:val="TextBody"/>
        <w:bidi w:val="0"/>
        <w:spacing w:lineRule="auto" w:line="288" w:before="240" w:after="283"/>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s of February 25, 2026, there were 60,705,783 shares of Class A common stock outstanding held of record by 46 stockholders. The actual number of holders of Class A common stock is substantially greater and includes stockholders who are beneficial owners and whose shares are held of record by banks, brokers, and other financial institutions.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February 25, 2026, there were 5,021,811 shares of Class B common stock held of record by 16 stockholders.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Authorized for Issuance Under Equity Compensation Plans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required by this item will be set forth in the definitive proxy statement we will file in connection with our 2025 Annual Meeting of Stockholders and is incorporated by reference herein.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240" w:after="283"/>
        <w:jc w:val="both"/>
        <w:rPr/>
      </w:pPr>
      <w:r>
        <w:rPr>
          <w:rFonts w:ascii="Times New Roman;serif" w:hAnsi="Times New Roman;serif"/>
          <w:b w:val="false"/>
          <w:color w:val="000000"/>
          <w:sz w:val="20"/>
          <w:shd w:fill="FFFFFF" w:val="clear"/>
        </w:rPr>
        <w:t>In the years ended December 31, 2025, 2024, and 2023, ACM Research issued, pursuant to the exercise of stock options at a per share exercise price</w:t>
      </w:r>
      <w:r>
        <w:rPr>
          <w:color w:val="000000"/>
        </w:rPr>
        <w:t xml:space="preserve"> </w:t>
      </w:r>
      <w:r>
        <w:rPr>
          <w:rFonts w:ascii="Times New Roman;serif" w:hAnsi="Times New Roman;serif"/>
          <w:b w:val="false"/>
          <w:color w:val="000000"/>
          <w:sz w:val="20"/>
        </w:rPr>
        <w:t>of $0.50 per s</w:t>
      </w:r>
      <w:r>
        <w:rPr>
          <w:rFonts w:ascii="Times New Roman;serif" w:hAnsi="Times New Roman;serif"/>
          <w:b w:val="false"/>
          <w:color w:val="000000"/>
          <w:sz w:val="20"/>
          <w:shd w:fill="FFFFFF" w:val="clear"/>
        </w:rPr>
        <w:t>hare,</w:t>
      </w:r>
      <w:r>
        <w:rPr>
          <w:color w:val="000000"/>
        </w:rPr>
        <w:t xml:space="preserve"> </w:t>
      </w:r>
      <w:r>
        <w:rPr>
          <w:rFonts w:ascii="Times New Roman;serif" w:hAnsi="Times New Roman;serif"/>
          <w:b w:val="false"/>
          <w:color w:val="000000"/>
          <w:sz w:val="20"/>
        </w:rPr>
        <w:t>an aggregate o</w:t>
      </w:r>
      <w:r>
        <w:rPr>
          <w:rFonts w:ascii="Times New Roman;serif" w:hAnsi="Times New Roman;serif"/>
          <w:b w:val="false"/>
          <w:color w:val="000000"/>
          <w:sz w:val="20"/>
          <w:shd w:fill="FFFFFF" w:val="clear"/>
        </w:rPr>
        <w:t>f 381,926, 945</w:t>
      </w:r>
      <w:r>
        <w:rPr>
          <w:rFonts w:ascii="Times New Roman;serif" w:hAnsi="Times New Roman;serif"/>
          <w:b w:val="false"/>
          <w:color w:val="000000"/>
          <w:sz w:val="20"/>
        </w:rPr>
        <w:t>,010, and 646,057 shares of Clas</w:t>
      </w:r>
      <w:r>
        <w:rPr>
          <w:rFonts w:ascii="Times New Roman;serif" w:hAnsi="Times New Roman;serif"/>
          <w:b w:val="false"/>
          <w:color w:val="000000"/>
          <w:sz w:val="20"/>
          <w:shd w:fill="FFFFFF" w:val="clear"/>
        </w:rPr>
        <w:t xml:space="preserve">s A common stock that were not registered under the Securities Act of 1933. We believe the offer and sale of those shares were exempt from registration under the Securities Act of 1933 by virtue of Section 4(a)(2) thereof (or Regulation D promulgated thereunder) because they did not involve a public offering. The recipients of the shares acquired the securities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0"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 only and not with a view to or for sale in connection with any distribution thereof, and appropriate legends were recorded with respect to the shares. The recipients of the shares were accredited investors under Rule 501 of Regulation 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graph compares the total return of an investment of $100 in cash at the closing price as of December 31, 2020 and as of each year ended through December 31, 2025 for (1) our common stock, (2) the Russell 1000 index, and (3) the Nasdaq Composite Index. All values assume reinvestment of all dividends. Stockholder returns over the indicated period are based on historical data and are not necessarily indicative of future stockholder returns.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COMPARISON OF 5 YEAR CUMULATIVE TOTAL RETURN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Among ACM Research, Inc., the Nasdaq Index, and the Russell 1000 Index</w:t>
      </w:r>
    </w:p>
    <w:p>
      <w:pPr>
        <w:pStyle w:val="TextBody"/>
        <w:bidi w:val="0"/>
        <w:spacing w:before="0" w:after="0"/>
        <w:jc w:val="center"/>
        <w:rPr/>
      </w:pPr>
      <w:r>
        <w:rPr/>
      </w:r>
    </w:p>
    <w:p>
      <w:pPr>
        <w:pStyle w:val="TextBody"/>
        <w:bidi w:val="0"/>
        <w:spacing w:before="0" w:after="0"/>
        <w:jc w:val="left"/>
        <w:rPr/>
      </w:pPr>
      <w:r>
        <w:rPr/>
        <w:drawing>
          <wp:inline distT="0" distB="0" distL="0" distR="0">
            <wp:extent cx="6286500" cy="259080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6286500" cy="2590800"/>
                    </a:xfrm>
                    <a:prstGeom prst="rect">
                      <a:avLst/>
                    </a:prstGeom>
                  </pic:spPr>
                </pic:pic>
              </a:graphicData>
            </a:graphic>
          </wp:inline>
        </w:drawing>
      </w:r>
      <w:bookmarkStart w:id="3" w:name="i-4"/>
      <w:bookmarkEnd w:id="3"/>
    </w:p>
    <w:p>
      <w:pPr>
        <w:pStyle w:val="TextBody"/>
        <w:bidi w:val="0"/>
        <w:spacing w:before="0" w:after="0"/>
        <w:jc w:val="center"/>
        <w:rPr/>
      </w:pPr>
      <w:r>
        <w:rPr/>
        <w:drawing>
          <wp:inline distT="0" distB="0" distL="0" distR="0">
            <wp:extent cx="6286500" cy="67627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6"/>
                    <a:stretch>
                      <a:fillRect/>
                    </a:stretch>
                  </pic:blipFill>
                  <pic:spPr bwMode="auto">
                    <a:xfrm>
                      <a:off x="0" y="0"/>
                      <a:ext cx="6286500" cy="676275"/>
                    </a:xfrm>
                    <a:prstGeom prst="rect">
                      <a:avLst/>
                    </a:prstGeom>
                  </pic:spPr>
                </pic:pic>
              </a:graphicData>
            </a:graphic>
          </wp:inline>
        </w:drawing>
      </w:r>
      <w:bookmarkStart w:id="4" w:name="i-5"/>
      <w:bookmarkEnd w:id="4"/>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should be read in conjunction with the audited consolidated financial statements and related notes included in this report. In addition to historical information, the following discussion contains forward-looking statements that involves risks, uncertainties and assumptions. See “Forward-Looking Statements and Statistical Data” at page 3 of this report. Please read “Item 1A. Risk Factors” for a discussion of factors that could cause our actual results to differ materially from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was incorporated in California in 1998 and redomesticated in Delaware in 2016. We perform strategic planning, marketing, and financial activities at our global corporate headquarters in Fremont, California. ACM Research is neither a mainland China operating company nor do we conduct our operations in mainland China through the use of VIEs.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DRAM 3D NAND-flash memory chips, power semiconductor and compound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3"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semiconductor chips. We also develop, manufacture and sell a range of advanced packaging tools to wafer assembly and packaging customers.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are focused on building a strategic portfolio of intellectual property to support and protect our key innovations. </w:t>
      </w:r>
      <w:r>
        <w:rPr>
          <w:rFonts w:ascii="Times New Roman;serif" w:hAnsi="Times New Roman;serif"/>
          <w:b w:val="false"/>
          <w:color w:val="000000"/>
          <w:sz w:val="20"/>
        </w:rPr>
        <w:t>We conduct a substantial majority of our product development, manufacturing, support and services in mainland China, with additional product development and subsystem production in Korea. Substantially all of our tools are built to order at our Lingang manufacturing facilities in Shanghai. See “Item 2. Properties,” of Part I of this report.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experience has shown that chip manufacturers in mainland China and throughout Asia demand equipment meeting their specific technical requirements and prefer building relationships with local suppliers. We will continue to seek to leverage our local presence to address the growing market for semiconductor manufacturing equipment in the region by working closely with regional chip manufacturers to understand their specific requirements, encourage them to adopt our SAPS, TEBO, Tahoe, ECP, furnace, PECVD, Track, and other technologies, and enable us to design innovative products and solutions to address their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Independent Registered Public Accounting Firm</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w:t>
      </w:r>
      <w:r>
        <w:rPr>
          <w:rFonts w:ascii="Times New Roman;serif" w:hAnsi="Times New Roman;serif"/>
          <w:b w:val="false"/>
          <w:color w:val="000000"/>
          <w:sz w:val="20"/>
        </w:rPr>
        <w:t>Ernst &amp; Young Hua Ming LLP, or E&amp;Y our independent registered public accounting firm for the fiscal year ended December 31, 2025, is based in mainland China. S</w:t>
      </w:r>
      <w:r>
        <w:rPr>
          <w:rFonts w:ascii="Times New Roman;serif" w:hAnsi="Times New Roman;serif"/>
          <w:b w:val="false"/>
          <w:color w:val="000000"/>
          <w:sz w:val="20"/>
          <w:shd w:fill="FFFFFF" w:val="clear"/>
        </w:rPr>
        <w:t xml:space="preserve">hould the PCAOB determine that it is unable to inspect or investigate completely registered public accounting firms headquartered in mainland China and Hong Kong, including </w:t>
      </w:r>
      <w:r>
        <w:rPr>
          <w:rFonts w:ascii="Times New Roman;serif" w:hAnsi="Times New Roman;serif"/>
          <w:b w:val="false"/>
          <w:color w:val="000000"/>
          <w:sz w:val="20"/>
        </w:rPr>
        <w:t xml:space="preserve">E&amp;Y, ACM Research could be transferred to the SEC's </w:t>
      </w:r>
      <w:r>
        <w:rPr>
          <w:color w:val="000000"/>
          <w:shd w:fill="FFFFFF" w:val="clear"/>
        </w:rPr>
        <w:t>“</w:t>
      </w:r>
      <w:r>
        <w:rPr>
          <w:rFonts w:ascii="Times New Roman;serif" w:hAnsi="Times New Roman;serif"/>
          <w:b w:val="false"/>
          <w:color w:val="000000"/>
          <w:sz w:val="20"/>
          <w:shd w:fill="FFFFFF" w:val="clear"/>
        </w:rPr>
        <w:t>Conclusive list of issuers identified under the HFCA,” ("Conclusive List"). See “Item 1A. Risk Factors—Risks Related to International Aspects of Our Business—We could be adversely affected if we are unable to comply with recent and proposed legislation and regulations regarding improved access to audit and other information and audit inspections of accounting firms operating in mainland China” of this report for more information. Under current regulations, if ACM Research were to be included on the Conclusive List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ACM Shanghai STAR Listing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shares of ACM Shanghai, our principal operating subsidiary, began trading on the STAR Market under the stock code 688082 on November 18, 2021. </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ACM Shanghai Dividend</w:t>
      </w:r>
    </w:p>
    <w:p>
      <w:pPr>
        <w:pStyle w:val="TextBody"/>
        <w:bidi w:val="0"/>
        <w:spacing w:lineRule="auto" w:line="288" w:before="240" w:after="283"/>
        <w:jc w:val="both"/>
        <w:rPr/>
      </w:pPr>
      <w:r>
        <w:rPr>
          <w:rFonts w:ascii="Times New Roman;serif" w:hAnsi="Times New Roman;serif"/>
          <w:b w:val="false"/>
          <w:color w:val="000000"/>
          <w:sz w:val="20"/>
          <w:shd w:fill="FFFFFF" w:val="clear"/>
        </w:rPr>
        <w:t>In September 2025, ACM Shanghai, paid a cash dividend of approximately RMB 264.9 million (approximately USD $36.8 million) to the stockholders of ACM Shanghai, including ACM Research. The cash portion of the dividend paid by ACM Shanghai to non-controlling interests was $7.6 million (note</w:t>
      </w:r>
      <w:r>
        <w:rPr>
          <w:color w:val="000000"/>
        </w:rPr>
        <w:t xml:space="preserve"> </w:t>
      </w:r>
      <w:r>
        <w:rPr>
          <w:rFonts w:ascii="Times New Roman;serif" w:hAnsi="Times New Roman;serif"/>
          <w:b w:val="false"/>
          <w:color w:val="000000"/>
          <w:sz w:val="20"/>
        </w:rPr>
        <w:t>2)</w:t>
      </w:r>
      <w:r>
        <w:rPr>
          <w:rFonts w:ascii="Times New Roman;serif" w:hAnsi="Times New Roman;serif"/>
          <w:b w:val="false"/>
          <w:color w:val="000000"/>
          <w:sz w:val="20"/>
          <w:shd w:fill="FFFFFF" w:val="clear"/>
        </w:rPr>
        <w:t xml:space="preserve">. During the years ended December 31, 2024 and 2023, ACM Shanghai paid cash dividends of approximately RMB 273.2 million ($38.4 million) and RMB 161.28 million ($22.2 million), respectively. ACM Research intends to use the dividend proceeds for working capital and general corporate purposes. </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ACM Shanghai Private Offering</w:t>
      </w:r>
    </w:p>
    <w:p>
      <w:pPr>
        <w:pStyle w:val="TextBody"/>
        <w:bidi w:val="0"/>
        <w:spacing w:lineRule="auto" w:line="288" w:before="240" w:after="283"/>
        <w:jc w:val="both"/>
        <w:rPr/>
      </w:pPr>
      <w:r>
        <w:rPr>
          <w:rFonts w:ascii="Times New Roman;serif" w:hAnsi="Times New Roman;serif"/>
          <w:b w:val="false"/>
          <w:color w:val="000000"/>
          <w:sz w:val="20"/>
          <w:shd w:fill="FFFFFF" w:val="clear"/>
        </w:rPr>
        <w:t>In September 2025, ACM Shanghai completed a private offering, in which ACM Shanghai sold 38,601,326 ordinary shares at price per share of RMB 116.11, raising net proceeds of RMB 4.4 billion (approximately US $623.0 million) after deducting offering-related expenses (the "Private Offering"). The proceeds are intended to be used by ACM Shanghai for research and development, capital expenditures and working capital. As a result, our ownership interest in ACM Shanghai de</w:t>
      </w:r>
      <w:r>
        <w:rPr>
          <w:rFonts w:ascii="Times New Roman;serif" w:hAnsi="Times New Roman;serif"/>
          <w:b w:val="false"/>
          <w:color w:val="000000"/>
          <w:sz w:val="20"/>
        </w:rPr>
        <w:t>clined to 74.6%.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Addition of ACM Shanghai and ACM Korea to U.S. Entity List</w:t>
      </w:r>
    </w:p>
    <w:p>
      <w:pPr>
        <w:pStyle w:val="TextBody"/>
        <w:bidi w:val="0"/>
        <w:spacing w:lineRule="auto" w:line="288" w:before="240" w:after="283"/>
        <w:jc w:val="both"/>
        <w:rPr/>
      </w:pPr>
      <w:r>
        <w:rPr>
          <w:rFonts w:ascii="Times New Roman;serif" w:hAnsi="Times New Roman;serif"/>
          <w:b w:val="false"/>
          <w:color w:val="000000"/>
          <w:sz w:val="20"/>
        </w:rPr>
        <w:t>Effective on December 2, 2024, BIS promulgated a final rule naming a number of companies to the BIS Entity List Among the 140 companies added to the BIS Entity List were two subsidiaries of ACM Research,</w:t>
      </w:r>
      <w:r>
        <w:rPr>
          <w:color w:val="000000"/>
        </w:rPr>
        <w:t xml:space="preserve"> </w:t>
      </w:r>
      <w:r>
        <w:rPr>
          <w:rFonts w:ascii="Times New Roman;serif" w:hAnsi="Times New Roman;serif"/>
          <w:b w:val="false"/>
          <w:color w:val="000000"/>
          <w:sz w:val="20"/>
        </w:rPr>
        <w:t xml:space="preserve">ACM Shanghai, located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54"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Restrictions Imposed by the U.S. Department of Commerce on Mainland China-Based Semiconductor Producers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ACM Shanghai utilizes certain items subject to export controls under the U.S. Export Administration Regulations (EAR) in manufacturing and supplying its products. The EAR applies to exports of commodities, software and technology from the United States, including for use in manufacturing products outside the United States, as well as to certain products manufactured outside the United States that incorporate, or are based on, designated U.S. content, software or technology. The Bureau of Industry and Security of the U.S. Department of Commerce (BIS), which administers the EAR, has imposed, and may continue to impose, additional restrictions under the EAR on certain exports to China, to include Hong Kong and Macau, including restrictions targeting the semiconductor manufacturing industry in China. These types of restrictions may impact the operations of ACM Shanghai.</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October 2022 and continuing through 2025, BIS announced a series of new rules that significantly expanded U.S. export controls as applied to advanced IC products, related manufacturing equipment and technology, and supercomputers, where the destination or ultimate end user is based in mainland China, Hong Kong and Macau. In the case of semiconductor manufacturing equipment, the new rules require an export license for the export, re-export, or transfer to or within mainland China, Hong Kong and Macau of additional types of semiconductor manufacturing equipment, items for use in manufacturing designated types of semiconductor manufacturing equipment (along with other items subject to the EAR, for use in the development or production of ICs), and semiconductor manufacturing equipment for use at certain IC manufacturing and development facilities in mainland China. In most cases, license applications for these exports are reviewed under a presumption of denial. In addition, BIS imposed new restrictions by which U.S. persons anywhere in the world are effectively barred from engaging in certain activities related to the development and production of semiconductors at mainland China fabrication facilities meeting specified criteria, even if no items subject to the EAR are involved.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These new restrictions have impacted the procurement by ACM Shanghai and ACM Korea of items, technology and software from the United States, and of certain commodities subject to U.S. export controls from outside the United States, for use in manufacturing its products. The new restrictions may also limit the ability of ACM Shanghai and ACM Korea personnel to provide services to U.S. customers, as these activities could involve the disclosure of U.S. technology to ACM Shanghai or ACM Korea personnel, which could require authorization from BIS. See “Item 1A. Risk Factors—Regulatory Risks—Our operations in mainland China and Korea, including the import of components, technology, and activities of U.S. personnel therein, may be further impacted by the addition of ACM Shanghai, ACM Korea and related entities to the BIS Entity List” of this report for more information.</w:t>
      </w:r>
      <w:r>
        <w:rPr>
          <w:color w:val="000000"/>
        </w:rPr>
        <w:t xml:space="preserv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ACM and ACM Shanghai have implemented modifications to their existing business policies and practices in response to these enhanced export restrictions, including by imposing limitations on the activities of their U.S. persons and undertaking measures in connection with their supply chains more broadly to comply with the new regulations. ACM Shanghai is continuing to assess the impact of these export control restrictions, and will continually adjust or modify its policies and practices as required to comply with these or other related updates. Based on our ongoing review, we believe these regulations may directly impact ACM Shanghai’s ability to meet its future production plans, or indirectly impact the spending plans of ACM Shanghai’s customer base. ACM Shanghai may not import, or faces substantial restrictions in importing, parts from the United States or parts subject to U.S. export controls from outside the United States to support tool shipments to such facilities.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Outside of the U.S., during the three and twelve months ended December 30, 2023, two prominent exporters of advanced semiconductor manufacturing equipment, the Netherlands and Japan, announced and began to implement plans to join the United States in imposing semiconductor-focused export controls.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May 23, 2023, the Japanese government issued the final amendment to an ordinance implementing new export controls to require licensing for export of certain advanced semiconductor manufacturing equipment, effective as of July 23, 2023.</w:t>
      </w:r>
      <w:r>
        <w:rPr>
          <w:color w:val="000000"/>
        </w:rPr>
        <w:t xml:space="preserve"> </w:t>
      </w:r>
      <w:r>
        <w:rPr>
          <w:rFonts w:ascii="Times New Roman;serif" w:hAnsi="Times New Roman;serif"/>
          <w:b w:val="false"/>
          <w:color w:val="000000"/>
          <w:sz w:val="20"/>
        </w:rPr>
        <w:t>The amendment expands the scope of export controls to prohibit (1) exporting 23 additional categories of items relating to semiconductor manufacturing and (2) providing technology relating to manufacturing, development or use of these categories of items, in both cases, without an advance license.</w:t>
      </w:r>
      <w:r>
        <w:rPr>
          <w:color w:val="000000"/>
        </w:rPr>
        <w:t xml:space="preserve"> </w:t>
      </w:r>
      <w:r>
        <w:rPr>
          <w:rFonts w:ascii="Times New Roman;serif" w:hAnsi="Times New Roman;serif"/>
          <w:b w:val="false"/>
          <w:color w:val="000000"/>
          <w:sz w:val="20"/>
        </w:rPr>
        <w:t>While the expanded export controls apply to exports to any jurisdiction, exports to certain jurisdictions, such as the United States, are expected to be permitted by certain types of broad general licenses. However, it remains to be seen whether the Japanese government will authorize any exports of these items to mainland China by a limited general license or specific license,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5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Likewise, on September 30, 2023, the Government of the Netherlands published additional export control measures for advanced semiconductor manufacturing equipment. The Regulation on Advanced Semiconductor Manufacturing Equipment entered force on September 1, 2023. From that point on, the export of certain advanced semiconductor manufacturing equipment, as specified in the Annex to the Regulation, is now subject to a national export license authorization requirement by the Dutch Central Import and Export Service.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Efforts to further tighten semiconductor-related export controls have continued in 2025. In December 2025, the Government of the Netherlands implemented supplemental export controls on certain emerging technology items including sensitive goods, software, and technology related to the semiconductor sector.</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See “Part II. Item 1A – Risk Factors – Regulatory Risks – Our ability to sell our tools to customers in mainland China has been impacted, and will likely continue to be materially and adversely impacted, by export license requirements, other regulatory changes, or other actions taken by the U.S. or other governmental agencies”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Components of Results of Operations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develop, manufacture and sell innovative capital equipment to the global semiconductor industry. Since we sell tools to a small number of customers and we configure those tools to fulfill the customers’ specific requirements, our revenue generation fluctuates, depending on the length of the sales, development and evaluation phases: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i/>
          <w:color w:val="000000"/>
          <w:sz w:val="20"/>
          <w:shd w:fill="FFFFFF" w:val="clear"/>
        </w:rPr>
        <w:t>Sales and Development.</w:t>
      </w:r>
      <w:r>
        <w:rPr>
          <w:color w:val="000000"/>
          <w:shd w:fill="FFFFFF" w:val="clear"/>
        </w:rPr>
        <w:t xml:space="preserve"> </w:t>
      </w:r>
      <w:r>
        <w:rPr>
          <w:rFonts w:ascii="Times New Roman;serif" w:hAnsi="Times New Roman;serif"/>
          <w:b w:val="false"/>
          <w:color w:val="000000"/>
          <w:sz w:val="20"/>
          <w:shd w:fill="FFFFFF" w:val="clear"/>
        </w:rPr>
        <w:t>During the sale process we may, depending on a prospective customer’s specifications and requirements, need to perform additional research, development and testing to establish that a tool can meet the prospective customer’s requirements. Sales cycles for orders that require limited configuration and do not require that we develop new technology usually take from 6 to 12 months, while the product life cycle, including the initial design, demonstration and final assembly phases, for orders requiring development and testing of new technologies can take as long as 2 to 4 years. As we expand our customer base, we expect to gain more repeat purchase orders for tools that we have already developed and tested, which we believe will reduce the need for a demonstration phase and shorten the development cycle.</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Evaluation Periods. </w:t>
      </w:r>
      <w:r>
        <w:rPr>
          <w:rFonts w:ascii="Times New Roman;serif" w:hAnsi="Times New Roman;serif"/>
          <w:b w:val="false"/>
          <w:color w:val="000000"/>
          <w:sz w:val="20"/>
          <w:shd w:fill="FFFFFF" w:val="clear"/>
        </w:rPr>
        <w:t>When a chip manufacturer proposes to purchase a particular type of tool from us for the first time, we offer the manufacturer an opportunity to evaluate the tool for a period that can extend for 24 months or longer. In some cases, we do not receive any payment on first-time purchases until the tool is accepted. As a result, we may spend more than $2.0 million to produce a tool without receiving payment for more than 24 months or, if the tool is not accepted, without receiving any payment. Please see “Item 1A. Risk Factors—Risks Related to Our Business and Our Industry—We may incur significant expenses long before we can recognize revenue from new products, if at all, due to the costs and length of research, development, manufacturing and customer evaluation process cycles.”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Purchase Orders. </w:t>
      </w:r>
      <w:r>
        <w:rPr>
          <w:rFonts w:ascii="Times New Roman;serif" w:hAnsi="Times New Roman;serif"/>
          <w:b w:val="false"/>
          <w:color w:val="000000"/>
          <w:sz w:val="20"/>
          <w:shd w:fill="FFFFFF" w:val="clear"/>
        </w:rPr>
        <w:t>In accordance with industry practice, sales of our tools are made pursuant to purchase orders. Each purchase order from a customer for one of our tools contains specific technical requirements intended to ensure, among other things, that the tool will be compatible with the customer’s manufacturing process line. Until a purchase order is received, we do not have a binding purchase commitment. Some of our customers to date have provided us with non-binding one- to two-year forecasts of their anticipated demands, and we expect future customers to furnish similar non-binding forecasts for planning purposes. Any of those forecasts would be subject to change, however, by the customer at any time, without notice to us.</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i/>
          <w:color w:val="000000"/>
          <w:sz w:val="20"/>
          <w:shd w:fill="FFFFFF" w:val="clear"/>
        </w:rPr>
        <w:t xml:space="preserve">Fulfillment. </w:t>
      </w:r>
      <w:r>
        <w:rPr>
          <w:rFonts w:ascii="Times New Roman;serif" w:hAnsi="Times New Roman;serif"/>
          <w:b w:val="false"/>
          <w:color w:val="000000"/>
          <w:sz w:val="20"/>
          <w:shd w:fill="FFFFFF" w:val="clear"/>
        </w:rPr>
        <w:t>We seek to obtain a purchase order for a tool at least three to four months in advance of the expected delivery date. Depending upon the nature of a customer’s specifications, the lead time for production of a tool generally will extend from two to four months. The lead-time can be more than six months, however, and in some cases, we may need to begin producing a tool based on a customer’s non-binding forecast, rather than waiting to receive a binding purchase order.</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sales prices generally to range from $0.5 million to more than $5 million for our production tools. The sales price of a particular tool will vary depending upon the required specifications. We have designed equipment models using a modular platform that we configure to meet customers’ technical specifications. For example, our Ultra C models for SAPS, TEBO, Tahoe and other solutions use common modular configurations that enable us to create a wet-cleaning tool meeting a customer’s specific requirements, while using pre-existing designs for chamber, electrical, chemical delivery and other modules.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56"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of the relatively high purchase prices of our tools, customers generally pay in installments. For a customer’s repeat purchase of a particular type of tool, the specific payment terms are negotiated in connection with acceptance milestones of a purchase order. Based on our experience with repeat sales of our tools, we expect that we will receive an initial payment upon delivery of a tool in connection with a repeat purchase, with the balance being paid after the tool has been tested and accepted by the customer. Our sales arrangements for repeat purchases do not include a general right of return.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Substantially all of our sales since our inception were to customers located in Asia, and we anticipate that a substantial majority of our revenue will continue to come from customers located in this region for the near future. We have increased our sales efforts to penetrate the markets in North America and Western Europe.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recognize and disclose revenue in accordance with Accounting Standards Codification 606, </w:t>
      </w:r>
      <w:r>
        <w:rPr>
          <w:rFonts w:ascii="Times New Roman;serif" w:hAnsi="Times New Roman;serif"/>
          <w:b w:val="false"/>
          <w:i/>
          <w:color w:val="000000"/>
          <w:sz w:val="20"/>
          <w:shd w:fill="FFFFFF" w:val="clear"/>
        </w:rPr>
        <w:t>Revenue from Contracts with Customers (Topic 606)</w:t>
      </w:r>
      <w:r>
        <w:rPr>
          <w:rFonts w:ascii="Times New Roman;serif" w:hAnsi="Times New Roman;serif"/>
          <w:b w:val="false"/>
          <w:color w:val="000000"/>
          <w:sz w:val="20"/>
          <w:shd w:fill="FFFFFF" w:val="clear"/>
        </w:rPr>
        <w:t>, of the Financial Accounting Standards Board, or FASB. Refer to “—Critical Accounting Estimates—Revenue Recognition" for more detail.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loss or delay of multiple large sale transactions in a quarter could impact our results of operations for that quarter and any future quarters for which revenue from that transaction is lost or delayed, as described under “Item 1A. Risk Factors—Risks Related to Our Business and Our Industry—Our quarterly operating results can be difficult to predict and can fluctuate substantially, which could result in volatility in the price of our Class A common stock.” It is difficult to predict accurately when, or even if, we can complete a sale of a tool to a potential customer or to increase sales to any existing customer. Our tool demand forecasts are based on multiple assumptions, including non-binding forecasts received from customers years in advance, each of which may introduce error into our estimates. Future operating results are also difficult to project due to the long lead time for initial tools that we produce for a customer that potentially may not be accepted. Refer to “Item 1A. Risk Factors—Risks Related to Our Business and Our Industry—Difficulties in forecasting demand for our tools may lead to periodic inventory shortages or excess spending on inventory items that may not be used.”</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Revenue</w:t>
      </w:r>
    </w:p>
    <w:p>
      <w:pPr>
        <w:pStyle w:val="TextBody"/>
        <w:bidi w:val="0"/>
        <w:spacing w:lineRule="auto" w:line="288" w:before="240" w:after="283"/>
        <w:jc w:val="both"/>
        <w:rPr/>
      </w:pPr>
      <w:r>
        <w:rPr>
          <w:rFonts w:ascii="Times New Roman;serif" w:hAnsi="Times New Roman;serif"/>
          <w:b w:val="false"/>
          <w:color w:val="000000"/>
          <w:sz w:val="20"/>
          <w:shd w:fill="FFFFFF" w:val="clear"/>
        </w:rPr>
        <w:t>Cost of revenue fo</w:t>
      </w:r>
      <w:r>
        <w:rPr>
          <w:rFonts w:ascii="Times New Roman;serif" w:hAnsi="Times New Roman;serif"/>
          <w:b w:val="false"/>
          <w:color w:val="000000"/>
          <w:sz w:val="20"/>
        </w:rPr>
        <w:t>r capital equipment consis</w:t>
      </w:r>
      <w:r>
        <w:rPr>
          <w:rFonts w:ascii="Times New Roman;serif" w:hAnsi="Times New Roman;serif"/>
          <w:b w:val="false"/>
          <w:color w:val="000000"/>
          <w:sz w:val="20"/>
          <w:shd w:fill="FFFFFF" w:val="clear"/>
        </w:rPr>
        <w:t>ts primarily of:</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direct costs, which consist principally of costs of tool components and subassemblies purchased from third-party vendors;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compensation of personnel associated with our manufacturing operations, including stock-based compensation;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depreciation of manufacturing equipment;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 xml:space="preserve">other expenses attributable to our manufacturing department; </w:t>
      </w:r>
    </w:p>
    <w:p>
      <w:pPr>
        <w:pStyle w:val="TextBody"/>
        <w:bidi w:val="0"/>
        <w:spacing w:lineRule="auto" w:line="288" w:before="0" w:after="0"/>
        <w:ind w:left="0" w:right="0" w:hanging="540"/>
        <w:jc w:val="both"/>
        <w:rPr/>
      </w:pPr>
      <w:r>
        <w:rPr>
          <w:color w:val="000000"/>
          <w:shd w:fill="FFFFFF" w:val="clear"/>
        </w:rPr>
        <w:t>•</w:t>
      </w:r>
      <w:r>
        <w:rPr>
          <w:rFonts w:ascii="Times New Roman;serif" w:hAnsi="Times New Roman;serif"/>
          <w:b w:val="false"/>
          <w:color w:val="000000"/>
          <w:sz w:val="20"/>
          <w:shd w:fill="FFFFFF" w:val="clear"/>
        </w:rPr>
        <w:t>inventory provision;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allocated overhead for rent and utilities.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not generally party to long-term purchasing agreements with suppliers. Please see “Item 1A. Risk Factors—Risks Related to Our Business and Our Industry—Our customers do not generally enter into long-term purchase commitments, and they may decrease, cancel or delay their projected purchases at any time.”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our customer base and tool installations continue to grow, we may need to hire additional manufacturing personnel. The rates at which we add customers and install tools will affect the level and time of this spending. In addition, because we often import components and spare parts from various foreign countries, we have experienced, and expect to continue to experience, the effect of currency fluctuations on our cost of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Gross Margin</w:t>
      </w:r>
    </w:p>
    <w:p>
      <w:pPr>
        <w:pStyle w:val="TextBody"/>
        <w:bidi w:val="0"/>
        <w:spacing w:lineRule="auto" w:line="288" w:before="240" w:after="283"/>
        <w:jc w:val="both"/>
        <w:rPr/>
      </w:pPr>
      <w:r>
        <w:rPr>
          <w:rFonts w:ascii="Times New Roman;serif" w:hAnsi="Times New Roman;serif"/>
          <w:b w:val="false"/>
          <w:color w:val="000000"/>
          <w:sz w:val="20"/>
        </w:rPr>
        <w:t>We generally expect gross margin to range betw</w:t>
      </w:r>
      <w:r>
        <w:rPr>
          <w:rFonts w:ascii="Times New Roman;serif" w:hAnsi="Times New Roman;serif"/>
          <w:b w:val="false"/>
          <w:color w:val="000000"/>
          <w:sz w:val="20"/>
          <w:shd w:fill="FFFFFF" w:val="clear"/>
        </w:rPr>
        <w:t>een 42% and 48% for the foreseeable future, with direct manufacturing costs approximating 50% to 55% of revenue and overhead costs totaling ap</w:t>
      </w:r>
      <w:r>
        <w:rPr>
          <w:rFonts w:ascii="Times New Roman;serif" w:hAnsi="Times New Roman;serif"/>
          <w:b w:val="false"/>
          <w:color w:val="000000"/>
          <w:sz w:val="20"/>
        </w:rPr>
        <w:t>proximately 5% of revenue.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seek to maintain our gross margin by continuing to develop proprietary technologies that avoid pricing pressure for our wet cleaning equipment. We actively manage our operations through principles of operational excellence designed to ensure continuing improvement in the efficiency and quality of our manufacturing operations by, for example, implementing factory constraint management and change control and inventory management systems. In addition, our purchasing department actively seeks to identify and negotiate supply contracts with improved pricing to reduce 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5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significant portion of our raw materials are denominated in the RMB, while the majority of our purchase orders from customers are denominated in U.S. dollars. As a result, fluctuations in currency exchange rates may have a significant effect on our gross margin.</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experienced, and expect to continue to experience, growth in the absolute dollar amount of our operating expenses, as we invest to support the anticipated growth of our customer base and the continued development of proprietary technologies.</w:t>
      </w:r>
    </w:p>
    <w:p>
      <w:pPr>
        <w:pStyle w:val="TextBody"/>
        <w:bidi w:val="0"/>
        <w:spacing w:lineRule="auto" w:line="288" w:before="240" w:after="283"/>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Sales and Marketing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compensation of personnel associated with pre-sale and after-sale services and support and other sales and marketing activities, including stock-based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sales commissions paid to independent sales representatives;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fees paid to sales consultants;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cost of trade shows;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costs of tools built for promotional purposes for potential new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travel and entertainment;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rent and utilities.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and marketing expense can be significant and may fluctuate, in part because of the resource-intensive nature of our sales efforts and the length and variability of our sales cycle. The length of our sales cycle, from initial contact with a customer to the fulfilling purchase order, is generally 6 to 24 months.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sales cycle, we expend significant time and money on sales and marketing activities, including educating customers about our tools, participating in extended tool evaluations and configuring our tools to customer-specific needs. Sales and marketing expense in a given period can be particularly affected by the increase in travel and entertainment expenses associated with the finalization of purchase orders or the installation of tools.</w:t>
      </w:r>
    </w:p>
    <w:p>
      <w:pPr>
        <w:pStyle w:val="TextBody"/>
        <w:bidi w:val="0"/>
        <w:spacing w:lineRule="auto" w:line="288" w:before="240" w:after="283"/>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Research and Development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relates to the development of new products and processes and encompasses our research, development and customer support activities. Research and development expense consists primarily of:</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compensation of personnel associated with our research and development activities, including stock-based compensation;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costs of components and other research and development supplies;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costs of tools built for product development purposes;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allocated overhead for rent and utilities.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our research and development has been funded by grants from the mainland China government, as described in “—mainland China Government Research and Development Funding” below.</w:t>
      </w:r>
    </w:p>
    <w:p>
      <w:pPr>
        <w:pStyle w:val="TextBody"/>
        <w:bidi w:val="0"/>
        <w:spacing w:lineRule="auto" w:line="288" w:before="240" w:after="283"/>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General and Administrative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consists primarily of:</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professional fees, including accounting and legal fees;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 xml:space="preserve">other corporate expenses; </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credit losses;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allocated overhead for rent and utilities.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5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ind w:left="0" w:right="0" w:firstLine="72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Stock-Based Compensation Expense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grant stock options to employees and non-employee consultants and directors, and we account for those stock-based awards in accordance with ASC Topic 718, </w:t>
      </w:r>
      <w:r>
        <w:rPr>
          <w:rFonts w:ascii="Times New Roman;serif" w:hAnsi="Times New Roman;serif"/>
          <w:b w:val="false"/>
          <w:i/>
          <w:color w:val="000000"/>
          <w:sz w:val="20"/>
          <w:shd w:fill="FFFFFF" w:val="clear"/>
        </w:rPr>
        <w:t>Compensation—Stock Compensation</w:t>
      </w:r>
      <w:r>
        <w:rPr>
          <w:rFonts w:ascii="Times New Roman;serif" w:hAnsi="Times New Roman;serif"/>
          <w:b w:val="false"/>
          <w:color w:val="000000"/>
          <w:sz w:val="20"/>
          <w:shd w:fill="FFFFFF" w:val="clear"/>
        </w:rPr>
        <w: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Stock-based awards granted to employees and non-employees are measured at the fair value of the awards on the grant date and are recognized as expenses either (a) immediately on grant, if no vesting conditions are required, or (b) using the graded vesting method, net of estimated forfeitures, over the requisite service period. The fair value of stock options is determined using the Black-Scholes valuation model when there are service and performance condition attached, or the Monte Carlo valuation model when there is a market condition attached. Stock-based compensation expense, when recognized, is charged to cost of revenue or to the category of operating expense corresponding to the service function of the employee or non-employee.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We also grant discounts to employee</w:t>
      </w:r>
      <w:r>
        <w:rPr>
          <w:rFonts w:ascii="Times New Roman;serif" w:hAnsi="Times New Roman;serif"/>
          <w:b w:val="false"/>
          <w:color w:val="000000"/>
          <w:sz w:val="20"/>
        </w:rPr>
        <w:t>s when they subscribe for new shares o</w:t>
      </w:r>
      <w:r>
        <w:rPr>
          <w:rFonts w:ascii="Times New Roman;serif" w:hAnsi="Times New Roman;serif"/>
          <w:b w:val="false"/>
          <w:color w:val="000000"/>
          <w:sz w:val="20"/>
          <w:shd w:fill="FFFFFF" w:val="clear"/>
        </w:rPr>
        <w:t>f ACM Shanghai.</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Mainland China Government Research and Development Funding</w:t>
      </w:r>
    </w:p>
    <w:p>
      <w:pPr>
        <w:pStyle w:val="TextBody"/>
        <w:bidi w:val="0"/>
        <w:spacing w:lineRule="auto" w:line="288" w:before="240" w:after="283"/>
        <w:jc w:val="both"/>
        <w:rPr/>
      </w:pPr>
      <w:r>
        <w:rPr>
          <w:rFonts w:ascii="Times New Roman;serif" w:hAnsi="Times New Roman;serif"/>
          <w:b w:val="false"/>
          <w:color w:val="000000"/>
          <w:sz w:val="20"/>
        </w:rPr>
        <w:t xml:space="preserve">ACM Shanghai and ACM Lingang periodically receive government grants for items associated with technology development and related facilities. </w:t>
      </w:r>
      <w:r>
        <w:rPr>
          <w:rFonts w:ascii="Times New Roman;serif" w:hAnsi="Times New Roman;serif"/>
          <w:b w:val="false"/>
          <w:color w:val="000000"/>
          <w:sz w:val="20"/>
          <w:shd w:fill="FFFFFF" w:val="clear"/>
        </w:rPr>
        <w:t>The grants contain certain operating conditions, subject to government review upon completion of each specific project. The grants are recorded as long-term liabilities upon receipt, and subsequently recognized in statements of comprehensive income as follows: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Government grants are credited to research &amp; development expense in the periods in which the specific projects are completed. For the years ended December 31, 2025, 2024, and 2023, such credits to research &amp; development expenses</w:t>
      </w:r>
      <w:r>
        <w:rPr>
          <w:color w:val="000000"/>
        </w:rPr>
        <w:t xml:space="preserve"> </w:t>
      </w:r>
      <w:r>
        <w:rPr>
          <w:rFonts w:ascii="Times New Roman;serif" w:hAnsi="Times New Roman;serif"/>
          <w:b w:val="false"/>
          <w:color w:val="000000"/>
          <w:sz w:val="20"/>
        </w:rPr>
        <w:t>recognized in the consolidated statements of comprehensive income w</w:t>
      </w:r>
      <w:r>
        <w:rPr>
          <w:rFonts w:ascii="Times New Roman;serif" w:hAnsi="Times New Roman;serif"/>
          <w:b w:val="false"/>
          <w:color w:val="000000"/>
          <w:sz w:val="20"/>
          <w:shd w:fill="FFFFFF" w:val="clear"/>
        </w:rPr>
        <w:t>ere $8.0 million</w:t>
      </w:r>
      <w:r>
        <w:rPr>
          <w:rFonts w:ascii="Times New Roman;serif" w:hAnsi="Times New Roman;serif"/>
          <w:b w:val="false"/>
          <w:color w:val="000000"/>
          <w:sz w:val="20"/>
        </w:rPr>
        <w:t>, $0.5 million and $1.7 million, respectively.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Government subsidies related to depreciable assets are credited to other income over the useful lives of the related assets for which the grant was received. Government subsidies related to VAT reduction are credited to other income in the period received. F</w:t>
      </w:r>
      <w:r>
        <w:rPr>
          <w:rFonts w:ascii="Times New Roman;serif" w:hAnsi="Times New Roman;serif"/>
          <w:b w:val="false"/>
          <w:color w:val="000000"/>
          <w:sz w:val="20"/>
          <w:shd w:fill="FFFFFF" w:val="clear"/>
        </w:rPr>
        <w:t xml:space="preserve">or the years ended December 31, 2025, 2024, and 2023, related government subsidies recognized as other income in the consolidated statements of comprehensive income </w:t>
      </w:r>
      <w:r>
        <w:rPr>
          <w:rFonts w:ascii="Times New Roman;serif" w:hAnsi="Times New Roman;serif"/>
          <w:b w:val="false"/>
          <w:color w:val="000000"/>
          <w:sz w:val="20"/>
        </w:rPr>
        <w:t>were $1.4 million,</w:t>
      </w:r>
      <w:r>
        <w:rPr>
          <w:color w:val="000000"/>
          <w:shd w:fill="FFFFFF" w:val="clear"/>
        </w:rPr>
        <w:t xml:space="preserve"> </w:t>
      </w:r>
      <w:r>
        <w:rPr>
          <w:rFonts w:ascii="Times New Roman;serif" w:hAnsi="Times New Roman;serif"/>
          <w:b w:val="false"/>
          <w:color w:val="000000"/>
          <w:sz w:val="20"/>
          <w:shd w:fill="FFFFFF" w:val="clear"/>
        </w:rPr>
        <w:t xml:space="preserve">$2.0 million, and </w:t>
      </w:r>
      <w:r>
        <w:rPr>
          <w:rFonts w:ascii="Times New Roman;serif" w:hAnsi="Times New Roman;serif"/>
          <w:b w:val="false"/>
          <w:color w:val="000000"/>
          <w:sz w:val="20"/>
        </w:rPr>
        <w:t>$0.4</w:t>
      </w:r>
      <w:r>
        <w:rPr>
          <w:color w:val="000000"/>
          <w:shd w:fill="FFFFFF" w:val="clear"/>
        </w:rPr>
        <w:t xml:space="preserve"> </w:t>
      </w:r>
      <w:r>
        <w:rPr>
          <w:rFonts w:ascii="Times New Roman;serif" w:hAnsi="Times New Roman;serif"/>
          <w:b w:val="false"/>
          <w:color w:val="000000"/>
          <w:sz w:val="20"/>
          <w:shd w:fill="FFFFFF" w:val="clear"/>
        </w:rPr>
        <w:t>million, respectively.</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Unearned government subsidies received are deferred for recognition and recorded as other long-term liabilities on our consolidated balance sheet until the criteria for such recognition have been satisfied. </w:t>
      </w:r>
      <w:r>
        <w:rPr>
          <w:rFonts w:ascii="Times New Roman;serif" w:hAnsi="Times New Roman;serif"/>
          <w:b w:val="false"/>
          <w:color w:val="000000"/>
          <w:sz w:val="20"/>
        </w:rPr>
        <w:t>All of the company’s other long-term liabilities represent unearned government subsidies.</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Income Attributable to Non-Controlling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is attributable to the minority holders of shares of ACM Shanghai stock. As a result, we reflect the portion of our net income allocable to the minority holders of ACM Shanghai shares as net income attributable to non-controlling interests. As of December 31, 2025, ACM Research held 74.6% of ACM Shanghai’s outstanding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Estimates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preparing our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assumptions, judgments and estimates involved in the accounting for the following accounting policies have the greatest potential impact on our consolidated financial statements, and we therefore consider these to be our critical accounting estimates. For information on our significant accounting policies, see note 2 in the notes to consolidated financial statements.</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Inventory</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assess the recoverability of inventories to determine if any adjustments are required. Our products each require a certain level of configuration, and the majority of work-in-process and finished goods inventory is built to fulfill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5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orders for repeat shipments or first tool deliveries. Inventory provisions are primarily made for slow-moving inventories. Such estimates may differ from actual results, and these differences could have a material impact on the recorded inventory values.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Accounts receivables are reflected in our consolidated balance sheets at their estimated collectible amounts. A substantial majority of our accounts receivable are derived from sales to large multinational semiconductor manufacturers in Asia.</w:t>
      </w:r>
      <w:r>
        <w:rPr>
          <w:color w:val="000000"/>
        </w:rPr>
        <w:t xml:space="preserve"> </w:t>
      </w:r>
      <w:r>
        <w:rPr>
          <w:rFonts w:ascii="Times New Roman;serif" w:hAnsi="Times New Roman;serif"/>
          <w:b w:val="false"/>
          <w:color w:val="000000"/>
          <w:sz w:val="20"/>
          <w:shd w:fill="FFFFFF" w:val="clear"/>
        </w:rPr>
        <w:t>We assess collectability by reviewing accounts receivable on a collective basis where similar characteristics exist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discussion of recent accounting pronouncements we expect will have an impact when adopted, see note 2 in the Notes to Consolidated Financial Statements included herein under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 sets forth our results of operations for the peri</w:t>
      </w:r>
      <w:r>
        <w:rPr>
          <w:rFonts w:ascii="Times New Roman;serif" w:hAnsi="Times New Roman;serif"/>
          <w:b w:val="false"/>
          <w:color w:val="000000"/>
          <w:sz w:val="20"/>
        </w:rPr>
        <w:t>ods presented, as percentages of revenue.</w:t>
      </w:r>
    </w:p>
    <w:tbl>
      <w:tblPr>
        <w:tblW w:w="8952" w:type="dxa"/>
        <w:jc w:val="left"/>
        <w:tblInd w:w="0" w:type="dxa"/>
        <w:tblLayout w:type="fixed"/>
        <w:tblCellMar>
          <w:top w:w="28" w:type="dxa"/>
          <w:left w:w="28" w:type="dxa"/>
          <w:bottom w:w="28" w:type="dxa"/>
          <w:right w:w="28" w:type="dxa"/>
        </w:tblCellMar>
      </w:tblPr>
      <w:tblGrid>
        <w:gridCol w:w="1726"/>
        <w:gridCol w:w="1520"/>
        <w:gridCol w:w="1524"/>
        <w:gridCol w:w="308"/>
        <w:gridCol w:w="308"/>
        <w:gridCol w:w="109"/>
        <w:gridCol w:w="109"/>
        <w:gridCol w:w="109"/>
        <w:gridCol w:w="109"/>
        <w:gridCol w:w="109"/>
        <w:gridCol w:w="109"/>
        <w:gridCol w:w="109"/>
        <w:gridCol w:w="308"/>
        <w:gridCol w:w="308"/>
        <w:gridCol w:w="109"/>
        <w:gridCol w:w="109"/>
        <w:gridCol w:w="109"/>
        <w:gridCol w:w="109"/>
        <w:gridCol w:w="109"/>
        <w:gridCol w:w="109"/>
        <w:gridCol w:w="109"/>
        <w:gridCol w:w="308"/>
        <w:gridCol w:w="308"/>
        <w:gridCol w:w="109"/>
        <w:gridCol w:w="109"/>
        <w:gridCol w:w="109"/>
        <w:gridCol w:w="109"/>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sale of short-term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i/>
          <w:color w:val="000000"/>
          <w:sz w:val="20"/>
          <w:shd w:fill="FFFFFF" w:val="clear"/>
        </w:rPr>
        <w:t>Comparison of Years Ended December 31, 2025, 202</w:t>
      </w:r>
      <w:r>
        <w:rPr>
          <w:rFonts w:ascii="Times New Roman;serif" w:hAnsi="Times New Roman;serif"/>
          <w:b/>
          <w:i/>
          <w:color w:val="000000"/>
          <w:sz w:val="20"/>
        </w:rPr>
        <w:t>4, and 2023</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w:t>
      </w:r>
    </w:p>
    <w:tbl>
      <w:tblPr>
        <w:tblW w:w="10205" w:type="dxa"/>
        <w:jc w:val="left"/>
        <w:tblInd w:w="0" w:type="dxa"/>
        <w:tblLayout w:type="fixed"/>
        <w:tblCellMar>
          <w:top w:w="28" w:type="dxa"/>
          <w:left w:w="28" w:type="dxa"/>
          <w:bottom w:w="28" w:type="dxa"/>
          <w:right w:w="28" w:type="dxa"/>
        </w:tblCellMar>
      </w:tblPr>
      <w:tblGrid>
        <w:gridCol w:w="1172"/>
        <w:gridCol w:w="1007"/>
        <w:gridCol w:w="10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589"/>
        <w:gridCol w:w="109"/>
        <w:gridCol w:w="109"/>
        <w:gridCol w:w="109"/>
        <w:gridCol w:w="255"/>
        <w:gridCol w:w="256"/>
        <w:gridCol w:w="657"/>
      </w:tblGrid>
      <w:tr>
        <w:trPr/>
        <w:tc>
          <w:tcPr>
            <w:tcW w:w="117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6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6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167" w:type="dxa"/>
        <w:jc w:val="left"/>
        <w:tblInd w:w="0" w:type="dxa"/>
        <w:tblLayout w:type="fixed"/>
        <w:tblCellMar>
          <w:top w:w="28" w:type="dxa"/>
          <w:left w:w="28" w:type="dxa"/>
          <w:bottom w:w="28" w:type="dxa"/>
          <w:right w:w="28" w:type="dxa"/>
        </w:tblCellMar>
      </w:tblPr>
      <w:tblGrid>
        <w:gridCol w:w="1098"/>
        <w:gridCol w:w="963"/>
        <w:gridCol w:w="969"/>
        <w:gridCol w:w="211"/>
        <w:gridCol w:w="826"/>
        <w:gridCol w:w="109"/>
        <w:gridCol w:w="109"/>
        <w:gridCol w:w="109"/>
        <w:gridCol w:w="109"/>
        <w:gridCol w:w="211"/>
        <w:gridCol w:w="826"/>
        <w:gridCol w:w="109"/>
        <w:gridCol w:w="109"/>
        <w:gridCol w:w="109"/>
        <w:gridCol w:w="109"/>
        <w:gridCol w:w="211"/>
        <w:gridCol w:w="82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540,969 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by geographic region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557,723 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2025 compared to 2024 reflects higher sales of single wafer cleaning, Tahoe and semi-critical cleaning equipment, and ECP (front-end and packaging), furnace and other technologies and advanced packaging (excluding ECP), services and spares.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2024 compared to 2023 was driven by higher sales of single wafer cleaning, Tahoe and semi-critical cleaning equipment, ECP (front-end and packaging), furnace and other technologies, and advanced packaging (excluding ECP), services &amp; spares. We attribute the revenue growth to continued investments in mature process nodes by current and new mainland China-based customers amidst an ongoing target to achieve a greater share of the global semiconductor market, incremental contribution from our new products, and better penetration of our product portfolio across our customer base.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Cost of Revenue and Gross Margin</w:t>
      </w:r>
    </w:p>
    <w:tbl>
      <w:tblPr>
        <w:tblW w:w="8984"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634"/>
        <w:gridCol w:w="109"/>
        <w:gridCol w:w="109"/>
        <w:gridCol w:w="109"/>
        <w:gridCol w:w="255"/>
        <w:gridCol w:w="256"/>
        <w:gridCol w:w="702"/>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bps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and gross profit increased in 2025 as compared to 2024 due to the increased sales volume, partly offset by a decrease in gross margin. The decrease in gross margin versus the prior-year period was primarily due to revenue mix between product categories, and a higher provision for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Cost of revenue and gross profit increased in 2024 as compared to 2023 due to the increased sales volume and an increase in gross margin. The increased gross margin versus the prior-year period was primarily due to improved gross margins for certain products and overall product mix.</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Gross margin may vary from period to period, primarily related to the level of utilization and the timing and mix of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Expenses</w:t>
      </w:r>
    </w:p>
    <w:tbl>
      <w:tblPr>
        <w:tblW w:w="10118" w:type="dxa"/>
        <w:jc w:val="left"/>
        <w:tblInd w:w="0" w:type="dxa"/>
        <w:tblLayout w:type="fixed"/>
        <w:tblCellMar>
          <w:top w:w="28" w:type="dxa"/>
          <w:left w:w="28" w:type="dxa"/>
          <w:bottom w:w="28" w:type="dxa"/>
          <w:right w:w="28" w:type="dxa"/>
        </w:tblCellMar>
      </w:tblPr>
      <w:tblGrid>
        <w:gridCol w:w="1089"/>
        <w:gridCol w:w="959"/>
        <w:gridCol w:w="96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34"/>
        <w:gridCol w:w="109"/>
        <w:gridCol w:w="109"/>
        <w:gridCol w:w="109"/>
        <w:gridCol w:w="255"/>
        <w:gridCol w:w="256"/>
        <w:gridCol w:w="702"/>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7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Sales and marketing expense</w:t>
      </w:r>
      <w:r>
        <w:rPr>
          <w:color w:val="000000"/>
        </w:rPr>
        <w:t xml:space="preserve"> </w:t>
      </w:r>
      <w:r>
        <w:rPr>
          <w:rFonts w:ascii="Times New Roman;serif" w:hAnsi="Times New Roman;serif"/>
          <w:b w:val="false"/>
          <w:color w:val="000000"/>
          <w:sz w:val="20"/>
        </w:rPr>
        <w:t>increased $11.5 million in 2025 as compared to 2024 reflecting increases of $8.4 million in personnel costs, $3.3 million in outside services and other expenses, and $3.7 million for commissions and travel, entertainment, and promotional tools, offset by a $3.9 million decrease in stock-based compensation.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$18.4 million in 2024 as compared to 2023, reflecting increases of $8.4 million in personnel costs, $4.9 million in stock-based compensation, $4.4 million from travel and entertainment and commissions, and $0.7 million in professional &amp; outside services and other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to develop and maintain close relationships with customers. We are making dollar-based investments to support the growth of our customer base in the United States, and the relative strength of the dollar could have a significant effect on our sales and marketing expense.</w:t>
      </w:r>
    </w:p>
    <w:p>
      <w:pPr>
        <w:pStyle w:val="TextBody"/>
        <w:bidi w:val="0"/>
        <w:spacing w:lineRule="auto" w:line="288" w:before="240" w:after="283"/>
        <w:jc w:val="both"/>
        <w:rPr/>
      </w:pPr>
      <w:r>
        <w:rPr>
          <w:rFonts w:ascii="Times New Roman;serif" w:hAnsi="Times New Roman;serif"/>
          <w:b w:val="false"/>
          <w:i/>
          <w:color w:val="000000"/>
          <w:sz w:val="20"/>
          <w:shd w:fill="FFFFFF" w:val="clear"/>
        </w:rPr>
        <w:t>Research and development expense</w:t>
      </w:r>
      <w:r>
        <w:rPr>
          <w:color w:val="000000"/>
          <w:shd w:fill="FFFFFF" w:val="clear"/>
        </w:rPr>
        <w:t xml:space="preserve"> </w:t>
      </w:r>
      <w:r>
        <w:rPr>
          <w:rFonts w:ascii="Times New Roman;serif" w:hAnsi="Times New Roman;serif"/>
          <w:b w:val="false"/>
          <w:color w:val="000000"/>
          <w:sz w:val="20"/>
          <w:shd w:fill="FFFFFF" w:val="clear"/>
        </w:rPr>
        <w:t>increased $39.5 million 2025 as compared to 2024 reflecting increases of</w:t>
      </w:r>
      <w:r>
        <w:rPr>
          <w:color w:val="000000"/>
        </w:rPr>
        <w:t xml:space="preserve"> </w:t>
      </w:r>
      <w:r>
        <w:rPr>
          <w:rFonts w:ascii="Times New Roman;serif" w:hAnsi="Times New Roman;serif"/>
          <w:b w:val="false"/>
          <w:color w:val="000000"/>
          <w:sz w:val="20"/>
        </w:rPr>
        <w:t>$26.7 million in costs of components for tools built for product development purposes, a $9.9 million in personnel costs, and $8.2 million in depreciation, outside services and other R&amp;D-related costs, offset by a decrease of $5.3 million in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represented 16.1% and 13.5% of our revenue in the years ended December 31, 2025 and 2024, respectively. Without reduction by grant amounts received from mainland China governmental authorities (see “—mainland China Government Research and Development Funding”), gross research and development expense totaled $152.9 million, or 17.0% of total revenue, in the year ended December 31, 2024 as compared to $105.9 million, or 13.5% of revenue, in the corresponding period in 2024.</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increased $12.8 million in 2024 as compared to 2023, reflecting increases of $10.1 million for personnel costs, $5.7 million in stock-based compensation, and $3.7 million in travel and entertainment and other costs to support product development, offset by decreases of $5.5 million in supplies and spares used in product development activities and a $1.2 million for outside services.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for the foreseeable future, research and development expense will increase in absolute dollars as we continue to invest in research and development to advance our technologies. We intend to continue to invest in research and development to support and enhance our cleaning, plating, advanced packaging, furnace and future product offerings to build and maintain our technology leadership position.</w:t>
      </w:r>
    </w:p>
    <w:p>
      <w:pPr>
        <w:pStyle w:val="TextBody"/>
        <w:bidi w:val="0"/>
        <w:spacing w:lineRule="auto" w:line="288" w:before="240" w:after="283"/>
        <w:jc w:val="both"/>
        <w:rPr/>
      </w:pPr>
      <w:r>
        <w:rPr>
          <w:rFonts w:ascii="Times New Roman;serif" w:hAnsi="Times New Roman;serif"/>
          <w:b w:val="false"/>
          <w:i/>
          <w:color w:val="000000"/>
          <w:sz w:val="20"/>
        </w:rPr>
        <w:t>General and administrative expense</w:t>
      </w:r>
      <w:r>
        <w:rPr>
          <w:color w:val="000000"/>
        </w:rPr>
        <w:t xml:space="preserve"> </w:t>
      </w:r>
      <w:r>
        <w:rPr>
          <w:rFonts w:ascii="Times New Roman;serif" w:hAnsi="Times New Roman;serif"/>
          <w:b w:val="false"/>
          <w:color w:val="000000"/>
          <w:sz w:val="20"/>
        </w:rPr>
        <w:t xml:space="preserve">decreased $0.9 million in 2025 as compared to 2024, </w:t>
      </w:r>
      <w:r>
        <w:rPr>
          <w:rFonts w:ascii="Times New Roman;serif" w:hAnsi="Times New Roman;serif"/>
          <w:b w:val="false"/>
          <w:color w:val="000000"/>
          <w:sz w:val="20"/>
          <w:shd w:fill="FFFFFF" w:val="clear"/>
        </w:rPr>
        <w:t>reflecting a $5.7 million decrease in stock-based compensation partially offset by increases of $3.6 million in personnel and professional services costs, $0.7 million in our allowance for credit losses, and $0.5 million in other costs related to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2"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General and administrative expense increased $29.0 million in </w:t>
      </w:r>
      <w:r>
        <w:rPr>
          <w:rFonts w:ascii="Times New Roman;serif" w:hAnsi="Times New Roman;serif"/>
          <w:b w:val="false"/>
          <w:color w:val="000000"/>
          <w:sz w:val="20"/>
        </w:rPr>
        <w:t xml:space="preserve">2024 as compared to 2023, reflecting increases of $10.8 million in allowance for credit losses, $10.7 million in stock-based compensation, $3.1 million in personnel costs and professional services, and $4.4 million for travel &amp; entertainment, depreciation and amortization, outside services, taxes and other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Stock-Based Compensation Expense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Cost of revenue and operating expenses during the periods presented below have included stock-based compensation as follows:</w:t>
      </w:r>
    </w:p>
    <w:tbl>
      <w:tblPr>
        <w:tblW w:w="7271" w:type="dxa"/>
        <w:jc w:val="left"/>
        <w:tblInd w:w="0" w:type="dxa"/>
        <w:tblLayout w:type="fixed"/>
        <w:tblCellMar>
          <w:top w:w="28" w:type="dxa"/>
          <w:left w:w="28" w:type="dxa"/>
          <w:bottom w:w="28" w:type="dxa"/>
          <w:right w:w="28" w:type="dxa"/>
        </w:tblCellMar>
      </w:tblPr>
      <w:tblGrid>
        <w:gridCol w:w="1247"/>
        <w:gridCol w:w="1098"/>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781" w:type="dxa"/>
            <w:gridSpan w:val="12"/>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Interest income, net and Other (expense) income, net</w:t>
      </w:r>
    </w:p>
    <w:tbl>
      <w:tblPr>
        <w:tblW w:w="9039" w:type="dxa"/>
        <w:jc w:val="left"/>
        <w:tblInd w:w="0" w:type="dxa"/>
        <w:tblLayout w:type="fixed"/>
        <w:tblCellMar>
          <w:top w:w="28" w:type="dxa"/>
          <w:left w:w="28" w:type="dxa"/>
          <w:bottom w:w="28" w:type="dxa"/>
          <w:right w:w="28" w:type="dxa"/>
        </w:tblCellMar>
      </w:tblPr>
      <w:tblGrid>
        <w:gridCol w:w="864"/>
        <w:gridCol w:w="758"/>
        <w:gridCol w:w="763"/>
        <w:gridCol w:w="211"/>
        <w:gridCol w:w="721"/>
        <w:gridCol w:w="109"/>
        <w:gridCol w:w="109"/>
        <w:gridCol w:w="109"/>
        <w:gridCol w:w="109"/>
        <w:gridCol w:w="211"/>
        <w:gridCol w:w="616"/>
        <w:gridCol w:w="109"/>
        <w:gridCol w:w="109"/>
        <w:gridCol w:w="109"/>
        <w:gridCol w:w="109"/>
        <w:gridCol w:w="211"/>
        <w:gridCol w:w="691"/>
        <w:gridCol w:w="109"/>
        <w:gridCol w:w="109"/>
        <w:gridCol w:w="109"/>
        <w:gridCol w:w="109"/>
        <w:gridCol w:w="255"/>
        <w:gridCol w:w="256"/>
        <w:gridCol w:w="634"/>
        <w:gridCol w:w="109"/>
        <w:gridCol w:w="109"/>
        <w:gridCol w:w="109"/>
        <w:gridCol w:w="255"/>
        <w:gridCol w:w="256"/>
        <w:gridCol w:w="70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6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*Not meaningful.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 income, net, increased in 2025 compared to 2024. </w:t>
      </w:r>
      <w:r>
        <w:rPr>
          <w:rFonts w:ascii="Times New Roman;serif" w:hAnsi="Times New Roman;serif"/>
          <w:b w:val="false"/>
          <w:color w:val="000000"/>
          <w:sz w:val="20"/>
          <w:shd w:fill="FFFFFF" w:val="clear"/>
        </w:rPr>
        <w:t>The change in interest income is a result of changes in balances of cash, cash equivalents, time deposits, while the change in interest expense is due to borrowings, together with changes in interest rates on the respective balances.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net, increased slightly in 2024 compared to 2023, principally as a result of an increase in interest income due to increase in cash balances, offset by increase in interest expenses incurred from a higher balance of total bank loans.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Other (expense) income, net primarily reflects (a) gains or losses recognized from the impact of exchange rates on our foreign currency-denominated working-capital transactions and (b) government subsidies, as described under “—Government Research and Development Funding”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realized $9.8 million of other expense in the year ended December 31, 2025, reflecting a $10.9 million loss from the impact of exchange rates on our working-capital, partially offset by $1.0 million from government subsidies. Refer to “Mainland China Government Research and Development Funding” above, and other factors for detail.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realized $6.3 million of other income in the year ended December 31, 2024, reflecting $4.2 million in gains from the impact of exchange rates on transactions, and $2.1 million from government subsidies and other items, as compared to $2.0 million in losses from the impact of exchange rates on transactions, and $0.5 million from government subsidies in the corresponding period in 2023.</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3"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Realized gain and unrealized loss from short-term investments, and income from equity method investments</w:t>
      </w:r>
    </w:p>
    <w:tbl>
      <w:tblPr>
        <w:tblW w:w="10205" w:type="dxa"/>
        <w:jc w:val="left"/>
        <w:tblInd w:w="0" w:type="dxa"/>
        <w:tblLayout w:type="fixed"/>
        <w:tblCellMar>
          <w:top w:w="28" w:type="dxa"/>
          <w:left w:w="28" w:type="dxa"/>
          <w:bottom w:w="28" w:type="dxa"/>
          <w:right w:w="28" w:type="dxa"/>
        </w:tblCellMar>
      </w:tblPr>
      <w:tblGrid>
        <w:gridCol w:w="1183"/>
        <w:gridCol w:w="1040"/>
        <w:gridCol w:w="1043"/>
        <w:gridCol w:w="224"/>
        <w:gridCol w:w="497"/>
        <w:gridCol w:w="109"/>
        <w:gridCol w:w="109"/>
        <w:gridCol w:w="109"/>
        <w:gridCol w:w="109"/>
        <w:gridCol w:w="211"/>
        <w:gridCol w:w="616"/>
        <w:gridCol w:w="109"/>
        <w:gridCol w:w="109"/>
        <w:gridCol w:w="109"/>
        <w:gridCol w:w="109"/>
        <w:gridCol w:w="211"/>
        <w:gridCol w:w="616"/>
        <w:gridCol w:w="109"/>
        <w:gridCol w:w="109"/>
        <w:gridCol w:w="109"/>
        <w:gridCol w:w="109"/>
        <w:gridCol w:w="383"/>
        <w:gridCol w:w="383"/>
        <w:gridCol w:w="610"/>
        <w:gridCol w:w="109"/>
        <w:gridCol w:w="109"/>
        <w:gridCol w:w="109"/>
        <w:gridCol w:w="284"/>
        <w:gridCol w:w="284"/>
        <w:gridCol w:w="610"/>
        <w:gridCol w:w="109"/>
        <w:gridCol w:w="109"/>
        <w:gridCol w:w="157"/>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sale of short-term investments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1,693.9 </w:t>
            </w:r>
          </w:p>
        </w:tc>
        <w:tc>
          <w:tcPr>
            <w:tcW w:w="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equity method investments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2,332.6 </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*Not meaningful.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recorded a realized gain on short-term investments including dividends and net gains from sales of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recorded a realized gain on sale of short-term investments of $1.8 million for the year ended December 31, 2024 as compared to a realized gain of $9.0 million for the same period in 2023 primarily due to the sales of ACM Shanghai’s indirect investment in publicly traded shares in the 2023 fiscal year.</w:t>
      </w:r>
    </w:p>
    <w:p>
      <w:pPr>
        <w:pStyle w:val="TextBody"/>
        <w:bidi w:val="0"/>
        <w:spacing w:lineRule="auto" w:line="288" w:before="240" w:after="283"/>
        <w:jc w:val="both"/>
        <w:rPr/>
      </w:pPr>
      <w:r>
        <w:rPr>
          <w:rFonts w:ascii="Times New Roman;serif" w:hAnsi="Times New Roman;serif"/>
          <w:b w:val="false"/>
          <w:color w:val="000000"/>
          <w:sz w:val="20"/>
          <w:shd w:fill="FFFFFF" w:val="clear"/>
        </w:rPr>
        <w:t>The unrealized gain (loss) is based on a change in market value of ACM Shanghai’s short-term investments</w:t>
      </w:r>
      <w:r>
        <w:rPr>
          <w:color w:val="000000"/>
          <w:shd w:fill="FFFFFF" w:val="clear"/>
        </w:rPr>
        <w:t xml:space="preserve"> </w:t>
      </w:r>
      <w:r>
        <w:rPr>
          <w:rFonts w:ascii="Times New Roman;serif" w:hAnsi="Times New Roman;serif"/>
          <w:b w:val="false"/>
          <w:color w:val="000000"/>
          <w:sz w:val="20"/>
          <w:shd w:fill="FFFFFF" w:val="clear"/>
        </w:rPr>
        <w:t>(note 12). Income from equity investments is derived from net income from investments in affiliates (note 11).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varies based upon the performance of our investments accounted for under the equity method. Refer to Long Term Investments (note 11), in our notes to our consolidated financial statements for details on these equity method investments.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Tax (expense) benefit</w:t>
      </w:r>
    </w:p>
    <w:tbl>
      <w:tblPr>
        <w:tblW w:w="7047" w:type="dxa"/>
        <w:jc w:val="left"/>
        <w:tblInd w:w="0" w:type="dxa"/>
        <w:tblLayout w:type="fixed"/>
        <w:tblCellMar>
          <w:top w:w="28" w:type="dxa"/>
          <w:left w:w="28" w:type="dxa"/>
          <w:bottom w:w="28" w:type="dxa"/>
          <w:right w:w="28" w:type="dxa"/>
        </w:tblCellMar>
      </w:tblPr>
      <w:tblGrid>
        <w:gridCol w:w="1083"/>
        <w:gridCol w:w="954"/>
        <w:gridCol w:w="963"/>
        <w:gridCol w:w="211"/>
        <w:gridCol w:w="796"/>
        <w:gridCol w:w="109"/>
        <w:gridCol w:w="109"/>
        <w:gridCol w:w="109"/>
        <w:gridCol w:w="109"/>
        <w:gridCol w:w="211"/>
        <w:gridCol w:w="796"/>
        <w:gridCol w:w="109"/>
        <w:gridCol w:w="109"/>
        <w:gridCol w:w="109"/>
        <w:gridCol w:w="109"/>
        <w:gridCol w:w="211"/>
        <w:gridCol w:w="79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 benefit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benefit (expense)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benefit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recognized a tax expense of $13.3 million for the year ended December 31, 2025 as compared to a tax expense of $35 million for the prior year period. The decreased tax expense in 2025 primarily resulted from the tax effect of decreased operating profit generated.</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we collect and prepare necessary data, and interpret the guidance issued by the U.S. Treasury Department, the Internal Revenue Service, and other standard-setting bodies, we may make adjustments to the provisional amounts.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64"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59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adjustments may materially affect our provision for income taxes and effective tax rate in the period in which the adjustments are made. </w:t>
      </w:r>
    </w:p>
    <w:p>
      <w:pPr>
        <w:pStyle w:val="TextBody"/>
        <w:bidi w:val="0"/>
        <w:spacing w:lineRule="auto" w:line="288" w:before="240" w:after="283"/>
        <w:jc w:val="both"/>
        <w:rPr/>
      </w:pPr>
      <w:r>
        <w:rPr>
          <w:rFonts w:ascii="Times New Roman;serif" w:hAnsi="Times New Roman;serif"/>
          <w:b w:val="false"/>
          <w:color w:val="000000"/>
          <w:sz w:val="20"/>
          <w:shd w:fill="FFFFFF" w:val="clear"/>
        </w:rPr>
        <w:t>Our effective tax rate differs from statutory rates of 21% for U.S. federal income tax purposes and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25%,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Certain entities which meet requirements according to the Policy of the Lingang New area in China (Shanghai) Pilot Free Trade Zone are entitled to a preferential income tax rate of 15%. ACM Lingang was certified for this in 2021, and this preferential income tax rate is valid from January 1, 2020 until December 31, 2024.</w:t>
      </w:r>
      <w:r>
        <w:rPr>
          <w:rFonts w:ascii="Times New Roman;serif" w:hAnsi="Times New Roman;serif"/>
          <w:b w:val="false"/>
          <w:color w:val="000000"/>
          <w:sz w:val="20"/>
        </w:rPr>
        <w:t>ACM Lingang’s tax is expected to be exempt for first two profitable years after NOL utilization and half of thestatuatory tax rate for the next three years.</w:t>
      </w:r>
      <w:r>
        <w:rPr>
          <w:color w:val="000000"/>
          <w:shd w:fill="FFFFFF" w:val="clear"/>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We file income tax returns in the United States and state and foreign jurisdictions. </w:t>
      </w:r>
      <w:r>
        <w:rPr>
          <w:rFonts w:ascii="Times New Roman;serif" w:hAnsi="Times New Roman;serif"/>
          <w:b w:val="false"/>
          <w:color w:val="000000"/>
          <w:sz w:val="20"/>
        </w:rPr>
        <w:t>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051"/>
        <w:gridCol w:w="923"/>
        <w:gridCol w:w="92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7"/>
        <w:gridCol w:w="237"/>
        <w:gridCol w:w="593"/>
        <w:gridCol w:w="109"/>
        <w:gridCol w:w="109"/>
        <w:gridCol w:w="109"/>
        <w:gridCol w:w="255"/>
        <w:gridCol w:w="256"/>
        <w:gridCol w:w="593"/>
        <w:gridCol w:w="109"/>
        <w:gridCol w:w="109"/>
        <w:gridCol w:w="109"/>
        <w:gridCol w:w="109"/>
        <w:gridCol w:w="109"/>
        <w:gridCol w:w="157"/>
      </w:tblGrid>
      <w:tr>
        <w:trPr/>
        <w:tc>
          <w:tcPr>
            <w:tcW w:w="105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ACM Research owns 74.6% of ACM Shanghai’s (note 1) outstanding shares which is reflected in our consolidated financial statements (note 2). We reflect the</w:t>
      </w:r>
      <w:r>
        <w:rPr>
          <w:color w:val="000000"/>
        </w:rPr>
        <w:t xml:space="preserve"> </w:t>
      </w:r>
      <w:r>
        <w:rPr>
          <w:rFonts w:ascii="Times New Roman;serif" w:hAnsi="Times New Roman;serif"/>
          <w:b w:val="false"/>
          <w:color w:val="000000"/>
          <w:sz w:val="20"/>
          <w:shd w:fill="FFFFFF" w:val="clear"/>
        </w:rPr>
        <w:t>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10205" w:type="dxa"/>
        <w:jc w:val="left"/>
        <w:tblInd w:w="0" w:type="dxa"/>
        <w:tblLayout w:type="fixed"/>
        <w:tblCellMar>
          <w:top w:w="28" w:type="dxa"/>
          <w:left w:w="28" w:type="dxa"/>
          <w:bottom w:w="28" w:type="dxa"/>
          <w:right w:w="28" w:type="dxa"/>
        </w:tblCellMar>
      </w:tblPr>
      <w:tblGrid>
        <w:gridCol w:w="1189"/>
        <w:gridCol w:w="1044"/>
        <w:gridCol w:w="1048"/>
        <w:gridCol w:w="211"/>
        <w:gridCol w:w="721"/>
        <w:gridCol w:w="109"/>
        <w:gridCol w:w="109"/>
        <w:gridCol w:w="109"/>
        <w:gridCol w:w="109"/>
        <w:gridCol w:w="211"/>
        <w:gridCol w:w="794"/>
        <w:gridCol w:w="109"/>
        <w:gridCol w:w="109"/>
        <w:gridCol w:w="109"/>
        <w:gridCol w:w="109"/>
        <w:gridCol w:w="211"/>
        <w:gridCol w:w="794"/>
        <w:gridCol w:w="109"/>
        <w:gridCol w:w="109"/>
        <w:gridCol w:w="109"/>
        <w:gridCol w:w="109"/>
        <w:gridCol w:w="377"/>
        <w:gridCol w:w="377"/>
        <w:gridCol w:w="379"/>
        <w:gridCol w:w="109"/>
        <w:gridCol w:w="109"/>
        <w:gridCol w:w="109"/>
        <w:gridCol w:w="255"/>
        <w:gridCol w:w="256"/>
        <w:gridCol w:w="703"/>
      </w:tblGrid>
      <w:tr>
        <w:trPr/>
        <w:tc>
          <w:tcPr>
            <w:tcW w:w="118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3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adjustment is primarily based on the net effect of RMB to 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6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Comprehensive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265"/>
        <w:gridCol w:w="1112"/>
        <w:gridCol w:w="111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95"/>
        <w:gridCol w:w="109"/>
        <w:gridCol w:w="109"/>
        <w:gridCol w:w="109"/>
        <w:gridCol w:w="255"/>
        <w:gridCol w:w="256"/>
        <w:gridCol w:w="663"/>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2024 v 2023</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5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represents the portion of ACM Shanghai's operating results attributable to shares of ACM Shanghai stock held by unaffiliated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funded our technology development and operations principally through our beginning global cash balances, including the cash balances at ACM Shanghai, borrowings by ACM Shanghai from local financial institutions and our loan from China CITIC Bank. Cash and cash equivalents, restricted cash, short-term time deposits and long-term time deposits were $1,132.6 million at December 31, 2025, compared to $441.9 million at December 31, 2024. The $690.7 million increase was primarily driven by $742.5 million net cash provided by financing activities, $12.8 million from the effects of exchange rates on cash, cash equivalents and restricted cash, and $1.0 million from the effects of foreign exchange translation rates on time deposits, partially offset by $10.3 million used in operations and $55.3 million used in investing activities excluding the change in time deposits.</w:t>
      </w:r>
    </w:p>
    <w:p>
      <w:pPr>
        <w:pStyle w:val="TextBody"/>
        <w:bidi w:val="0"/>
        <w:spacing w:lineRule="auto" w:line="288" w:before="240" w:after="283"/>
        <w:jc w:val="both"/>
        <w:rPr/>
      </w:pPr>
      <w:r>
        <w:rPr>
          <w:rFonts w:ascii="Times New Roman;serif" w:hAnsi="Times New Roman;serif"/>
          <w:b w:val="false"/>
          <w:color w:val="000000"/>
          <w:sz w:val="20"/>
          <w:shd w:fill="FFFFFF" w:val="clear"/>
        </w:rPr>
        <w:t>The table below represents the cash an</w:t>
      </w:r>
      <w:r>
        <w:rPr>
          <w:rFonts w:ascii="Times New Roman;serif" w:hAnsi="Times New Roman;serif"/>
          <w:b w:val="false"/>
          <w:color w:val="000000"/>
          <w:sz w:val="20"/>
        </w:rPr>
        <w:t>d cash equivalents, restricted cash, and time</w:t>
      </w:r>
      <w:r>
        <w:rPr>
          <w:color w:val="000000"/>
          <w:shd w:fill="FFFFFF" w:val="clear"/>
        </w:rPr>
        <w:t xml:space="preserve"> </w:t>
      </w:r>
      <w:r>
        <w:rPr>
          <w:rFonts w:ascii="Times New Roman;serif" w:hAnsi="Times New Roman;serif"/>
          <w:b w:val="false"/>
          <w:color w:val="000000"/>
          <w:sz w:val="20"/>
          <w:shd w:fill="FFFFFF" w:val="clear"/>
        </w:rPr>
        <w:t>deposits as of December 31, 2025 and 2024:</w:t>
      </w:r>
    </w:p>
    <w:tbl>
      <w:tblPr>
        <w:tblW w:w="7988" w:type="dxa"/>
        <w:jc w:val="left"/>
        <w:tblInd w:w="0" w:type="dxa"/>
        <w:tblLayout w:type="fixed"/>
        <w:tblCellMar>
          <w:top w:w="28" w:type="dxa"/>
          <w:left w:w="28" w:type="dxa"/>
          <w:bottom w:w="28" w:type="dxa"/>
          <w:right w:w="28" w:type="dxa"/>
        </w:tblCellMar>
      </w:tblPr>
      <w:tblGrid>
        <w:gridCol w:w="1872"/>
        <w:gridCol w:w="1649"/>
        <w:gridCol w:w="1653"/>
        <w:gridCol w:w="211"/>
        <w:gridCol w:w="976"/>
        <w:gridCol w:w="109"/>
        <w:gridCol w:w="109"/>
        <w:gridCol w:w="109"/>
        <w:gridCol w:w="109"/>
        <w:gridCol w:w="211"/>
        <w:gridCol w:w="826"/>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restricted cash, and time deposits: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and long-term time deposits, our cash flow from operating activities, and bank borrowings by us and ACM Shanghai will be sufficient to meet our anticipated cash needs within our longer-term planning horizon.</w:t>
      </w:r>
    </w:p>
    <w:p>
      <w:pPr>
        <w:pStyle w:val="TextBody"/>
        <w:bidi w:val="0"/>
        <w:spacing w:lineRule="auto" w:line="288" w:before="240" w:after="283"/>
        <w:jc w:val="both"/>
        <w:rPr/>
      </w:pPr>
      <w:r>
        <w:rPr>
          <w:rFonts w:ascii="Times New Roman;serif" w:hAnsi="Times New Roman;serif"/>
          <w:b w:val="false"/>
          <w:color w:val="000000"/>
          <w:sz w:val="20"/>
          <w:shd w:fill="FFFFFF" w:val="clear"/>
        </w:rPr>
        <w:t>ACM Shanghai has h</w:t>
      </w:r>
      <w:r>
        <w:rPr>
          <w:rFonts w:ascii="Times New Roman;serif" w:hAnsi="Times New Roman;serif"/>
          <w:b w:val="false"/>
          <w:color w:val="000000"/>
          <w:sz w:val="20"/>
        </w:rPr>
        <w:t>istorically participated in certai</w:t>
      </w:r>
      <w:r>
        <w:rPr>
          <w:rFonts w:ascii="Times New Roman;serif" w:hAnsi="Times New Roman;serif"/>
          <w:b w:val="false"/>
          <w:color w:val="000000"/>
          <w:sz w:val="20"/>
          <w:shd w:fill="FFFFFF" w:val="clear"/>
        </w:rPr>
        <w:t xml:space="preserve">n mainland China government-sponsored grant and subsidy programs, as described under “—Key Components of Results of Operations—mainland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66"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affect an equity or debt financing on terms acceptable to us or at all.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Factors–Regulatory Risks–Mainland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years ended December 31, 2025, 2024, and 2023, with the exception of sales and services-related transfer-pricing payments in the ordinary course of business, and dividends paid by ACM Shanghai to ACM Research, no transfers or distributions have been made between ACM Research, and its subsidiaries, including ACM Shanghai, or to holders of ACM Research Class A common stock.</w:t>
      </w:r>
    </w:p>
    <w:p>
      <w:pPr>
        <w:pStyle w:val="TextBody"/>
        <w:bidi w:val="0"/>
        <w:spacing w:lineRule="auto" w:line="268" w:before="240" w:after="283"/>
        <w:jc w:val="both"/>
        <w:rPr/>
      </w:pPr>
      <w:r>
        <w:rPr>
          <w:rFonts w:ascii="Times New Roman;serif" w:hAnsi="Times New Roman;serif"/>
          <w:b w:val="false"/>
          <w:color w:val="000000"/>
          <w:sz w:val="20"/>
          <w:shd w:fill="FFFFFF" w:val="clear"/>
        </w:rPr>
        <w:t xml:space="preserve">Our cash and cash equivalents at December 31, 2025 were held for working capital purposes and other potential investments. ACM Shanghai, our only direct mainland China subsidiary, is, however, subject to mainland China restrictions on distributions to equity holders. The use of proceeds raised </w:t>
      </w:r>
      <w:r>
        <w:rPr>
          <w:rFonts w:ascii="Times New Roman;serif" w:hAnsi="Times New Roman;serif"/>
          <w:b w:val="false"/>
          <w:color w:val="000000"/>
          <w:sz w:val="20"/>
        </w:rPr>
        <w:t>by Private Offering and the S</w:t>
      </w:r>
      <w:r>
        <w:rPr>
          <w:rFonts w:ascii="Times New Roman;serif" w:hAnsi="Times New Roman;serif"/>
          <w:b w:val="false"/>
          <w:color w:val="000000"/>
          <w:sz w:val="20"/>
          <w:shd w:fill="FFFFFF" w:val="clear"/>
        </w:rPr>
        <w:t>TAR Market IPO and Private Offering without further approvals, are limited to specific usage. We currently intend for ACM Shanghai to retain all available funds from any future earnings for use in the operation of its business and do not anticipate it paying any cash dividends.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has never declared or paid cash dividends on our capital stock. We intend to retain all available funds and any future earnings to support the operation of and to finance the growth and development of our business and do not anticipate paying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67"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i/>
          <w:color w:val="000000"/>
          <w:sz w:val="20"/>
          <w:shd w:fill="FFFFFF" w:val="clear"/>
        </w:rPr>
        <w:t xml:space="preserve">Cash Flow from Operating Activities. </w:t>
      </w:r>
      <w:r>
        <w:rPr>
          <w:rFonts w:ascii="Times New Roman;serif" w:hAnsi="Times New Roman;serif"/>
          <w:b w:val="false"/>
          <w:color w:val="000000"/>
          <w:sz w:val="20"/>
          <w:shd w:fill="FFFFFF" w:val="clear"/>
        </w:rPr>
        <w:t>Net cash (used in) provided by operating activities during the year ended December 31, 2025, 2024, and 2023 consisted of:</w:t>
      </w:r>
    </w:p>
    <w:tbl>
      <w:tblPr>
        <w:tblW w:w="8427" w:type="dxa"/>
        <w:jc w:val="left"/>
        <w:tblInd w:w="0" w:type="dxa"/>
        <w:tblLayout w:type="fixed"/>
        <w:tblCellMar>
          <w:top w:w="28" w:type="dxa"/>
          <w:left w:w="28" w:type="dxa"/>
          <w:bottom w:w="28" w:type="dxa"/>
          <w:right w:w="28" w:type="dxa"/>
        </w:tblCellMar>
      </w:tblPr>
      <w:tblGrid>
        <w:gridCol w:w="1563"/>
        <w:gridCol w:w="1372"/>
        <w:gridCol w:w="1385"/>
        <w:gridCol w:w="211"/>
        <w:gridCol w:w="826"/>
        <w:gridCol w:w="109"/>
        <w:gridCol w:w="109"/>
        <w:gridCol w:w="109"/>
        <w:gridCol w:w="109"/>
        <w:gridCol w:w="211"/>
        <w:gridCol w:w="826"/>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Non-cash operating lease cost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Provision for inventory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Provision for credit losses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Depreciation and amortization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Realized gain on short-term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from equity method investments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Unrealized (gain) loss on short-term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Stock-based compensation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Dividends from unconsolidated affiliates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changes in operating assets and liabilities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(184,590)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cash (used in) provided by operating activities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Significant changes in operating asset and </w:t>
      </w:r>
      <w:r>
        <w:rPr>
          <w:rFonts w:ascii="Times New Roman;serif" w:hAnsi="Times New Roman;serif"/>
          <w:b w:val="false"/>
          <w:color w:val="000000"/>
          <w:sz w:val="20"/>
        </w:rPr>
        <w:t xml:space="preserve">liability accounts during the </w:t>
      </w:r>
      <w:r>
        <w:rPr>
          <w:rFonts w:ascii="Times New Roman;serif" w:hAnsi="Times New Roman;serif"/>
          <w:b w:val="false"/>
          <w:color w:val="000000"/>
          <w:sz w:val="20"/>
          <w:shd w:fill="FFFFFF" w:val="clear"/>
        </w:rPr>
        <w:t>year-ended December 31, 2025 included the following uses of cash: an increase in inve</w:t>
      </w:r>
      <w:r>
        <w:rPr>
          <w:rFonts w:ascii="Times New Roman;serif" w:hAnsi="Times New Roman;serif"/>
          <w:b w:val="false"/>
          <w:color w:val="000000"/>
          <w:sz w:val="20"/>
        </w:rPr>
        <w:t>ntories of $108.2 million (note 5), an increase in accounts receivable of $116.1 million (note 4), and a decrease in customer advances of $60.8 million (note 3). As described under “—Key Components of Results of Operations—Mainland China Government Research and Development Funding,” ACM Shanghai and ACM Lingang have received research and development grants from local and central mainland China governmental authorities. ACM Lingang received cash payments of $10.3 million related to such grants in the year ended December 31, 2025. The u</w:t>
      </w:r>
      <w:r>
        <w:rPr>
          <w:rFonts w:ascii="Times New Roman;serif" w:hAnsi="Times New Roman;serif"/>
          <w:b w:val="false"/>
          <w:color w:val="000000"/>
          <w:sz w:val="20"/>
          <w:shd w:fill="FFFFFF" w:val="clear"/>
        </w:rPr>
        <w:t>ses of cash are offset by the following significant sources of cash: an increase in other payables and accrued expenses of $27.1 million and an increase in accounts payable of $67.9 million.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changes in operating asset and liability accounts during the year-ended December 31, 2024, included the following uses of cash: increases of inventories of $64.1 million, and an increase of accounts receivable of $123.3 million. As described under “—Key Components of Results of Operations—Mainland China Government Research and Development Funding,” As noted above, ACM Lingang received grants of $3.9 million in the year ended December 31, 2024. The uses of cash are offset by the following significant sources of cash: an increase in advances from customers of $67.1, an increase in other payables and accrued expenses of $23.2 million, an increase in FIN-48 and income taxes payable of $13.7 million, and an increase in accounts payable of $1.4 million.</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Cash Flow Used in Investing Activities.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cash used in investing activities for the year ended December 31, 2025, excluding time deposits and long-term investment activities, was $55.3 million, primarily consisting of $57.7 million of purchases of property and equipment and intangible assets, offset by $2.1 million net proceeds from the sale of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used in investing activities for the year ended December 31, 2024, excluding time deposits and long-term investment activities, was $103.8 million, primarily consisting of $85.9 million for purchases of property and equipment and intangible assets, $24.9 million for purchases of long-term investments and $1.4 million for purchases of equity investments, partly offset by $8.4 million of net proceeds from the sale of short-term investments.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Cash Flow Provided by Financing Activities. </w:t>
      </w:r>
    </w:p>
    <w:p>
      <w:pPr>
        <w:pStyle w:val="TextBody"/>
        <w:bidi w:val="0"/>
        <w:spacing w:lineRule="auto" w:line="288" w:before="240" w:after="283"/>
        <w:jc w:val="both"/>
        <w:rPr/>
      </w:pPr>
      <w:r>
        <w:rPr>
          <w:rFonts w:ascii="Times New Roman;serif" w:hAnsi="Times New Roman;serif"/>
          <w:b w:val="false"/>
          <w:color w:val="000000"/>
          <w:sz w:val="20"/>
          <w:shd w:fill="FFFFFF" w:val="clear"/>
        </w:rPr>
        <w:t>Net cash provided by financing activities</w:t>
      </w:r>
      <w:r>
        <w:rPr>
          <w:color w:val="000000"/>
          <w:shd w:fill="FFFFFF" w:val="clear"/>
        </w:rPr>
        <w:t xml:space="preserve"> </w:t>
      </w:r>
      <w:r>
        <w:rPr>
          <w:rFonts w:ascii="Times New Roman;serif" w:hAnsi="Times New Roman;serif"/>
          <w:b w:val="false"/>
          <w:color w:val="000000"/>
          <w:sz w:val="20"/>
          <w:shd w:fill="FFFFFF" w:val="clear"/>
        </w:rPr>
        <w:t xml:space="preserve">for the year ended December 31, 2025 was $742.5 million, primarily consisting of $623.0 in net proceeds to ACM Shanghai from the Private Offering, $206.7 million in net proceeds from short and long-term borrowings, and $34.8 million in proceeds from the exercise of stock options, offset by ($107.6 million) of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68"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 long-term loan repayments, ($7.6 million) of dividends paid by ACM Shanghai, and ($7.0 million) for the repurchase of shares of stock of ACM Shanghai.</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for the year ended December 31, 2024 was $92.5 million, primarily consisting of $130.2 million of net proceeds from short and long-term borrowings, and $11.1 million in proceeds from the exercise of stock options, offset by ($41.9 million) of short-term and long-term loan repayments, and ($6.9 million) of dividends paid by ACM Shanghai.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and ACM Shanghai, together with the subsidiaries of ACM Shanghai, have short-term and long-term borrowings with the following lenders, as follows: </w:t>
      </w:r>
    </w:p>
    <w:tbl>
      <w:tblPr>
        <w:tblW w:w="10205" w:type="dxa"/>
        <w:jc w:val="left"/>
        <w:tblInd w:w="0" w:type="dxa"/>
        <w:tblLayout w:type="fixed"/>
        <w:tblCellMar>
          <w:top w:w="28" w:type="dxa"/>
          <w:left w:w="28" w:type="dxa"/>
          <w:bottom w:w="28" w:type="dxa"/>
          <w:right w:w="28" w:type="dxa"/>
        </w:tblCellMar>
      </w:tblPr>
      <w:tblGrid>
        <w:gridCol w:w="1184"/>
        <w:gridCol w:w="352"/>
        <w:gridCol w:w="355"/>
        <w:gridCol w:w="109"/>
        <w:gridCol w:w="109"/>
        <w:gridCol w:w="109"/>
        <w:gridCol w:w="363"/>
        <w:gridCol w:w="363"/>
        <w:gridCol w:w="364"/>
        <w:gridCol w:w="109"/>
        <w:gridCol w:w="109"/>
        <w:gridCol w:w="109"/>
        <w:gridCol w:w="666"/>
        <w:gridCol w:w="611"/>
        <w:gridCol w:w="543"/>
        <w:gridCol w:w="109"/>
        <w:gridCol w:w="109"/>
        <w:gridCol w:w="109"/>
        <w:gridCol w:w="263"/>
        <w:gridCol w:w="250"/>
        <w:gridCol w:w="450"/>
        <w:gridCol w:w="109"/>
        <w:gridCol w:w="109"/>
        <w:gridCol w:w="109"/>
        <w:gridCol w:w="356"/>
        <w:gridCol w:w="902"/>
        <w:gridCol w:w="119"/>
        <w:gridCol w:w="109"/>
        <w:gridCol w:w="109"/>
        <w:gridCol w:w="109"/>
        <w:gridCol w:w="350"/>
        <w:gridCol w:w="902"/>
        <w:gridCol w:w="177"/>
      </w:tblGrid>
      <w:tr>
        <w:trPr/>
        <w:tc>
          <w:tcPr>
            <w:tcW w:w="11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 Outstanding</w:t>
              <w:br/>
              <w:t>at December 31, 2025</w:t>
            </w:r>
          </w:p>
        </w:tc>
      </w:tr>
      <w:tr>
        <w:trPr/>
        <w:tc>
          <w:tcPr>
            <w:tcW w:w="1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RMB199,980</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RMB399,207</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RMB320,192 </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Bank of China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RMB400,000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RMB340,734 </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Industrial and Commercial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RMB299,195</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China Merchants Bank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RMB128,500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RMB69,676</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RMB295,204 </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Bank of Shanghai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June,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June,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NIL </w:t>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China CITIC Bank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RMB100,059 </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288,053 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(1)Converted from RMB to dollars as of December 31, 2025.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(2)This China CITIC bank facility agreement is with ACM Research,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605" cy="14605"/>
                <wp:effectExtent l="0" t="0" r="0" b="0"/>
                <wp:wrapNone/>
                <wp:docPr id="69" name="Frame6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540"/>
        <w:jc w:val="both"/>
        <w:rPr/>
      </w:pPr>
      <w:r>
        <w:rPr>
          <w:rFonts w:ascii="Times New Roman;serif" w:hAnsi="Times New Roman;serif"/>
          <w:b w:val="false"/>
          <w:color w:val="000000"/>
          <w:sz w:val="24"/>
        </w:rPr>
        <w:t>(3)</w:t>
      </w:r>
      <w:r>
        <w:rPr>
          <w:rFonts w:ascii="Times New Roman;serif" w:hAnsi="Times New Roman;serif"/>
          <w:b w:val="false"/>
          <w:color w:val="000000"/>
          <w:sz w:val="20"/>
        </w:rPr>
        <w:t>The loan from China Merchants Bank is secured by a pledge of the property of ACM Lingang and guaranteed by ACM Shanghai, as described above under “—Contractual Obligations.”</w:t>
      </w:r>
    </w:p>
    <w:p>
      <w:pPr>
        <w:pStyle w:val="TextBody"/>
        <w:bidi w:val="0"/>
        <w:spacing w:lineRule="auto" w:line="288" w:before="240" w:after="283"/>
        <w:jc w:val="both"/>
        <w:rPr/>
      </w:pPr>
      <w:r>
        <w:rPr>
          <w:rFonts w:ascii="Times New Roman;serif" w:hAnsi="Times New Roman;serif"/>
          <w:b/>
          <w:i/>
          <w:color w:val="000000"/>
          <w:sz w:val="20"/>
          <w:shd w:fill="FFFFFF" w:val="clear"/>
        </w:rPr>
        <w:t xml:space="preserve">Effect of exchange rate changes on cash, cash equivalents and restricted cash. </w:t>
      </w:r>
      <w:r>
        <w:rPr>
          <w:rFonts w:ascii="Times New Roman;serif" w:hAnsi="Times New Roman;serif"/>
          <w:b w:val="false"/>
          <w:color w:val="000000"/>
          <w:sz w:val="20"/>
          <w:shd w:fill="FFFFFF" w:val="clear"/>
        </w:rPr>
        <w:t>The impact of fluctuations of the RMB to U.S. dollar currency exchange rate in RMB-denominated accounts (note 2) contributed to a $12.8 million increase in the value of these items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Contract for State-owned Construction Land Use Right in Shanghai City</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w:t>
      </w:r>
      <w:r>
        <w:rPr>
          <w:rFonts w:ascii="Times New Roman;serif" w:hAnsi="Times New Roman;serif"/>
          <w:b w:val="false"/>
          <w:color w:val="000000"/>
          <w:sz w:val="20"/>
        </w:rPr>
        <w:t>East China Silicon Hub</w:t>
      </w:r>
      <w:r>
        <w:rPr>
          <w:color w:val="000000"/>
          <w:shd w:fill="FFFFFF" w:val="clear"/>
        </w:rPr>
        <w:t xml:space="preserve"> </w:t>
      </w:r>
      <w:r>
        <w:rPr>
          <w:rFonts w:ascii="Times New Roman;serif" w:hAnsi="Times New Roman;serif"/>
          <w:b w:val="false"/>
          <w:color w:val="000000"/>
          <w:sz w:val="20"/>
          <w:shd w:fill="FFFFFF" w:val="clear"/>
        </w:rPr>
        <w:t xml:space="preserve">of Lin-gang Special Area of China (Shanghai) Pilot Free Trade Zone, or the Land Use Right, for a period of fifty years, commencing on the date of delivery of the land in July 2020, which we refer to as the Delivery Date. In exchange for its land use rights, ACM Lingang paid aggregate grant fees of RMB 61.7 million ($9.5 million), or the Grant Fees, and a </w:t>
      </w:r>
      <w:r>
        <w:rPr>
          <w:rFonts w:ascii="Times New Roman;serif" w:hAnsi="Times New Roman;serif"/>
          <w:b w:val="false"/>
          <w:color w:val="000000"/>
          <w:sz w:val="20"/>
        </w:rPr>
        <w:t xml:space="preserve">performance deposit of RMB 12.3 million ($1.9 million), related to the achievement of the certain performance milestones. As of December 31 2025, ACM Lingang had officially achieved the milestones, and the performance deposit has been refunded in full (note 9). </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In addition to the milestones, covenants in the Grant Agreement require that, among other things, ACM Lingang will be required to pay liquidated damages in the event that </w:t>
      </w:r>
      <w:r>
        <w:rPr>
          <w:rFonts w:ascii="Times New Roman;serif" w:hAnsi="Times New Roman;serif"/>
          <w:b w:val="false"/>
          <w:color w:val="000000"/>
          <w:sz w:val="20"/>
        </w:rPr>
        <w:t>within seven years after the Delivery Date, or prior to July 9, 2027, it does</w:t>
      </w:r>
      <w:r>
        <w:rPr>
          <w:color w:val="000000"/>
          <w:shd w:fill="FFFFFF" w:val="clear"/>
        </w:rPr>
        <w:t xml:space="preserve"> </w:t>
      </w:r>
      <w:r>
        <w:rPr>
          <w:rFonts w:ascii="Times New Roman;serif" w:hAnsi="Times New Roman;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76" w:before="240" w:after="283"/>
        <w:jc w:val="both"/>
        <w:rPr/>
      </w:pPr>
      <w:r>
        <w:rPr>
          <w:rFonts w:ascii="Times New Roman;serif" w:hAnsi="Times New Roman;serif"/>
          <w:b w:val="false"/>
          <w:color w:val="000000"/>
          <w:sz w:val="20"/>
          <w:shd w:fill="FFFFFF" w:val="clear"/>
        </w:rPr>
        <w:t xml:space="preserve">If the total tax revenue of the project fails to reach, but is no less than, 80% of the standard amount </w:t>
      </w:r>
      <w:r>
        <w:rPr>
          <w:rFonts w:ascii="Times New Roman;serif" w:hAnsi="Times New Roman;serif"/>
          <w:b w:val="false"/>
          <w:color w:val="000000"/>
          <w:sz w:val="20"/>
        </w:rPr>
        <w:t xml:space="preserve">agreed </w:t>
      </w:r>
      <w:r>
        <w:rPr>
          <w:rFonts w:ascii="Times New Roman;serif" w:hAnsi="Times New Roman;serif"/>
          <w:b w:val="false"/>
          <w:color w:val="000000"/>
          <w:sz w:val="20"/>
          <w:shd w:fill="FFFFFF" w:val="clear"/>
        </w:rPr>
        <w:t>under the Grant Agreement, ACM Lingang shall pay 20% of the actual shortfall amount of the tax revenue as liquidated damages. If the total tax revenue of the project fails to reach 80% of the standard agreed under the Grant Agreement within 1 month after 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76"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How We Evaluate Our Operations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present information below with respect to four measures of financial performance: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We define “shipments” of tools to include (a) a “repeat” delivery to a customer of a type of tool that the customer has previously accepted, for which we recognize revenue upon delivery, and (b) a “first-time” delivery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We define “free cash flow” as net cash provided by operating activities less purchases of property and equipment (net of proceeds from disposals).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0"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Shipments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consist of two components: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a shipment made to a customer that have previously accepted a specific type of tool (“repeat shipments”), revenues are recognized upon shipment or delivery because the Company can objectively demonstrate that the tools meet all the required customer specifications;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Shipments for the years ended December 31, 2025, 2024, and 2023 totaled $854 million, $973 million, and $596 million, respectively. Repeat tool shipments in the years ended December 31, 2025, 2024, and 2023 totaled $466 million, $505 million, and $310 million, respectively. First tool shipments for the years ended December 31, 2025, 2024, and 2023 totaled $388 million, $468 million, and $286 million, respectively.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consolidated financial statements included in this report). “First tool” shipments exclude deliveries to customers for which ACM does not have a basis to expect future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EBITDA</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1"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adjusted EBITDA does not reflect historical cash expenditures or future requirements for capital expenditures or contractual commitments;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although depreciation and amortization charges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the mainland China governmental grants, the amount and timing of which can be difficult to predict and are outside our control.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1129"/>
        <w:gridCol w:w="842"/>
        <w:gridCol w:w="84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381"/>
        <w:gridCol w:w="385"/>
        <w:gridCol w:w="597"/>
        <w:gridCol w:w="109"/>
        <w:gridCol w:w="109"/>
        <w:gridCol w:w="109"/>
        <w:gridCol w:w="236"/>
        <w:gridCol w:w="865"/>
        <w:gridCol w:w="176"/>
      </w:tblGrid>
      <w:tr>
        <w:trPr/>
        <w:tc>
          <w:tcPr>
            <w:tcW w:w="112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Absolute</w:t>
              <w:br/>
              <w:t>Change 2025 v</w:t>
              <w:br/>
              <w:t>2024</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Data:</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(21,732)</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(15,999)</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1,693.9 </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59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(59,128)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“—Key Components of Results of Operations—Mainland China Government Research and Development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2"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cash from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194"/>
        <w:gridCol w:w="840"/>
        <w:gridCol w:w="844"/>
        <w:gridCol w:w="211"/>
        <w:gridCol w:w="770"/>
        <w:gridCol w:w="109"/>
        <w:gridCol w:w="109"/>
        <w:gridCol w:w="109"/>
        <w:gridCol w:w="109"/>
        <w:gridCol w:w="211"/>
        <w:gridCol w:w="826"/>
        <w:gridCol w:w="109"/>
        <w:gridCol w:w="109"/>
        <w:gridCol w:w="109"/>
        <w:gridCol w:w="109"/>
        <w:gridCol w:w="211"/>
        <w:gridCol w:w="875"/>
        <w:gridCol w:w="109"/>
        <w:gridCol w:w="109"/>
        <w:gridCol w:w="109"/>
        <w:gridCol w:w="109"/>
        <w:gridCol w:w="331"/>
        <w:gridCol w:w="333"/>
        <w:gridCol w:w="598"/>
        <w:gridCol w:w="109"/>
        <w:gridCol w:w="109"/>
        <w:gridCol w:w="109"/>
        <w:gridCol w:w="224"/>
        <w:gridCol w:w="934"/>
        <w:gridCol w:w="168"/>
      </w:tblGrid>
      <w:tr>
        <w:trPr/>
        <w:tc>
          <w:tcPr>
            <w:tcW w:w="119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Absolute</w:t>
              <w:br/>
              <w:t>Change 2025 v</w:t>
              <w:br/>
              <w:t>2024</w:t>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 Data:</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short-term and long-term investments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5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w:t>
            </w:r>
          </w:p>
        </w:tc>
        <w:tc>
          <w:tcPr>
            <w:tcW w:w="5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(110,815)</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changes in free cash flow for the years ended December 31, 2025, 2024, and 2023 reflect the factors driving net cash used in operating activities, purchases of property and equipment and purchases of short-term and long-term investments.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Operating Income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3"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expenses would be higher and our cash holdings would be less. The following tables reflect the exclusion of stock-based compensation, or SBC, from line items comprising income from operations:</w:t>
      </w:r>
    </w:p>
    <w:tbl>
      <w:tblPr>
        <w:tblW w:w="12991" w:type="dxa"/>
        <w:jc w:val="left"/>
        <w:tblInd w:w="0" w:type="dxa"/>
        <w:tblLayout w:type="fixed"/>
        <w:tblCellMar>
          <w:top w:w="28" w:type="dxa"/>
          <w:left w:w="28" w:type="dxa"/>
          <w:bottom w:w="28" w:type="dxa"/>
          <w:right w:w="28" w:type="dxa"/>
        </w:tblCellMar>
      </w:tblPr>
      <w:tblGrid>
        <w:gridCol w:w="641"/>
        <w:gridCol w:w="234"/>
        <w:gridCol w:w="236"/>
        <w:gridCol w:w="196"/>
        <w:gridCol w:w="736"/>
        <w:gridCol w:w="109"/>
        <w:gridCol w:w="109"/>
        <w:gridCol w:w="109"/>
        <w:gridCol w:w="109"/>
        <w:gridCol w:w="196"/>
        <w:gridCol w:w="661"/>
        <w:gridCol w:w="109"/>
        <w:gridCol w:w="109"/>
        <w:gridCol w:w="109"/>
        <w:gridCol w:w="109"/>
        <w:gridCol w:w="200"/>
        <w:gridCol w:w="753"/>
        <w:gridCol w:w="113"/>
        <w:gridCol w:w="109"/>
        <w:gridCol w:w="109"/>
        <w:gridCol w:w="109"/>
        <w:gridCol w:w="196"/>
        <w:gridCol w:w="736"/>
        <w:gridCol w:w="109"/>
        <w:gridCol w:w="109"/>
        <w:gridCol w:w="109"/>
        <w:gridCol w:w="109"/>
        <w:gridCol w:w="196"/>
        <w:gridCol w:w="661"/>
        <w:gridCol w:w="109"/>
        <w:gridCol w:w="109"/>
        <w:gridCol w:w="109"/>
        <w:gridCol w:w="109"/>
        <w:gridCol w:w="200"/>
        <w:gridCol w:w="753"/>
        <w:gridCol w:w="113"/>
        <w:gridCol w:w="109"/>
        <w:gridCol w:w="109"/>
        <w:gridCol w:w="109"/>
        <w:gridCol w:w="196"/>
        <w:gridCol w:w="736"/>
        <w:gridCol w:w="109"/>
        <w:gridCol w:w="109"/>
        <w:gridCol w:w="109"/>
        <w:gridCol w:w="109"/>
        <w:gridCol w:w="196"/>
        <w:gridCol w:w="661"/>
        <w:gridCol w:w="109"/>
        <w:gridCol w:w="109"/>
        <w:gridCol w:w="109"/>
        <w:gridCol w:w="109"/>
        <w:gridCol w:w="200"/>
        <w:gridCol w:w="752"/>
        <w:gridCol w:w="159"/>
      </w:tblGrid>
      <w:tr>
        <w:trPr/>
        <w:tc>
          <w:tcPr>
            <w:tcW w:w="6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Adjusted</w:t>
              <w:b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Adjusted</w:t>
              <w:b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Actual</w:t>
              <w:b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SBC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Adjusted</w:t>
              <w:br/>
              <w:t>(Non-GAAP)</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0" w:type="dxa"/>
            <w:gridSpan w:val="5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901,309 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557,723 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(499,899)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(388,179)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401,410 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393,939 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277,621 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(41,335)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(84,250)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(28,859)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143,006 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200,574 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123,177 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operating income for the year ended December 31, 2025, as compared with the year ended December 31, 2024, decreased by $57.6 million due to a $41.6 million decrease in income from operations and a $16.0 million decrease in stock-based compensation expense. Adjusted operating income for the year ended December 31, 2024, as compared with the year ended December 31, 2023, increased by $77.4 million due to a $55.2 million increase in income from operations and a $22.2 million increase in stock-based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our operating, investing and financing activities, we are exposed to market risks such as interest rate risk and foreign currency exchange rate risk. We are also exposed to credit risk as a result of our normal business activities.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Foreign Currency Exchange Risk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consolidated financial statements are presented in U.S. dollars, which is our reporting currency, while the functional currency of our subsidiaries in mainland China is RMB, and the functional currency of our subsidiary in Korea is the Korean Won, or the KRW. Transactions in foreign currencies are initially recorded at the functional currency rate prevailing at the date of the transactions. Any difference between the initially recorded amount and the settlement amount is recorded as a gain or loss on foreign currency transaction in our consolidated statements of comprehensive income. Monetary assets and liabilities denominated in a foreign currency are translated at the functional currency rate of exchange as of the date of a consolidated balance sheet. Any difference is recorded as a gain or loss on foreign currency translation in the appropriate consolidated statement of operations. In accordance with ASC Topic 830, Foreign Currency Matters, we translate the assets and liabilities into U.S. dollars from RMB using the rate of exchange prevailing at the applicable balance sheet date and the consolidated statements of comprehensive income and cash flows are translated at an average rate during the reporting period. Adjustments resulting from the translation are recorded in stockholders’ equity as part of accumulated other comprehensive income.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majority of our business is conducted through our ACM Shanghai subsidiary that manufactures and sells our products in various global markets, and we also have operations in Korea, the Taiwan Region, the United States, and other countries. We sell the majority of our products in transactions denominated in U.S. dollars; however, we purchase raw materials, pay wages, and make payments to our supply chain in foreign currencies, primarily RMB, and also the KRW. As a result, our earnings, cash flows and cash balances are exposed to fluctuations in foreign currency exchange rates. For example, because of our significant manufacturing operations in mainland China, a weakening RMB is advantageous and a strengthening RMB is disadvantageous to our financial results. At this time, we have not established a formal hedging policy to attempt to reduce the inherent risks of potential currency fluctuations on our global operations. We report the impact of foreign exchange fluctuations in the other (expense) income, net line item of our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74"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both"/>
        <w:rPr/>
      </w:pPr>
      <w:r>
        <w:rPr>
          <w:rFonts w:ascii="Times New Roman;serif" w:hAnsi="Times New Roman;serif"/>
          <w:b w:val="false"/>
          <w:color w:val="000000"/>
          <w:sz w:val="20"/>
          <w:shd w:fill="FFFFFF" w:val="clear"/>
        </w:rPr>
        <w:t>Comprehensive Income statements. For 2025, 2024, and 2023, the effect of fluctuations of foreign currencies contributed realized gains</w:t>
      </w:r>
      <w:r>
        <w:rPr>
          <w:color w:val="000000"/>
        </w:rPr>
        <w:t xml:space="preserve"> </w:t>
      </w:r>
      <w:r>
        <w:rPr>
          <w:rFonts w:ascii="Times New Roman;serif" w:hAnsi="Times New Roman;serif"/>
          <w:b w:val="false"/>
          <w:color w:val="000000"/>
          <w:sz w:val="20"/>
        </w:rPr>
        <w:t>(losses) of $(10.9 million), $4.2 million, and $(2.0 million), respectively.</w:t>
      </w:r>
    </w:p>
    <w:p>
      <w:pPr>
        <w:pStyle w:val="TextBody"/>
        <w:bidi w:val="0"/>
        <w:spacing w:lineRule="auto" w:line="288" w:before="240" w:after="283"/>
        <w:jc w:val="both"/>
        <w:rPr/>
      </w:pPr>
      <w:r>
        <w:rPr>
          <w:rFonts w:ascii="Times New Roman;serif" w:hAnsi="Times New Roman;serif"/>
          <w:b w:val="false"/>
          <w:color w:val="000000"/>
          <w:sz w:val="20"/>
        </w:rPr>
        <w:t>The mainland China government imposes significa</w:t>
      </w:r>
      <w:r>
        <w:rPr>
          <w:rFonts w:ascii="Times New Roman;serif" w:hAnsi="Times New Roman;serif"/>
          <w:b w:val="false"/>
          <w:color w:val="000000"/>
          <w:sz w:val="20"/>
          <w:shd w:fill="FFFFFF" w:val="clear"/>
        </w:rPr>
        <w:t>nt exchange restrictions on fund transfers out of mainland China that are not related to business operations. To date these restrictions have not had a material impact on us because we have not engaged in any significant transactions that are subject to the restrictions.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Rate Risk</w:t>
      </w:r>
    </w:p>
    <w:p>
      <w:pPr>
        <w:pStyle w:val="TextBody"/>
        <w:bidi w:val="0"/>
        <w:spacing w:lineRule="auto" w:line="288" w:before="240" w:after="283"/>
        <w:jc w:val="both"/>
        <w:rPr/>
      </w:pPr>
      <w:r>
        <w:rPr>
          <w:rFonts w:ascii="Times New Roman;serif" w:hAnsi="Times New Roman;serif"/>
          <w:b w:val="false"/>
          <w:color w:val="000000"/>
          <w:sz w:val="20"/>
          <w:shd w:fill="FFFFFF" w:val="clear"/>
        </w:rPr>
        <w:t>As of December 31, 2025, 2024, and 2023, the balance of our short term bank borrowings (see note</w:t>
      </w:r>
      <w:r>
        <w:rPr>
          <w:color w:val="000000"/>
        </w:rPr>
        <w:t xml:space="preserve"> </w:t>
      </w:r>
      <w:r>
        <w:rPr>
          <w:rFonts w:ascii="Times New Roman;serif" w:hAnsi="Times New Roman;serif"/>
          <w:b w:val="false"/>
          <w:color w:val="000000"/>
          <w:sz w:val="20"/>
        </w:rPr>
        <w:t>8 in t</w:t>
      </w:r>
      <w:r>
        <w:rPr>
          <w:rFonts w:ascii="Times New Roman;serif" w:hAnsi="Times New Roman;serif"/>
          <w:b w:val="false"/>
          <w:color w:val="000000"/>
          <w:sz w:val="20"/>
          <w:shd w:fill="FFFFFF" w:val="clear"/>
        </w:rPr>
        <w:t xml:space="preserve">he Notes to Consolidated Financial Statements included herein under “Item 8. Financial Statements and Supplementary Data.”), mature at various dates within the following year and do not expose us to interest rate risk. As of December 31, 2025, the balance of our long-term borrowings (see note </w:t>
      </w:r>
      <w:r>
        <w:rPr>
          <w:rFonts w:ascii="Times New Roman;serif" w:hAnsi="Times New Roman;serif"/>
          <w:b w:val="false"/>
          <w:color w:val="000000"/>
          <w:sz w:val="20"/>
        </w:rPr>
        <w:t>10 in the Notes to Consolidated Financial Statements included herein under “Item 8. Financial Statements and Supplementary Da</w:t>
      </w:r>
      <w:r>
        <w:rPr>
          <w:rFonts w:ascii="Times New Roman;serif" w:hAnsi="Times New Roman;serif"/>
          <w:b w:val="false"/>
          <w:color w:val="000000"/>
          <w:sz w:val="20"/>
          <w:shd w:fill="FFFFFF" w:val="clear"/>
        </w:rPr>
        <w:t>ta.”) carries a fixed interest rated and we may be exposed to fair value interest rate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implemented policies and procedures to measure, manage, monitor and report risk exposures, which are reviewed regularly by management and the board of directors. We identify risk exposures and monitor and manage such risks on an ongoing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75"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20" w:type="dxa"/>
        <w:jc w:val="left"/>
        <w:tblInd w:w="0" w:type="dxa"/>
        <w:tblLayout w:type="fixed"/>
        <w:tblCellMar>
          <w:top w:w="28" w:type="dxa"/>
          <w:left w:w="28" w:type="dxa"/>
          <w:bottom w:w="28" w:type="dxa"/>
          <w:right w:w="28" w:type="dxa"/>
        </w:tblCellMar>
      </w:tblPr>
      <w:tblGrid>
        <w:gridCol w:w="1672"/>
        <w:gridCol w:w="1470"/>
        <w:gridCol w:w="2078"/>
      </w:tblGrid>
      <w:tr>
        <w:trPr/>
        <w:tc>
          <w:tcPr>
            <w:tcW w:w="167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3497"/>
        <w:gridCol w:w="3060"/>
        <w:gridCol w:w="3076"/>
        <w:gridCol w:w="167"/>
        <w:gridCol w:w="167"/>
        <w:gridCol w:w="238"/>
      </w:tblGrid>
      <w:tr>
        <w:trPr/>
        <w:tc>
          <w:tcPr>
            <w:tcW w:w="3497"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88">
              <w:r>
                <w:rPr>
                  <w:rStyle w:val="InternetLink"/>
                  <w:rFonts w:ascii="Times New Roman;serif" w:hAnsi="Times New Roman;serif"/>
                  <w:b w:val="false"/>
                  <w:strike w:val="false"/>
                  <w:dstrike w:val="false"/>
                  <w:color w:val="000000"/>
                  <w:sz w:val="20"/>
                  <w:u w:val="none"/>
                  <w:effect w:val="none"/>
                </w:rPr>
                <w:t>Consolidated Financial Statements</w:t>
              </w:r>
            </w:hyperlink>
          </w:p>
        </w:tc>
        <w:tc>
          <w:tcPr>
            <w:tcW w:w="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c1aa7d9ab94d4a4b85dd7f9bcc852041_88">
              <w:r>
                <w:rPr>
                  <w:rStyle w:val="InternetLink"/>
                  <w:rFonts w:ascii="Times New Roman;serif" w:hAnsi="Times New Roman;serif"/>
                  <w:b w:val="false"/>
                  <w:strike w:val="false"/>
                  <w:dstrike w:val="false"/>
                  <w:color w:val="000000"/>
                  <w:sz w:val="20"/>
                  <w:u w:val="none"/>
                  <w:effect w:val="none"/>
                </w:rPr>
                <w:t>71</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97">
              <w:r>
                <w:rPr>
                  <w:rStyle w:val="InternetLink"/>
                  <w:rFonts w:ascii="Times New Roman;serif" w:hAnsi="Times New Roman;serif"/>
                  <w:b w:val="false"/>
                  <w:strike w:val="false"/>
                  <w:dstrike w:val="false"/>
                  <w:color w:val="000080"/>
                  <w:sz w:val="20"/>
                  <w:u w:val="single"/>
                  <w:effect w:val="none"/>
                </w:rPr>
                <w:t>Report</w:t>
              </w:r>
            </w:hyperlink>
            <w:hyperlink w:anchor="ic1aa7d9ab94d4a4b85dd7f9bcc852041_97">
              <w:r>
                <w:rPr>
                  <w:rStyle w:val="InternetLink"/>
                  <w:rFonts w:ascii="Times New Roman;serif" w:hAnsi="Times New Roman;serif"/>
                  <w:b w:val="false"/>
                  <w:strike w:val="false"/>
                  <w:dstrike w:val="false"/>
                  <w:color w:val="000080"/>
                  <w:sz w:val="20"/>
                  <w:u w:val="single"/>
                  <w:effect w:val="none"/>
                </w:rPr>
                <w:t>s</w:t>
              </w:r>
            </w:hyperlink>
            <w:hyperlink w:anchor="ic1aa7d9ab94d4a4b85dd7f9bcc852041_97">
              <w:r>
                <w:rPr>
                  <w:rStyle w:val="InternetLink"/>
                  <w:rFonts w:ascii="Times New Roman;serif" w:hAnsi="Times New Roman;serif"/>
                  <w:b w:val="false"/>
                  <w:strike w:val="false"/>
                  <w:dstrike w:val="false"/>
                  <w:color w:val="000080"/>
                  <w:sz w:val="20"/>
                  <w:u w:val="single"/>
                  <w:effect w:val="none"/>
                </w:rPr>
                <w:t xml:space="preserve"> of Independent Registered Public Accounting Firm</w:t>
              </w:r>
            </w:hyperlink>
            <w:r>
              <w:rPr>
                <w:rFonts w:ascii="Times New Roman;serif" w:hAnsi="Times New Roman;serif"/>
                <w:b w:val="false"/>
                <w:color w:val="000000"/>
                <w:sz w:val="20"/>
              </w:rPr>
              <w:t xml:space="preserve"> (Ernst &amp; Young Hua Ming LLP, Shanghai, China, PCAOB ID#1408)</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100">
              <w:r>
                <w:rPr>
                  <w:rStyle w:val="InternetLink"/>
                  <w:rFonts w:ascii="Times New Roman;serif" w:hAnsi="Times New Roman;serif"/>
                  <w:b w:val="false"/>
                  <w:strike w:val="false"/>
                  <w:dstrike w:val="false"/>
                  <w:color w:val="000080"/>
                  <w:sz w:val="20"/>
                  <w:u w:val="single"/>
                  <w:effect w:val="none"/>
                </w:rPr>
                <w:t>Consolidated Balance Sheets as of December 31, 202</w:t>
              </w:r>
            </w:hyperlink>
            <w:hyperlink w:anchor="ic1aa7d9ab94d4a4b85dd7f9bcc852041_100">
              <w:r>
                <w:rPr>
                  <w:rStyle w:val="InternetLink"/>
                  <w:rFonts w:ascii="Times New Roman;serif" w:hAnsi="Times New Roman;serif"/>
                  <w:b w:val="false"/>
                  <w:strike w:val="false"/>
                  <w:dstrike w:val="false"/>
                  <w:color w:val="000080"/>
                  <w:sz w:val="20"/>
                  <w:u w:val="single"/>
                  <w:effect w:val="none"/>
                </w:rPr>
                <w:t>5</w:t>
              </w:r>
            </w:hyperlink>
            <w:hyperlink w:anchor="ic1aa7d9ab94d4a4b85dd7f9bcc852041_100">
              <w:r>
                <w:rPr>
                  <w:rStyle w:val="InternetLink"/>
                  <w:rFonts w:ascii="Times New Roman;serif" w:hAnsi="Times New Roman;serif"/>
                  <w:b w:val="false"/>
                  <w:strike w:val="false"/>
                  <w:dstrike w:val="false"/>
                  <w:color w:val="000080"/>
                  <w:sz w:val="20"/>
                  <w:u w:val="single"/>
                  <w:effect w:val="none"/>
                </w:rPr>
                <w:t xml:space="preserve"> and 202</w:t>
              </w:r>
            </w:hyperlink>
            <w:hyperlink w:anchor="ic1aa7d9ab94d4a4b85dd7f9bcc852041_100">
              <w:r>
                <w:rPr>
                  <w:rStyle w:val="InternetLink"/>
                  <w:rFonts w:ascii="Times New Roman;serif" w:hAnsi="Times New Roman;serif"/>
                  <w:b w:val="false"/>
                  <w:strike w:val="false"/>
                  <w:dstrike w:val="false"/>
                  <w:color w:val="000080"/>
                  <w:sz w:val="20"/>
                  <w:u w:val="single"/>
                  <w:effect w:val="none"/>
                </w:rPr>
                <w:t>4</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1aa7d9ab94d4a4b85dd7f9bcc852041_100">
              <w:r>
                <w:rPr>
                  <w:rStyle w:val="InternetLink"/>
                  <w:rFonts w:ascii="Times New Roman;serif" w:hAnsi="Times New Roman;serif"/>
                  <w:b w:val="false"/>
                  <w:strike w:val="false"/>
                  <w:dstrike w:val="false"/>
                  <w:color w:val="000000"/>
                  <w:sz w:val="20"/>
                  <w:u w:val="none"/>
                  <w:effect w:val="none"/>
                </w:rPr>
                <w:t>75</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103">
              <w:r>
                <w:rPr>
                  <w:rStyle w:val="InternetLink"/>
                  <w:rFonts w:ascii="Times New Roman;serif" w:hAnsi="Times New Roman;serif"/>
                  <w:b w:val="false"/>
                  <w:strike w:val="false"/>
                  <w:dstrike w:val="false"/>
                  <w:color w:val="000080"/>
                  <w:sz w:val="20"/>
                  <w:u w:val="single"/>
                  <w:effect w:val="none"/>
                </w:rPr>
                <w:t xml:space="preserve">Consolidated Statements of </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 xml:space="preserve">Comprehensive Income </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for the Years ended December 31, 202</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5</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 202</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4</w:t>
              </w:r>
            </w:hyperlink>
            <w:hyperlink w:anchor="ic1aa7d9ab94d4a4b85dd7f9bcc852041_103">
              <w:r>
                <w:rPr>
                  <w:rStyle w:val="InternetLink"/>
                  <w:rFonts w:ascii="Times New Roman;serif" w:hAnsi="Times New Roman;serif"/>
                  <w:b w:val="false"/>
                  <w:strike w:val="false"/>
                  <w:dstrike w:val="false"/>
                  <w:color w:val="000080"/>
                  <w:sz w:val="20"/>
                  <w:u w:val="single"/>
                  <w:effect w:val="none"/>
                </w:rPr>
                <w:t>, and 202</w:t>
              </w:r>
            </w:hyperlink>
            <w:r>
              <w:rPr>
                <w:rFonts w:ascii="Times New Roman;serif" w:hAnsi="Times New Roman;serif"/>
                <w:b w:val="false"/>
                <w:color w:val="000000"/>
                <w:sz w:val="20"/>
              </w:rPr>
              <w:t>3</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1aa7d9ab94d4a4b85dd7f9bcc852041_103">
              <w:r>
                <w:rPr>
                  <w:rStyle w:val="InternetLink"/>
                  <w:rFonts w:ascii="Times New Roman;serif" w:hAnsi="Times New Roman;serif"/>
                  <w:b w:val="false"/>
                  <w:strike w:val="false"/>
                  <w:dstrike w:val="false"/>
                  <w:color w:val="000000"/>
                  <w:sz w:val="20"/>
                  <w:u w:val="none"/>
                  <w:effect w:val="none"/>
                </w:rPr>
                <w:t>76</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106">
              <w:r>
                <w:rPr>
                  <w:rStyle w:val="InternetLink"/>
                  <w:rFonts w:ascii="Times New Roman;serif" w:hAnsi="Times New Roman;serif"/>
                  <w:b w:val="false"/>
                  <w:strike w:val="false"/>
                  <w:dstrike w:val="false"/>
                  <w:color w:val="000080"/>
                  <w:sz w:val="20"/>
                  <w:u w:val="single"/>
                  <w:effect w:val="none"/>
                </w:rPr>
                <w:t>Consolidated Statements of Changes in Stockholders’ Equity for the Years ended December 31, 202</w:t>
              </w:r>
            </w:hyperlink>
            <w:hyperlink w:anchor="ic1aa7d9ab94d4a4b85dd7f9bcc852041_106">
              <w:r>
                <w:rPr>
                  <w:rStyle w:val="InternetLink"/>
                  <w:rFonts w:ascii="Times New Roman;serif" w:hAnsi="Times New Roman;serif"/>
                  <w:b w:val="false"/>
                  <w:strike w:val="false"/>
                  <w:dstrike w:val="false"/>
                  <w:color w:val="000080"/>
                  <w:sz w:val="20"/>
                  <w:u w:val="single"/>
                  <w:effect w:val="none"/>
                </w:rPr>
                <w:t>5</w:t>
              </w:r>
            </w:hyperlink>
            <w:hyperlink w:anchor="ic1aa7d9ab94d4a4b85dd7f9bcc852041_106">
              <w:r>
                <w:rPr>
                  <w:rStyle w:val="InternetLink"/>
                  <w:rFonts w:ascii="Times New Roman;serif" w:hAnsi="Times New Roman;serif"/>
                  <w:b w:val="false"/>
                  <w:strike w:val="false"/>
                  <w:dstrike w:val="false"/>
                  <w:color w:val="000080"/>
                  <w:sz w:val="20"/>
                  <w:u w:val="single"/>
                  <w:effect w:val="none"/>
                </w:rPr>
                <w:t>, 202</w:t>
              </w:r>
            </w:hyperlink>
            <w:hyperlink w:anchor="ic1aa7d9ab94d4a4b85dd7f9bcc852041_106">
              <w:r>
                <w:rPr>
                  <w:rStyle w:val="InternetLink"/>
                  <w:rFonts w:ascii="Times New Roman;serif" w:hAnsi="Times New Roman;serif"/>
                  <w:b w:val="false"/>
                  <w:strike w:val="false"/>
                  <w:dstrike w:val="false"/>
                  <w:color w:val="000080"/>
                  <w:sz w:val="20"/>
                  <w:u w:val="single"/>
                  <w:effect w:val="none"/>
                </w:rPr>
                <w:t>4</w:t>
              </w:r>
            </w:hyperlink>
            <w:hyperlink w:anchor="ic1aa7d9ab94d4a4b85dd7f9bcc852041_106">
              <w:r>
                <w:rPr>
                  <w:rStyle w:val="InternetLink"/>
                  <w:rFonts w:ascii="Times New Roman;serif" w:hAnsi="Times New Roman;serif"/>
                  <w:b w:val="false"/>
                  <w:strike w:val="false"/>
                  <w:dstrike w:val="false"/>
                  <w:color w:val="000080"/>
                  <w:sz w:val="20"/>
                  <w:u w:val="single"/>
                  <w:effect w:val="none"/>
                </w:rPr>
                <w:t>, and 202</w:t>
              </w:r>
            </w:hyperlink>
            <w:r>
              <w:rPr>
                <w:rFonts w:ascii="Times New Roman;serif" w:hAnsi="Times New Roman;serif"/>
                <w:b w:val="false"/>
                <w:color w:val="000000"/>
                <w:sz w:val="20"/>
              </w:rPr>
              <w:t>3</w:t>
            </w:r>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1aa7d9ab94d4a4b85dd7f9bcc852041_106">
              <w:r>
                <w:rPr>
                  <w:rStyle w:val="InternetLink"/>
                  <w:rFonts w:ascii="Times New Roman;serif" w:hAnsi="Times New Roman;serif"/>
                  <w:b w:val="false"/>
                  <w:strike w:val="false"/>
                  <w:dstrike w:val="false"/>
                  <w:color w:val="000000"/>
                  <w:sz w:val="20"/>
                  <w:u w:val="none"/>
                  <w:effect w:val="none"/>
                </w:rPr>
                <w:t>77</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109">
              <w:r>
                <w:rPr>
                  <w:rStyle w:val="InternetLink"/>
                  <w:rFonts w:ascii="Times New Roman;serif" w:hAnsi="Times New Roman;serif"/>
                  <w:b w:val="false"/>
                  <w:strike w:val="false"/>
                  <w:dstrike w:val="false"/>
                  <w:color w:val="000080"/>
                  <w:sz w:val="20"/>
                  <w:u w:val="single"/>
                  <w:effect w:val="none"/>
                </w:rPr>
                <w:t>Consolidated Statements of Cash Flows for the Years ended December 31, 20</w:t>
              </w:r>
            </w:hyperlink>
            <w:hyperlink w:anchor="ic1aa7d9ab94d4a4b85dd7f9bcc852041_109">
              <w:r>
                <w:rPr>
                  <w:rStyle w:val="InternetLink"/>
                  <w:rFonts w:ascii="Times New Roman;serif" w:hAnsi="Times New Roman;serif"/>
                  <w:b w:val="false"/>
                  <w:strike w:val="false"/>
                  <w:dstrike w:val="false"/>
                  <w:color w:val="000080"/>
                  <w:sz w:val="20"/>
                  <w:u w:val="single"/>
                  <w:effect w:val="none"/>
                </w:rPr>
                <w:t>25</w:t>
              </w:r>
            </w:hyperlink>
            <w:hyperlink w:anchor="ic1aa7d9ab94d4a4b85dd7f9bcc852041_109">
              <w:r>
                <w:rPr>
                  <w:rStyle w:val="InternetLink"/>
                  <w:rFonts w:ascii="Times New Roman;serif" w:hAnsi="Times New Roman;serif"/>
                  <w:b w:val="false"/>
                  <w:strike w:val="false"/>
                  <w:dstrike w:val="false"/>
                  <w:color w:val="000080"/>
                  <w:sz w:val="20"/>
                  <w:u w:val="single"/>
                  <w:effect w:val="none"/>
                </w:rPr>
                <w:t>, 202</w:t>
              </w:r>
            </w:hyperlink>
            <w:hyperlink w:anchor="ic1aa7d9ab94d4a4b85dd7f9bcc852041_109">
              <w:r>
                <w:rPr>
                  <w:rStyle w:val="InternetLink"/>
                  <w:rFonts w:ascii="Times New Roman;serif" w:hAnsi="Times New Roman;serif"/>
                  <w:b w:val="false"/>
                  <w:strike w:val="false"/>
                  <w:dstrike w:val="false"/>
                  <w:color w:val="000080"/>
                  <w:sz w:val="20"/>
                  <w:u w:val="single"/>
                  <w:effect w:val="none"/>
                </w:rPr>
                <w:t>4</w:t>
              </w:r>
            </w:hyperlink>
            <w:hyperlink w:anchor="ic1aa7d9ab94d4a4b85dd7f9bcc852041_109">
              <w:r>
                <w:rPr>
                  <w:rStyle w:val="InternetLink"/>
                  <w:rFonts w:ascii="Times New Roman;serif" w:hAnsi="Times New Roman;serif"/>
                  <w:b w:val="false"/>
                  <w:strike w:val="false"/>
                  <w:dstrike w:val="false"/>
                  <w:color w:val="000080"/>
                  <w:sz w:val="20"/>
                  <w:u w:val="single"/>
                  <w:effect w:val="none"/>
                </w:rPr>
                <w:t>, and 202</w:t>
              </w:r>
            </w:hyperlink>
            <w:hyperlink w:anchor="ic1aa7d9ab94d4a4b85dd7f9bcc852041_109">
              <w:r>
                <w:rPr>
                  <w:rStyle w:val="InternetLink"/>
                  <w:rFonts w:ascii="Times New Roman;serif" w:hAnsi="Times New Roman;serif"/>
                  <w:b w:val="false"/>
                  <w:strike w:val="false"/>
                  <w:dstrike w:val="false"/>
                  <w:color w:val="000080"/>
                  <w:sz w:val="20"/>
                  <w:u w:val="single"/>
                  <w:effect w:val="none"/>
                </w:rPr>
                <w:t>3</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1aa7d9ab94d4a4b85dd7f9bcc852041_109">
              <w:r>
                <w:rPr>
                  <w:rStyle w:val="InternetLink"/>
                  <w:rFonts w:ascii="Times New Roman;serif" w:hAnsi="Times New Roman;serif"/>
                  <w:b w:val="false"/>
                  <w:strike w:val="false"/>
                  <w:dstrike w:val="false"/>
                  <w:color w:val="000000"/>
                  <w:sz w:val="20"/>
                  <w:u w:val="none"/>
                  <w:effect w:val="none"/>
                </w:rPr>
                <w:t>78</w:t>
              </w:r>
            </w:hyperlink>
          </w:p>
        </w:tc>
      </w:tr>
      <w:tr>
        <w:trPr/>
        <w:tc>
          <w:tcPr>
            <w:tcW w:w="9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1aa7d9ab94d4a4b85dd7f9bcc852041_112">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c1aa7d9ab94d4a4b85dd7f9bcc852041_112">
              <w:r>
                <w:rPr>
                  <w:rStyle w:val="InternetLink"/>
                  <w:rFonts w:ascii="Times New Roman;serif" w:hAnsi="Times New Roman;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76"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before="0" w:after="0"/>
        <w:jc w:val="center"/>
        <w:rPr/>
      </w:pPr>
      <w:r>
        <w:rPr/>
      </w:r>
    </w:p>
    <w:p>
      <w:pPr>
        <w:pStyle w:val="TextBody"/>
        <w:bidi w:val="0"/>
        <w:spacing w:lineRule="auto" w:line="39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lineRule="auto" w:line="39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ACM Research, Inc.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ACM Research, Inc. (the Company) as of December 31, 2025 and 2024, the related consolidated statements of comprehensive income, changes in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w:t>
      </w:r>
      <w:r>
        <w:rPr>
          <w:rFonts w:ascii="Times New Roman;serif" w:hAnsi="Times New Roman;serif"/>
          <w:b w:val="false"/>
          <w:color w:val="000000"/>
          <w:sz w:val="20"/>
          <w:shd w:fill="FFFFFF" w:val="clear"/>
        </w:rPr>
        <w:t>ted March 2, 2026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77"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10205" w:type="dxa"/>
        <w:jc w:val="left"/>
        <w:tblInd w:w="0" w:type="dxa"/>
        <w:tblLayout w:type="fixed"/>
        <w:tblCellMar>
          <w:top w:w="28" w:type="dxa"/>
          <w:left w:w="28" w:type="dxa"/>
          <w:bottom w:w="28" w:type="dxa"/>
          <w:right w:w="28" w:type="dxa"/>
        </w:tblCellMar>
      </w:tblPr>
      <w:tblGrid>
        <w:gridCol w:w="486"/>
        <w:gridCol w:w="427"/>
        <w:gridCol w:w="430"/>
        <w:gridCol w:w="773"/>
        <w:gridCol w:w="708"/>
        <w:gridCol w:w="708"/>
        <w:gridCol w:w="708"/>
        <w:gridCol w:w="708"/>
        <w:gridCol w:w="708"/>
        <w:gridCol w:w="708"/>
        <w:gridCol w:w="708"/>
        <w:gridCol w:w="708"/>
        <w:gridCol w:w="708"/>
        <w:gridCol w:w="708"/>
        <w:gridCol w:w="1009"/>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tc>
      </w:tr>
      <w:tr>
        <w:trPr/>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8862"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the Company recognizes revenue from tools at a point in time, when the Company has satisfied its performance obligation. For shipments made to a customer that has not previously accepted a specific type of tool (“first tools”), revenues are recognized when the tools are accepted by the customer. For shipments made to a customer that have previously accepted a specific type of tool (“repeat shipments”), revenues are recognized upon shipment or delivery because the Company can objectively demonstrate that the tools meet all the required customer specifications.</w:t>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Auditing the Company’s revenue recognition was challenging due to the substantial effort required to identify repeat shipments, and to evaluate the sufficiency of the audit evidence obtained.</w:t>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8862"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revenue process. For example, we tested the control over the Company’s analysis to determine whether the repeat shipments identified have been previously accepted by the same customer.</w:t>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2"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To test the Company’s identification of repeat shipments, we performed audit procedures that included, among others, direct inquiries with personnel from the finance, sales and engineering departments to understand the Company’s identification process for repeat shipments. We applied judgment to determine the nature and extent of audit procedures, and tested all sales transactions classified as repeat shipments during the year. To evaluate the accuracy of the Company’s identification of repeat shipments, we inspected customer acceptance confirmations for similar tools previously sold to the same customer and cross compared the respective contracts with those of the repeat shipments. We evaluated the sufficiency of the audit evidence gathered based on the results of the procedures performed over repeat shipments, including an assessment of the appropriateness of the nature and extent of audit effort.</w:t>
            </w:r>
          </w:p>
        </w:tc>
      </w:tr>
      <w:tr>
        <w:trPr/>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Ernst &amp; Young Hua Ming LLP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2023.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Shanghai, the People’s Republic of China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2,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78"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the Shareholders and the Board of Directors of ACM Research, Inc.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Opinion on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audited ACM Research, Inc.’s internal control over financial reporting as of December 31, 2025, based on criteria established in Internal Control—Integrated Framework issued by the Committee of Sponsoring Organizations of the Treadway Commission (2013 framework) (the COSO criteria). In our opinion, ACM Research, Inc. (the Company) maintained,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We also have audited, in accordance with the standards of the Public Company Accounting Oversight Board (United States) (PCAOB), the consolidated balance sheets of the Company as of December 31, 2025 and 2024, the related consolidated statements of comprehensive income, changes in stockholders' equity and cash flows for </w:t>
      </w:r>
      <w:r>
        <w:rPr>
          <w:rFonts w:ascii="Times New Roman;serif" w:hAnsi="Times New Roman;serif"/>
          <w:b w:val="false"/>
          <w:color w:val="000000"/>
          <w:sz w:val="20"/>
        </w:rPr>
        <w:t xml:space="preserve">each of the three years in the period ended December 31, 2025, </w:t>
      </w:r>
      <w:r>
        <w:rPr>
          <w:rFonts w:ascii="Times New Roman;serif" w:hAnsi="Times New Roman;serif"/>
          <w:b w:val="false"/>
          <w:color w:val="000000"/>
          <w:sz w:val="20"/>
          <w:shd w:fill="FFFFFF" w:val="clear"/>
        </w:rPr>
        <w:t>and the related notes and our report dated March 2, 2026 expressed an unqualified opinion thereon.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Basis for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Hua Ming LLP</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Shanghai, the People’s Republic of China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2, 2026</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79"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before="0" w:after="0"/>
        <w:jc w:val="center"/>
        <w:rPr/>
      </w:pPr>
      <w:r>
        <w:rPr/>
      </w:r>
    </w:p>
    <w:tbl>
      <w:tblPr>
        <w:tblW w:w="7133" w:type="dxa"/>
        <w:jc w:val="left"/>
        <w:tblInd w:w="0" w:type="dxa"/>
        <w:tblLayout w:type="fixed"/>
        <w:tblCellMar>
          <w:top w:w="28" w:type="dxa"/>
          <w:left w:w="28" w:type="dxa"/>
          <w:bottom w:w="28" w:type="dxa"/>
          <w:right w:w="28" w:type="dxa"/>
        </w:tblCellMar>
      </w:tblPr>
      <w:tblGrid>
        <w:gridCol w:w="1502"/>
        <w:gridCol w:w="1326"/>
        <w:gridCol w:w="1341"/>
        <w:gridCol w:w="211"/>
        <w:gridCol w:w="976"/>
        <w:gridCol w:w="109"/>
        <w:gridCol w:w="109"/>
        <w:gridCol w:w="109"/>
        <w:gridCol w:w="109"/>
        <w:gridCol w:w="211"/>
        <w:gridCol w:w="97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(note 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(note 12)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(note 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 (note 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related parties (note 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(note 6)</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 (note 19)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time deposits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 (note 11)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(note 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(note 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 accounts payable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FIN-48 payable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 and accrued expenses (note 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(note 10)</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18)</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 reserve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ACM Research, Inc.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liabilities and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0"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Consolidated Statements of Comprehensive Income </w:t>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434"/>
        <w:gridCol w:w="1748"/>
        <w:gridCol w:w="1752"/>
        <w:gridCol w:w="219"/>
        <w:gridCol w:w="862"/>
        <w:gridCol w:w="109"/>
        <w:gridCol w:w="109"/>
        <w:gridCol w:w="109"/>
        <w:gridCol w:w="109"/>
        <w:gridCol w:w="219"/>
        <w:gridCol w:w="862"/>
        <w:gridCol w:w="109"/>
        <w:gridCol w:w="109"/>
        <w:gridCol w:w="109"/>
        <w:gridCol w:w="109"/>
        <w:gridCol w:w="219"/>
        <w:gridCol w:w="862"/>
        <w:gridCol w:w="156"/>
      </w:tblGrid>
      <w:tr>
        <w:trPr/>
        <w:tc>
          <w:tcPr>
            <w:tcW w:w="243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(note 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including cost of revenue from related parties of $62,498, $39,313, and $31,240 for the years ended December 31, 2025, 2024, and 2023, respectively (note 13)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sale of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equity method investments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(note 16)</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investments,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income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ACM Research,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per common stock (note 2): </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used in computing per share amounts (note 2):</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62,212,569 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60,164,670 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67,311,893 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66,237,424 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64,870,543 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90"/>
        <w:jc w:val="both"/>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1"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 of Changes in Stockholders’ Equity</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tbl>
      <w:tblPr>
        <w:tblW w:w="12679" w:type="dxa"/>
        <w:jc w:val="left"/>
        <w:tblInd w:w="0" w:type="dxa"/>
        <w:tblLayout w:type="fixed"/>
        <w:tblCellMar>
          <w:top w:w="28" w:type="dxa"/>
          <w:left w:w="28" w:type="dxa"/>
          <w:bottom w:w="28" w:type="dxa"/>
          <w:right w:w="28" w:type="dxa"/>
        </w:tblCellMar>
      </w:tblPr>
      <w:tblGrid>
        <w:gridCol w:w="685"/>
        <w:gridCol w:w="220"/>
        <w:gridCol w:w="221"/>
        <w:gridCol w:w="254"/>
        <w:gridCol w:w="254"/>
        <w:gridCol w:w="258"/>
        <w:gridCol w:w="109"/>
        <w:gridCol w:w="109"/>
        <w:gridCol w:w="109"/>
        <w:gridCol w:w="194"/>
        <w:gridCol w:w="259"/>
        <w:gridCol w:w="118"/>
        <w:gridCol w:w="109"/>
        <w:gridCol w:w="109"/>
        <w:gridCol w:w="109"/>
        <w:gridCol w:w="229"/>
        <w:gridCol w:w="229"/>
        <w:gridCol w:w="233"/>
        <w:gridCol w:w="109"/>
        <w:gridCol w:w="109"/>
        <w:gridCol w:w="109"/>
        <w:gridCol w:w="194"/>
        <w:gridCol w:w="259"/>
        <w:gridCol w:w="118"/>
        <w:gridCol w:w="109"/>
        <w:gridCol w:w="109"/>
        <w:gridCol w:w="109"/>
        <w:gridCol w:w="181"/>
        <w:gridCol w:w="751"/>
        <w:gridCol w:w="109"/>
        <w:gridCol w:w="109"/>
        <w:gridCol w:w="109"/>
        <w:gridCol w:w="109"/>
        <w:gridCol w:w="181"/>
        <w:gridCol w:w="646"/>
        <w:gridCol w:w="109"/>
        <w:gridCol w:w="109"/>
        <w:gridCol w:w="109"/>
        <w:gridCol w:w="109"/>
        <w:gridCol w:w="181"/>
        <w:gridCol w:w="571"/>
        <w:gridCol w:w="109"/>
        <w:gridCol w:w="109"/>
        <w:gridCol w:w="109"/>
        <w:gridCol w:w="109"/>
        <w:gridCol w:w="218"/>
        <w:gridCol w:w="671"/>
        <w:gridCol w:w="132"/>
        <w:gridCol w:w="109"/>
        <w:gridCol w:w="109"/>
        <w:gridCol w:w="109"/>
        <w:gridCol w:w="206"/>
        <w:gridCol w:w="735"/>
        <w:gridCol w:w="125"/>
        <w:gridCol w:w="109"/>
        <w:gridCol w:w="109"/>
        <w:gridCol w:w="109"/>
        <w:gridCol w:w="181"/>
        <w:gridCol w:w="75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w:t>
              <w:br/>
              <w:t xml:space="preserve">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Statutory 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w:t>
              <w:br/>
              <w:t xml:space="preserve">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Equity </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2022</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54,655,286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604,089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94,426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16,881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(40,546)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137,315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812,171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Cumulative effect of change in accounting principle under ASC 326, net of tax </w:t>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Appropriation to statutory surplus reserves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1,380,886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ACM Shanghai dividends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2023</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56,036,172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629,845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156,827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30,060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(49,349)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158,772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926,162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27,642 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Appropriation to statutory surplus reserves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(14,373)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49,576 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ACM Shanghai dividends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available-for-sale investments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57,938,885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677,476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260,000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30,514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(63,372)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191,281</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1,095,906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27,815 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121,893 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4"/>
              </w:rPr>
              <w:t xml:space="preserve">Appropriation to statutory surplus reserves </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ACM Shanghai's shares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by ACM Shanghai</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232,794 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622,964 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Foreign currency translation adjustment </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Exercise of stock options </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2,651,132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Stock-based compensation </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Capital contribution by non-controlling shareholder</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ACM Shanghai dividends</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available-for-sale investments</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60,590,017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6</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1,115,504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350,428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34,164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(35,740)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466,146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1,930,509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2"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1665"/>
        <w:gridCol w:w="1216"/>
        <w:gridCol w:w="12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bookmarkStart w:id="5" w:name="ie4eabb3639ce44ccbb04da9cef6dd8aa_3-0-1-"/>
            <w:bookmarkEnd w:id="5"/>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related parties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 accounts payable (note 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FIN-48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time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Proceeds from redemption and maturity of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Refund of deposit for land use right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short-term investments (note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long-term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long-term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short-term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contribution by non-controlling shareholder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ACM Shanghai's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ACM Shanghai’s shares, net of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 in consolidated statements of cash flows: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Prepayment for purchase of long-term investment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Purchase of intangible assets included in other long-term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of prepayment for property to property, plant, and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inventories to property, plant and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other non-current assets to long term investment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Purchases of property, plant and equipment through other payable and accrued expenses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property, plant and equipment to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long-term investments through other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3"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Consolidated Financial Statements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percents,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Research, Inc. (“ACM” or “ACM Research”) and its subsidiaries (collectively with ACM, the “Company”) develop, manufacture and sell capital equipment, or tools to the global semiconductor industry.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direct or indirect interests in the following subsidiaries:</w:t>
      </w:r>
    </w:p>
    <w:tbl>
      <w:tblPr>
        <w:tblW w:w="10205" w:type="dxa"/>
        <w:jc w:val="left"/>
        <w:tblInd w:w="0" w:type="dxa"/>
        <w:tblLayout w:type="fixed"/>
        <w:tblCellMar>
          <w:top w:w="28" w:type="dxa"/>
          <w:left w:w="28" w:type="dxa"/>
          <w:bottom w:w="28" w:type="dxa"/>
          <w:right w:w="28" w:type="dxa"/>
        </w:tblCellMar>
      </w:tblPr>
      <w:tblGrid>
        <w:gridCol w:w="902"/>
        <w:gridCol w:w="504"/>
        <w:gridCol w:w="507"/>
        <w:gridCol w:w="555"/>
        <w:gridCol w:w="555"/>
        <w:gridCol w:w="556"/>
        <w:gridCol w:w="831"/>
        <w:gridCol w:w="464"/>
        <w:gridCol w:w="466"/>
        <w:gridCol w:w="318"/>
        <w:gridCol w:w="298"/>
        <w:gridCol w:w="319"/>
        <w:gridCol w:w="318"/>
        <w:gridCol w:w="298"/>
        <w:gridCol w:w="31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9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 and date of</w:t>
              <w:br/>
              <w:t>incorporation</w:t>
            </w:r>
          </w:p>
        </w:tc>
        <w:tc>
          <w:tcPr>
            <w:tcW w:w="17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Principal Activities</w:t>
            </w:r>
          </w:p>
        </w:tc>
        <w:tc>
          <w:tcPr>
            <w:tcW w:w="187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Effective interest held as at</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subsidiaries</w:t>
            </w:r>
          </w:p>
        </w:tc>
        <w:tc>
          <w:tcPr>
            <w:tcW w:w="1666" w:type="dxa"/>
            <w:gridSpan w:val="3"/>
            <w:vMerge w:val="continue"/>
            <w:tcBorders/>
            <w:tcMar>
              <w:top w:w="0" w:type="dxa"/>
              <w:left w:w="0" w:type="dxa"/>
              <w:bottom w:w="0" w:type="dxa"/>
              <w:right w:w="0" w:type="dxa"/>
            </w:tcMar>
            <w:vAlign w:val="center"/>
          </w:tcPr>
          <w:p>
            <w:pPr>
              <w:pStyle w:val="Normal"/>
              <w:bidi w:val="0"/>
              <w:jc w:val="left"/>
              <w:rPr/>
            </w:pPr>
            <w:r>
              <w:rPr/>
            </w:r>
          </w:p>
        </w:tc>
        <w:tc>
          <w:tcPr>
            <w:tcW w:w="1761" w:type="dxa"/>
            <w:gridSpan w:val="3"/>
            <w:vMerge w:val="continue"/>
            <w:tcBorders/>
            <w:tcMar>
              <w:top w:w="0" w:type="dxa"/>
              <w:left w:w="0" w:type="dxa"/>
              <w:bottom w:w="0" w:type="dxa"/>
              <w:right w:w="0" w:type="dxa"/>
            </w:tcMar>
            <w:vAlign w:val="center"/>
          </w:tcPr>
          <w:p>
            <w:pPr>
              <w:pStyle w:val="Normal"/>
              <w:bidi w:val="0"/>
              <w:jc w:val="left"/>
              <w:rPr/>
            </w:pPr>
            <w:r>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(Shanghai), Inc. ("ACM Shanghai")</w:t>
            </w:r>
          </w:p>
        </w:tc>
        <w:tc>
          <w:tcPr>
            <w:tcW w:w="1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May 2005</w:t>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operating subsidiary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(Wuxi), Inc. ("ACM Wuxi")</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July 2011</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CleanChip Technologies Limited ("CleanChip")</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 June 2017</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partner between ACM Shanghai and its customers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Korea CO., LTD. ("ACM Korea")</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 ("South Korea"), December 2017</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R&amp;D, production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ACM Research (Lingang), Inc. ("ACM Lingang") (1) </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March 2019</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of production activities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(CA), Inc. ("ACM California")</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USA, April 2019</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Procurement for ACM Shanghai</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(Cayman), Inc.</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 April 2019</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function (inactive)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(Singapore) PTE. Ltd. ("ACM Singapore")</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August 2021</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ACM Research (Beijing), Inc. ("ACM Beijing")</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Mainland China, February 2022</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Hanguk ACM CO., LTD</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 March 2022</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services, 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Yusheng Micro Semiconductor (Shanghai) Co., Ltd.</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June 2023</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ACM-Wooil Microelectronics (Shanghai) Co., Ltd.</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June 2023</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 development and production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(Chengdu), Inc. ("ACM Chengdu")</w:t>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1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Micro Semiconductor (Shanghai) Co., Ltd.</w:t>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ACM Research (Lingang) Inc. is the English name referred to by its Chinese language name, Shengwei Research (Shanghai), Inc., or ACM Shengwei in prior filings. ACM Research (Lingang), Inc. and Shengwei Research (Shanghai), Inc. refer to the same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84"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79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financial statements include the accounts of ACM (ACM Research) and its subsidiaries, including ACM Shanghai and its subsidiaries. ACM’s subsidiaries are those entities in which ACM, directly and indirectly, controls more than a majority of the voting power. All significant intercompany transactions and balances have been eliminated upon consolidation. The consolidated financial statements have been prepared in accordance with U.S. generally accepted accounting principles (“U.S. GAAP”). Certain </w:t>
      </w:r>
      <w:bookmarkStart w:id="6" w:name="ia832aa22983845c3a7e5816c291553c2_101761"/>
      <w:bookmarkEnd w:id="6"/>
      <w:r>
        <w:rPr>
          <w:rFonts w:ascii="Times New Roman;serif" w:hAnsi="Times New Roman;serif"/>
          <w:b w:val="false"/>
          <w:color w:val="000000"/>
          <w:sz w:val="20"/>
        </w:rPr>
        <w:t>reclassifications have been made to the amounts for prior years to conform to the current year’s presentation.</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U.S GAAP requires management to make estimates and assumptions that affect the reported amounts of assets and liabilities and disclosure of contingent assets and liabilities at the balance sheet date and the reported revenues and expenses during the reported period in the consolidated financial statements and accompanying notes. The Company’s significant accounting estimates and assumptions include, but are not limited to, those used for revenue recognition and deferred revenue, stock-based compensation arrangements, uncertain tax positions, warranty liabilities, allowance for credit losses and inventory provision.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cash equivalents, according to jurisdiction as of December 31, 2025 and 2024:</w:t>
      </w:r>
    </w:p>
    <w:tbl>
      <w:tblPr>
        <w:tblW w:w="4268" w:type="dxa"/>
        <w:jc w:val="left"/>
        <w:tblInd w:w="0" w:type="dxa"/>
        <w:tblLayout w:type="fixed"/>
        <w:tblCellMar>
          <w:top w:w="28" w:type="dxa"/>
          <w:left w:w="28" w:type="dxa"/>
          <w:bottom w:w="28" w:type="dxa"/>
          <w:right w:w="28" w:type="dxa"/>
        </w:tblCellMar>
      </w:tblPr>
      <w:tblGrid>
        <w:gridCol w:w="582"/>
        <w:gridCol w:w="509"/>
        <w:gridCol w:w="513"/>
        <w:gridCol w:w="211"/>
        <w:gridCol w:w="826"/>
        <w:gridCol w:w="109"/>
        <w:gridCol w:w="109"/>
        <w:gridCol w:w="109"/>
        <w:gridCol w:w="109"/>
        <w:gridCol w:w="211"/>
        <w:gridCol w:w="826"/>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Hong Kong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held in the U.S. exceeds the Federal Deposit Insurance Corporation (“FDIC”) insurance limits and is subject to risk of loss. No losses have been experienced to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amounts at the banks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mainland China restrictions and limitations on its ability to transfer funds to ACM Research or among our other subsidiaries. However, cash held by ACM’s subsidiaries in mainland China exceeds applicable insurance limits and is subject to risk of loss, although no such losses have been experienced to date.</w:t>
      </w:r>
    </w:p>
    <w:p>
      <w:pPr>
        <w:pStyle w:val="TextBody"/>
        <w:bidi w:val="0"/>
        <w:spacing w:lineRule="auto" w:line="288" w:before="240" w:after="283"/>
        <w:jc w:val="both"/>
        <w:rPr/>
      </w:pPr>
      <w:r>
        <w:rPr>
          <w:rFonts w:ascii="Times New Roman;serif" w:hAnsi="Times New Roman;serif"/>
          <w:b w:val="false"/>
          <w:color w:val="000000"/>
          <w:sz w:val="20"/>
        </w:rPr>
        <w:t xml:space="preserve">ACM California periodically procures goods and services on behalf of ACM Shanghai. For these transactions, ACM Shanghai makes cash payments to ACM California in accordance with applicable transfer pricing arrangements. For the years ended </w:t>
      </w:r>
      <w:r>
        <w:rPr>
          <w:rFonts w:ascii="Times New Roman;serif" w:hAnsi="Times New Roman;serif"/>
          <w:b w:val="false"/>
          <w:color w:val="000000"/>
          <w:sz w:val="20"/>
          <w:shd w:fill="FFFFFF" w:val="clear"/>
        </w:rPr>
        <w:t>December 31, 2025, 2024 and 2023</w:t>
      </w:r>
      <w:r>
        <w:rPr>
          <w:rFonts w:ascii="Times New Roman;serif" w:hAnsi="Times New Roman;serif"/>
          <w:b w:val="false"/>
          <w:color w:val="000000"/>
          <w:sz w:val="20"/>
        </w:rPr>
        <w:t xml:space="preserve">, cash payments from ACM Shanghai to ACM California for the procurement of goods and services were $13,683, $21,285, and $42,517, respectively. ACM California periodically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85"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borrows funds for working capital advances from its direct parent, CleanChip. ACM California repays or renews these intercompany loans in accordance with their terms.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sales through CleanChip and ACM Research, a certain amount of sales or advance payments from customer proceeds is repatriated back to ACM Shanghai in accordance with applicable transfer pricing arrangements in the ordinary course of business. ACM Research provides support for tools under warranty to certain customers located in the U.S., Europe and other regions outside of mainland China on behalf of ACM Shanghai. For these transactions, ACM Shanghai makes cash payments to ACM Research in accordance with applicable transfer pricing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held in Hong Kong exceeds the Hong Kong Deposit Insurance Corporation insurance limits, and the cash held in the United States exceeds the United States Deposit Insurance Corporation insurance limits and therefore, cash in these locations is subject to risk of loss. No losses have been experienced to date. There are no additional restrictions for the transfer of cash from bank accounts in the U.S., South Korea, Singapore and Hong Kong. </w:t>
      </w:r>
    </w:p>
    <w:p>
      <w:pPr>
        <w:pStyle w:val="TextBody"/>
        <w:bidi w:val="0"/>
        <w:spacing w:lineRule="auto" w:line="268" w:before="240" w:after="283"/>
        <w:jc w:val="both"/>
        <w:rPr/>
      </w:pPr>
      <w:r>
        <w:rPr>
          <w:rFonts w:ascii="Times New Roman;serif" w:hAnsi="Times New Roman;serif"/>
          <w:b w:val="false"/>
          <w:color w:val="000000"/>
          <w:sz w:val="20"/>
        </w:rPr>
        <w:t xml:space="preserve">For the years ended </w:t>
      </w:r>
      <w:r>
        <w:rPr>
          <w:rFonts w:ascii="Times New Roman;serif" w:hAnsi="Times New Roman;serif"/>
          <w:b w:val="false"/>
          <w:color w:val="000000"/>
          <w:sz w:val="20"/>
          <w:shd w:fill="FFFFFF" w:val="clear"/>
        </w:rPr>
        <w:t>December 31, 2025, 2024 and 2023</w:t>
      </w:r>
      <w:r>
        <w:rPr>
          <w:rFonts w:ascii="Times New Roman;serif" w:hAnsi="Times New Roman;serif"/>
          <w:b w:val="false"/>
          <w:color w:val="000000"/>
          <w:sz w:val="20"/>
        </w:rPr>
        <w:t xml:space="preserve">, after deduction of withholding tax, ACM Shanghai paid $29,238, $28,480, and $19,200 in dividends to ACM Research, respectively. </w:t>
      </w:r>
    </w:p>
    <w:p>
      <w:pPr>
        <w:pStyle w:val="TextBody"/>
        <w:bidi w:val="0"/>
        <w:spacing w:lineRule="auto" w:line="288" w:before="240" w:after="283"/>
        <w:jc w:val="both"/>
        <w:rPr/>
      </w:pPr>
      <w:r>
        <w:rPr>
          <w:rFonts w:ascii="Times New Roman;serif" w:hAnsi="Times New Roman;serif"/>
          <w:b w:val="false"/>
          <w:color w:val="000000"/>
          <w:sz w:val="20"/>
        </w:rPr>
        <w:t xml:space="preserve">For the years ended </w:t>
      </w:r>
      <w:r>
        <w:rPr>
          <w:rFonts w:ascii="Times New Roman;serif" w:hAnsi="Times New Roman;serif"/>
          <w:b w:val="false"/>
          <w:color w:val="000000"/>
          <w:sz w:val="20"/>
          <w:shd w:fill="FFFFFF" w:val="clear"/>
        </w:rPr>
        <w:t>December 31, 2025, 2024 and 2023</w:t>
      </w:r>
      <w:r>
        <w:rPr>
          <w:rFonts w:ascii="Times New Roman;serif" w:hAnsi="Times New Roman;serif"/>
          <w:b w:val="false"/>
          <w:color w:val="000000"/>
          <w:sz w:val="20"/>
        </w:rPr>
        <w:t>, with the exception of sales and services-related transfer-pricing payments in the ordinary course of business, and dividends paid by ACM Shanghai to the stockholders of ACM Shanghai (including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Time Deposits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Time deposits are denominated in Chinese Renminbi (“RMB”) and U.S. dollars and deposited with banks in mainland China with fixed terms and interest rates which cannot be withdrawn before maturity</w:t>
      </w:r>
      <w:r>
        <w:rPr>
          <w:rFonts w:ascii="Times New Roman;serif" w:hAnsi="Times New Roman;serif"/>
          <w:b w:val="false"/>
          <w:color w:val="000000"/>
          <w:sz w:val="24"/>
        </w:rPr>
        <w:t xml:space="preserve">, </w:t>
      </w:r>
      <w:r>
        <w:rPr>
          <w:rFonts w:ascii="Times New Roman;serif" w:hAnsi="Times New Roman;serif"/>
          <w:b w:val="false"/>
          <w:color w:val="000000"/>
          <w:sz w:val="20"/>
          <w:shd w:fill="FFFFFF" w:val="clear"/>
        </w:rPr>
        <w:t>and are presented as short-term deposits and long-term deposits in the consolidated financial statements based on their expected time of collection</w:t>
      </w:r>
      <w:r>
        <w:rPr>
          <w:rFonts w:ascii="Times New Roman;serif" w:hAnsi="Times New Roman;serif"/>
          <w:b w:val="false"/>
          <w:color w:val="000000"/>
          <w:sz w:val="20"/>
        </w:rPr>
        <w:t xml:space="preserve">. They are also subject to the risk control regulatory standards described above upon maturity.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December 31, 2025 the Company had time deposits denominated in RMB of 341,463 and denominated in U.S. dollars of $25,128, respectively. </w:t>
      </w: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December 31, 2024, the Company had time deposits denominated in RMB of 13,275 and denominated in U.S. Dollar of $17,277, respectively. Time deposits held as of December 31, 2025 had interest rates of 1.2% to 3.75% and mature between April and December 2026.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all of the Company's restricted cash was held by financial institutions located in mainland China, Hong Kong and South Korea, and mainly represents cash secured to guarantee delivery of tools.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amount of the allowance for credit losses, the Company assesses collectability by reviewing accounts receivable on a collective basis where similar characteristics exist and on an individual basis when the Company identifies specific customers with known disputes or collectability issues.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Inventories, Net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raw materials (including consumable supplies such as spare parts), work-in-process and finished goods. Inventories are stated at the lower of cost or net realizable value (NRV). Cost is primarily determined by using the weighted average cost method for raw materials, which make up the majority of the cost of work-in-process and finished goods. At the end of each reporting period, the Company performs a recoverability assessment. Inventory write-downs are recorded in cost of goods sold for excess, slow-moving or obsolete inventories, as well as for any inventories where the estimated NRV is less than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86"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Property, Plant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recorded at cost less accumulated depreciation. Depreciation begins when the asset is placed in service and is calculated by using the straight-line method over the estimated useful life of an asset (or, if shorter, over the lease term). Betterments or renewals are capitalized when incurred.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Estimated useful lives of assets are as follows:</w:t>
      </w:r>
    </w:p>
    <w:tbl>
      <w:tblPr>
        <w:tblW w:w="6359" w:type="dxa"/>
        <w:jc w:val="left"/>
        <w:tblInd w:w="0" w:type="dxa"/>
        <w:tblLayout w:type="fixed"/>
        <w:tblCellMar>
          <w:top w:w="28" w:type="dxa"/>
          <w:left w:w="28" w:type="dxa"/>
          <w:bottom w:w="28" w:type="dxa"/>
          <w:right w:w="28" w:type="dxa"/>
        </w:tblCellMar>
      </w:tblPr>
      <w:tblGrid>
        <w:gridCol w:w="977"/>
        <w:gridCol w:w="858"/>
        <w:gridCol w:w="864"/>
        <w:gridCol w:w="1064"/>
        <w:gridCol w:w="1064"/>
        <w:gridCol w:w="153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Buildings and plants </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lease term or estimated useful life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equipment</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5 to 10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to 5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Expenditures for maintenance and repairs that neither materially add to the value of the property nor appreciably prolong the life of the property are charged to expense as incurred. Upon retirement or sale of an asset, the cost of the asset and the related accumulated depreciation are eliminated from the accounts and any resulting gain or loss is credited or charged to income.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Impairment of Long-Lived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Long-lived assets are evaluated for impairment whenever events or changes in circumstance indicate that the carrying value of the assets may not be fully recoverable or that the useful life of the assets is shorter than the Company had originally estimated. When these events or changes occur, the Company evaluates the impairment of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Company recognizes an impairment loss based on the excess of the carrying value over the fair value.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Operating leases are included in operating lease right-of-use (“ROU”) assets and operating lease liabilities in the consolidated balance sheets.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When readily determinable, the Company uses the implicit rate at lease commencement in determining the present value of lease payments. As most of the Company’s leases do not provide an implicit rate, the Company uses its incremental borrowing rate based on the information available at commencement date in determining the present value of lease payments. The operating lease ROU asset also includes any lease payments made and excludes lease incentives. The Company’s lease terms may include options to extend or terminate the lease when it is reasonably certain that the Company will exercise that option. Operating lease expense is recognized on a straight-line basis over the lease term. The Company has also elected the practical expedient for the short-term lease exemption for contracts with lease terms of 12 months or less.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240" w:after="283"/>
        <w:jc w:val="both"/>
        <w:rPr/>
      </w:pPr>
      <w:r>
        <w:rPr>
          <w:rFonts w:ascii="Times New Roman;serif" w:hAnsi="Times New Roman;serif"/>
          <w:b w:val="false"/>
          <w:color w:val="000000"/>
          <w:sz w:val="20"/>
        </w:rPr>
        <w:t xml:space="preserve">The Company derives revenue principally from the sale of semiconductor capital equipment, or tools. Revenue from contracts with customers is recognized using the following five steps pursuant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1.Identify the contract(s) with a customer;</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2.Identify the performance obligations in the contract;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3.Determine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87"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4.Allocate the transaction price to the performance obligations in the contract;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5.Recognize revenue when (or as) the entity satisfies a performance obligation.</w:t>
      </w:r>
    </w:p>
    <w:p>
      <w:pPr>
        <w:pStyle w:val="TextBody"/>
        <w:bidi w:val="0"/>
        <w:spacing w:before="0" w:after="0"/>
        <w:ind w:left="0" w:right="0" w:hanging="180"/>
        <w:jc w:val="both"/>
        <w:rPr/>
      </w:pPr>
      <w:r>
        <w:rPr/>
      </w:r>
    </w:p>
    <w:p>
      <w:pPr>
        <w:pStyle w:val="TextBody"/>
        <w:bidi w:val="0"/>
        <w:spacing w:lineRule="auto" w:line="288" w:before="0" w:after="0"/>
        <w:jc w:val="both"/>
        <w:rPr/>
      </w:pPr>
      <w:r>
        <w:rPr>
          <w:rFonts w:ascii="Times New Roman;serif" w:hAnsi="Times New Roman;serif"/>
          <w:b w:val="false"/>
          <w:i/>
          <w:color w:val="000000"/>
          <w:sz w:val="20"/>
        </w:rPr>
        <w:t>Identify the contract(s) with a customer.</w:t>
      </w:r>
      <w:r>
        <w:rPr>
          <w:color w:val="000000"/>
        </w:rPr>
        <w:t xml:space="preserve"> </w:t>
      </w:r>
      <w:r>
        <w:rPr>
          <w:rFonts w:ascii="Times New Roman;serif" w:hAnsi="Times New Roman;serif"/>
          <w:b w:val="false"/>
          <w:color w:val="000000"/>
          <w:sz w:val="20"/>
        </w:rPr>
        <w:t>The Company generally considers approved sales contracts, provided it has approval and commitment from the customer, the rights of the parties are identified, payment terms are identified, the contract has commercial substance, and collection is probable. Collectability is assessed based on management’s assessment of the customer’s creditworthiness, historical payment experience, as well as other relevant factors.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Identify the performance obligations in the contract. </w:t>
      </w:r>
      <w:r>
        <w:rPr>
          <w:rFonts w:ascii="Times New Roman;serif" w:hAnsi="Times New Roman;serif"/>
          <w:b w:val="false"/>
          <w:color w:val="000000"/>
          <w:sz w:val="20"/>
        </w:rPr>
        <w:t>Performance obligations are accounted for separately if they are distinct. A good or service is distinct if the customer can benefit from the good or service either on its own or together with other resources that are readily available to the customer, and the good or service is distinct in the context of the contract.</w:t>
      </w:r>
      <w:r>
        <w:rPr>
          <w:color w:val="000000"/>
        </w:rPr>
        <w:t xml:space="preserve"> </w:t>
      </w:r>
      <w:r>
        <w:rPr>
          <w:rFonts w:ascii="Times New Roman;serif" w:hAnsi="Times New Roman;serif"/>
          <w:b w:val="false"/>
          <w:color w:val="000000"/>
          <w:sz w:val="20"/>
        </w:rPr>
        <w:t>The Company’s performance obligations include sales of tools and spare parts. In addition, customer contracts can contain provisions for installation, training, and other items which have been deemed immaterial in the context of the contract.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Determine the transaction price. </w:t>
      </w:r>
      <w:r>
        <w:rPr>
          <w:rFonts w:ascii="Times New Roman;serif" w:hAnsi="Times New Roman;serif"/>
          <w:b w:val="false"/>
          <w:color w:val="000000"/>
          <w:sz w:val="20"/>
        </w:rPr>
        <w:t>The transaction price for the Company’s contracts with customers generally does not include variable consideration.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Allocate the transaction price to the performance obligations in the contract. </w:t>
      </w:r>
      <w:r>
        <w:rPr>
          <w:rFonts w:ascii="Times New Roman;serif" w:hAnsi="Times New Roman;serif"/>
          <w:b w:val="false"/>
          <w:color w:val="000000"/>
          <w:sz w:val="20"/>
        </w:rPr>
        <w:t>For contracts that contain multiple performance obligations, primarily those that include multiple tools, or spare parts sold together with tools, the Company allocates the transaction price to the performance obligations on a relative standalone selling price basis. The Company recognizes contract liabilities associated with unsatisfied performance obligations, based on the stand-alone observable selling prices or using an expected cost-plus-margin approach when a stand-alone selling price is not directly observable, and recognizes revenue as the related performance obligations are satisfied.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Recognize revenue when, or as, a performance obligation is satisfied</w:t>
      </w:r>
      <w:r>
        <w:rPr>
          <w:rFonts w:ascii="Times New Roman;serif" w:hAnsi="Times New Roman;serif"/>
          <w:b w:val="false"/>
          <w:color w:val="000000"/>
          <w:sz w:val="20"/>
          <w:shd w:fill="FFFFFF" w:val="clear"/>
        </w:rPr>
        <w:t>. Th</w:t>
      </w:r>
      <w:r>
        <w:rPr>
          <w:rFonts w:ascii="Times New Roman;serif" w:hAnsi="Times New Roman;serif"/>
          <w:b w:val="false"/>
          <w:color w:val="000000"/>
          <w:sz w:val="20"/>
        </w:rPr>
        <w:t>e Company recognizes revenue from tools at a point in time, when the Company has satisfied its performance obligation. The Company’s sales arrangements do not include a general right of return. For shipments made to a customer that has not previously accepted a specific type of tool (“first tools”), revenues are recognized when the tools are accepted by the customer. For shipments made to a customer that have previously accepted a specific type of tool ("repeat shipment"), revenues are recognized upon shipment or delivery as the Company can objectively demonstrate that the tools meet all the required customer specifications. Revenue from spare parts are recognized when the customer has received the parts.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Company’s warranties provide assurance that its products will function as expected and in accordance with certain specifications. The Company’s warranties are intended to safeguard the customer against existing defects and do not provide any incremental service to the customer. They are not separate performance obligations and are accounted for under FASB ASC Topic </w:t>
      </w:r>
      <w:r>
        <w:rPr>
          <w:rFonts w:ascii="Times New Roman;serif" w:hAnsi="Times New Roman;serif"/>
          <w:b w:val="false"/>
          <w:i/>
          <w:color w:val="000000"/>
          <w:sz w:val="20"/>
        </w:rPr>
        <w:t>460, Guarantees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sales of tools, payment terms and conditions vary by customer and are based on the billing schedule established in the Company’s contracts with customers, but the contract generally requires advanced payments for a portion of the transaction price prior to delivery and payment of the remaining transaction price after the tools are accepted by customers; therefore, the Company has determined that its contracts do not include a significant financing component. For sales of spare parts, the contract generally requires payment within 30 days after receipt. Contract liabilities include advances from customers and deferred revenue. Payments received from customers prior to the transfer of control of the tools are recorded as advances from customers. Payments received from customers related to the allocated transaction price for the unsatisfied performance obligations are recorded as deferred revenue.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Cost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revenue primarily consists of direct materials, comprised principally of parts used in assembling equipment, direct labor, including salaries and other labor related expenses attributable to the Company’s manufacturing department; allocated overhead cost and inventory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88"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relating to the development of new products and processes, significant improvements to existing products to achieve new features and the development of new tools for evaluation by customers during the product demonstration process, are expensed as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bookmarkStart w:id="7" w:name="ia832aa22983845c3a7e5816c291553c2_105584"/>
      <w:bookmarkEnd w:id="7"/>
      <w:r>
        <w:rPr>
          <w:rFonts w:ascii="Times New Roman;serif" w:hAnsi="Times New Roman;serif"/>
          <w:b w:val="false"/>
          <w:color w:val="000000"/>
          <w:sz w:val="20"/>
          <w:u w:val="single"/>
        </w:rPr>
        <w:t>Warranty</w:t>
      </w:r>
    </w:p>
    <w:p>
      <w:pPr>
        <w:pStyle w:val="TextBody"/>
        <w:bidi w:val="0"/>
        <w:spacing w:lineRule="auto" w:line="288" w:before="240" w:after="283"/>
        <w:jc w:val="both"/>
        <w:rPr/>
      </w:pPr>
      <w:r>
        <w:rPr>
          <w:rFonts w:ascii="Times New Roman;serif" w:hAnsi="Times New Roman;serif"/>
          <w:b w:val="false"/>
          <w:color w:val="000000"/>
          <w:sz w:val="20"/>
          <w:shd w:fill="FFFFFF" w:val="clear"/>
        </w:rPr>
        <w:t>The Company</w:t>
      </w:r>
      <w:r>
        <w:rPr>
          <w:color w:val="000000"/>
        </w:rPr>
        <w:t xml:space="preserve"> </w:t>
      </w:r>
      <w:r>
        <w:rPr>
          <w:rFonts w:ascii="Times New Roman;serif" w:hAnsi="Times New Roman;serif"/>
          <w:b w:val="false"/>
          <w:color w:val="000000"/>
          <w:sz w:val="20"/>
        </w:rPr>
        <w:t xml:space="preserve">generally provides a standard assurance type warranty ranging from 12 to 36 months and covering replacement of its product during the warranty period. </w:t>
      </w:r>
      <w:r>
        <w:rPr>
          <w:rFonts w:ascii="Times New Roman;serif" w:hAnsi="Times New Roman;serif"/>
          <w:b w:val="false"/>
          <w:color w:val="000000"/>
          <w:sz w:val="20"/>
          <w:shd w:fill="FFFFFF" w:val="clear"/>
        </w:rPr>
        <w:t xml:space="preserve">The Company accounts for the estimated warranty costs at the time revenue is recognized. </w:t>
      </w:r>
      <w:r>
        <w:rPr>
          <w:rFonts w:ascii="Times New Roman;serif" w:hAnsi="Times New Roman;serif"/>
          <w:b w:val="false"/>
          <w:color w:val="000000"/>
          <w:sz w:val="20"/>
        </w:rPr>
        <w:t>Warranty obligations are estimated by historical failure rates and associated replacement costs. Warranty obligations are included in other payables and accrued expenses in the consolidated balance sheets. The following table shows changes in the Company’s warranty obligations for the years ended December 31, 2025, 2024 and 2023, respectively.</w:t>
      </w:r>
    </w:p>
    <w:tbl>
      <w:tblPr>
        <w:tblW w:w="6356" w:type="dxa"/>
        <w:jc w:val="left"/>
        <w:tblInd w:w="0" w:type="dxa"/>
        <w:tblLayout w:type="fixed"/>
        <w:tblCellMar>
          <w:top w:w="28" w:type="dxa"/>
          <w:left w:w="28" w:type="dxa"/>
          <w:bottom w:w="28" w:type="dxa"/>
          <w:right w:w="28" w:type="dxa"/>
        </w:tblCellMar>
      </w:tblPr>
      <w:tblGrid>
        <w:gridCol w:w="956"/>
        <w:gridCol w:w="840"/>
        <w:gridCol w:w="843"/>
        <w:gridCol w:w="211"/>
        <w:gridCol w:w="721"/>
        <w:gridCol w:w="109"/>
        <w:gridCol w:w="109"/>
        <w:gridCol w:w="109"/>
        <w:gridCol w:w="109"/>
        <w:gridCol w:w="211"/>
        <w:gridCol w:w="721"/>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Employee Benefit Expenses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 defined contribution 401(k) plan for eligible employees in the U.S. Eligible employees have the option to participate in the plan beginning on their date of hire. Under the terms of the plan, employees may make voluntary contributions as a percentage of their compensation or a flat dollar amount.</w:t>
      </w:r>
    </w:p>
    <w:p>
      <w:pPr>
        <w:pStyle w:val="TextBody"/>
        <w:bidi w:val="0"/>
        <w:spacing w:lineRule="auto" w:line="288" w:before="240" w:after="283"/>
        <w:jc w:val="both"/>
        <w:rPr/>
      </w:pPr>
      <w:r>
        <w:rPr>
          <w:rFonts w:ascii="Times New Roman;serif" w:hAnsi="Times New Roman;serif"/>
          <w:b w:val="false"/>
          <w:color w:val="000000"/>
          <w:sz w:val="20"/>
          <w:shd w:fill="FFFFFF" w:val="clear"/>
        </w:rPr>
        <w:t>All eligible employees of the Company’s mainland China subsidiaries are entitled to staff welf</w:t>
      </w:r>
      <w:r>
        <w:rPr>
          <w:rFonts w:ascii="Times New Roman;serif" w:hAnsi="Times New Roman;serif"/>
          <w:b w:val="false"/>
          <w:color w:val="000000"/>
          <w:sz w:val="20"/>
        </w:rPr>
        <w:t>are benefits including medical care, welfare grants, unemployment insurance and pension benefits through a mainland China government-mandated multi-employer defined contribution plan. The Company’s mainland China subsidiaries are required to accrue for these benefits based on certain percentages of the qualified employees’ salaries, and are required to make contributions to the plans out of the amounts accrued. The Company has no further payment obligations once the contributions have been paid. Total contributions by the Company for such employee benefits were $20,496, $15,312, and $11,618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Government Subsidies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Shanghai has received several government grants. The government subsidies of operating nature with no further conditions to be met are recorded as income in the consolidated statements of comprehensive income when received. The government grants that contain certain operating conditions, and require a government due diligence process to confirm completion, are deferred and recorded as other long-term liabilities when received, and are recognized in the consolidated statements of comprehensive income as follows: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Government subsidies relating to current expenses are recorded as reductions of those expenses in the periods in which the current expenses are recorded. For the years ended December 31, 2025, 2024 and 2023, related government subsidies recognized as reductions of relevant expenses in the consolidated statements of comprehensive income were $7,958, $462 and $1,740, respectively.</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Government subsidies related to depreciable assets are credited to income over the useful lives of the related assets for which the grant was received. As of December 31, 2025 and 2024, all of the Company’s other long-term liabilities represent unearned government subsidies.</w:t>
      </w:r>
    </w:p>
    <w:p>
      <w:pPr>
        <w:pStyle w:val="TextBody"/>
        <w:bidi w:val="0"/>
        <w:spacing w:lineRule="auto" w:line="288" w:before="0" w:after="0"/>
        <w:ind w:left="0" w:right="0" w:hanging="540"/>
        <w:jc w:val="both"/>
        <w:rPr/>
      </w:pPr>
      <w:r>
        <w:rPr>
          <w:color w:val="000000"/>
        </w:rPr>
        <w:t>•</w:t>
      </w:r>
      <w:r>
        <w:rPr>
          <w:rFonts w:ascii="Times New Roman;serif" w:hAnsi="Times New Roman;serif"/>
          <w:b w:val="false"/>
          <w:color w:val="000000"/>
          <w:sz w:val="20"/>
        </w:rPr>
        <w:t>Government subsidies related to VAT reduction are credited to income in the period received. For the years ended December 31, 2025, 2024 and 2023, related government subsidies recognized as other income in the consolidated statements of comprehensive income w</w:t>
      </w:r>
      <w:r>
        <w:rPr>
          <w:rFonts w:ascii="Times New Roman;serif" w:hAnsi="Times New Roman;serif"/>
          <w:b w:val="false"/>
          <w:color w:val="000000"/>
          <w:sz w:val="20"/>
          <w:shd w:fill="FFFFFF" w:val="clear"/>
        </w:rPr>
        <w:t>e</w:t>
      </w:r>
      <w:r>
        <w:rPr>
          <w:rFonts w:ascii="Times New Roman;serif" w:hAnsi="Times New Roman;serif"/>
          <w:b w:val="false"/>
          <w:color w:val="000000"/>
          <w:sz w:val="20"/>
        </w:rPr>
        <w:t>re $1,388, $2,018</w:t>
      </w:r>
      <w:r>
        <w:rPr>
          <w:rFonts w:ascii="Times New Roman;serif" w:hAnsi="Times New Roman;serif"/>
          <w:b w:val="false"/>
          <w:color w:val="000000"/>
          <w:sz w:val="20"/>
          <w:shd w:fill="FFFFFF" w:val="clear"/>
        </w:rPr>
        <w:t>, a</w:t>
      </w:r>
      <w:r>
        <w:rPr>
          <w:rFonts w:ascii="Times New Roman;serif" w:hAnsi="Times New Roman;serif"/>
          <w:b w:val="false"/>
          <w:color w:val="000000"/>
          <w:sz w:val="20"/>
        </w:rPr>
        <w:t>nd $533,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89"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lineRule="auto" w:line="288" w:before="240" w:after="283"/>
        <w:jc w:val="both"/>
        <w:rPr/>
      </w:pPr>
      <w:r>
        <w:rPr>
          <w:rFonts w:ascii="Times New Roman;serif" w:hAnsi="Times New Roman;serif"/>
          <w:b w:val="false"/>
          <w:color w:val="000000"/>
          <w:sz w:val="20"/>
        </w:rPr>
        <w:t xml:space="preserve">ACM and ACM Shanghai grant stock options to employees and non-employee consultants and directors and account for those stock-based awards in accordance with FASB ASC Topic 718, </w:t>
      </w:r>
      <w:r>
        <w:rPr>
          <w:rFonts w:ascii="Times New Roman;serif" w:hAnsi="Times New Roman;serif"/>
          <w:b w:val="false"/>
          <w:i/>
          <w:color w:val="000000"/>
          <w:sz w:val="20"/>
        </w:rPr>
        <w:t>Compensation – Stock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Stock-based awards granted to employees and non-employee consultants and directors are measured at the fair value of the awards on the grant date</w:t>
      </w:r>
      <w:r>
        <w:rPr>
          <w:rFonts w:ascii="Times New Roman;serif" w:hAnsi="Times New Roman;serif"/>
          <w:b w:val="false"/>
          <w:color w:val="000000"/>
          <w:sz w:val="20"/>
        </w:rPr>
        <w:t xml:space="preserve">. Forfeitures are estimated at the date of grant. </w:t>
      </w:r>
      <w:r>
        <w:rPr>
          <w:rFonts w:ascii="Times New Roman;serif" w:hAnsi="Times New Roman;serif"/>
          <w:b w:val="false"/>
          <w:color w:val="000000"/>
          <w:sz w:val="20"/>
          <w:shd w:fill="FFFFFF" w:val="clear"/>
        </w:rPr>
        <w:t xml:space="preserve">The fair value of stock options is determined using the Black-Scholes valuation model when there are service and performance conditions attached or the Monte Carlo valuation model when there is a market condition attached. Stock-based compensation is charged to the category of operating expense corresponding to the service function of the employees and non-employee consultants and directors. </w:t>
      </w:r>
      <w:r>
        <w:rPr>
          <w:rFonts w:ascii="Times New Roman;serif" w:hAnsi="Times New Roman;serif"/>
          <w:b w:val="false"/>
          <w:color w:val="000000"/>
          <w:sz w:val="20"/>
        </w:rPr>
        <w:t xml:space="preserve">For awards granted with no vesting condition, compensation expenses are recognized immediately on the grant date. The Company has elected to recognize share-based compensation on a straight-line basis for awards with graded vesting that vest based solely on a service condition. The Company uses the accelerated method for all awards granted based on service conditions and performance conditions, and only if performance conditions are considered probable to be satisfied.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0"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Net Income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is calculated as follows:</w:t>
      </w:r>
    </w:p>
    <w:tbl>
      <w:tblPr>
        <w:tblW w:w="9972" w:type="dxa"/>
        <w:jc w:val="left"/>
        <w:tblInd w:w="0" w:type="dxa"/>
        <w:tblLayout w:type="fixed"/>
        <w:tblCellMar>
          <w:top w:w="28" w:type="dxa"/>
          <w:left w:w="28" w:type="dxa"/>
          <w:bottom w:w="28" w:type="dxa"/>
          <w:right w:w="28" w:type="dxa"/>
        </w:tblCellMar>
      </w:tblPr>
      <w:tblGrid>
        <w:gridCol w:w="2147"/>
        <w:gridCol w:w="1890"/>
        <w:gridCol w:w="1903"/>
        <w:gridCol w:w="211"/>
        <w:gridCol w:w="826"/>
        <w:gridCol w:w="109"/>
        <w:gridCol w:w="109"/>
        <w:gridCol w:w="109"/>
        <w:gridCol w:w="109"/>
        <w:gridCol w:w="211"/>
        <w:gridCol w:w="826"/>
        <w:gridCol w:w="109"/>
        <w:gridCol w:w="109"/>
        <w:gridCol w:w="109"/>
        <w:gridCol w:w="109"/>
        <w:gridCol w:w="211"/>
        <w:gridCol w:w="721"/>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Dilutive effect arising from stock-based awards by ACM Shanghai</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64,184,776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62,212,569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60,164,670</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3,127,117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4,705,873</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diluted</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67,311,893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66,237,424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64,870,543</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Basic and diluted net income per share of common stock are presented in accordance with ASC topic 260, </w:t>
      </w:r>
      <w:r>
        <w:rPr>
          <w:rFonts w:ascii="Times New Roman;serif" w:hAnsi="Times New Roman;serif"/>
          <w:b w:val="false"/>
          <w:i/>
          <w:color w:val="000000"/>
          <w:sz w:val="20"/>
        </w:rPr>
        <w:t>Earnings per Share (“ASC 260”)</w:t>
      </w:r>
      <w:r>
        <w:rPr>
          <w:color w:val="000000"/>
        </w:rPr>
        <w:t xml:space="preserve"> </w:t>
      </w:r>
      <w:r>
        <w:rPr>
          <w:rFonts w:ascii="Times New Roman;serif" w:hAnsi="Times New Roman;serif"/>
          <w:b w:val="false"/>
          <w:color w:val="000000"/>
          <w:sz w:val="20"/>
        </w:rPr>
        <w:t>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did not have any participating securities outstanding during the years ended December 31, 2025, 2024, and 2023.</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ACM Research is authorized to issue Class A and Class B common stock. The two classes of common stock are substantially identical in all material respects, except for voting rights. The net income per share of common stock attributable to each class is the same under the “two-class” method. As such, the two classes of common stock have been presented on a combined basis in the consolidated statements of comprehensive income and in the above computation of net income per share of common stock.</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658,796, 1,511,335 and 3,651,337 for the years ended December 31, 2025, 2024 and 2023,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Comprehensive Income</w:t>
      </w:r>
    </w:p>
    <w:p>
      <w:pPr>
        <w:pStyle w:val="TextBody"/>
        <w:bidi w:val="0"/>
        <w:spacing w:lineRule="auto" w:line="288" w:before="240" w:after="283"/>
        <w:jc w:val="both"/>
        <w:rPr/>
      </w:pPr>
      <w:r>
        <w:rPr>
          <w:rFonts w:ascii="Times New Roman;serif" w:hAnsi="Times New Roman;serif"/>
          <w:b w:val="false"/>
          <w:color w:val="000000"/>
          <w:sz w:val="20"/>
        </w:rPr>
        <w:t xml:space="preserve">The Company applies FASB ASC Topic 220, </w:t>
      </w:r>
      <w:r>
        <w:rPr>
          <w:rFonts w:ascii="Times New Roman;serif" w:hAnsi="Times New Roman;serif"/>
          <w:b w:val="false"/>
          <w:i/>
          <w:color w:val="000000"/>
          <w:sz w:val="20"/>
        </w:rPr>
        <w:t>Comprehensive Income</w:t>
      </w:r>
      <w:r>
        <w:rPr>
          <w:rFonts w:ascii="Times New Roman;serif" w:hAnsi="Times New Roman;serif"/>
          <w:b w:val="false"/>
          <w:color w:val="000000"/>
          <w:sz w:val="20"/>
        </w:rPr>
        <w:t xml:space="preserve">, which establishes standards for the reporting and display of comprehensive income, requiring its components to be reported in a financial statement with the same prominence as other financial statements. The Company’s comprehensive income includes net income, foreign currency translation adjustments, and unrealized gain on investments in available-for-sale debt securities and is presented in the consolidated statements of comprehensive income.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Restricted Net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ability to pay dividends is primarily dependent on the Company receiving distributions of funds from its subsidiaries. Relevant statutory laws and regulations of mainland China permit payments of dividends by the Company’s mainland China subsidiaries only out of its retained earnings, if any, as determined in accordance with accounting standards and regulations of mainland China. The results of operations reflected in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1"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prepared in accordance with U.S. GAAP differ from those reflected in the statutory financial statements of the Company’s mainland China subsidiaries. The Company has not previously declared or paid any cash dividend or dividend in kind and has no plan to declare or pay any dividends in the near future.</w:t>
      </w:r>
    </w:p>
    <w:p>
      <w:pPr>
        <w:pStyle w:val="TextBody"/>
        <w:bidi w:val="0"/>
        <w:spacing w:lineRule="auto" w:line="288" w:before="240" w:after="283"/>
        <w:jc w:val="both"/>
        <w:rPr/>
      </w:pPr>
      <w:r>
        <w:rPr>
          <w:rFonts w:ascii="Times New Roman;serif" w:hAnsi="Times New Roman;serif"/>
          <w:b w:val="false"/>
          <w:color w:val="000000"/>
          <w:sz w:val="20"/>
        </w:rPr>
        <w:t xml:space="preserve">Under laws and regulations of mainland China, there are restrictions on the Company’s mainland China subsidiaries with respect to transferring certain of their net assets to the Company either in the form of dividends, loans, or advances. Amounts of net assets restricted include paid-in capital, additional paid-in capital, and statutory surplus reserve of the Company’s mainland China subsidiaries totaling $1,675,187 as of December 31, 2025. Therefore, in accordance with Rules 504 and 4.08(e)(3) of Regulation S-X, the condensed parent company only financial statements as of December 31, 2025 and 2024, and for each of the three years ended December 31, 2025 are disclosed in </w:t>
      </w:r>
      <w:r>
        <w:rPr>
          <w:rFonts w:ascii="Times New Roman;serif" w:hAnsi="Times New Roman;serif"/>
          <w:b w:val="false"/>
          <w:color w:val="000000"/>
          <w:sz w:val="20"/>
          <w:shd w:fill="FFFFFF" w:val="clear"/>
        </w:rPr>
        <w:t xml:space="preserve">note 20.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cash transfers from the Company’s mainland China subsidiaries to its subsidiaries outside of China are subject to mainland China government control of currency conversion. Shortages in the availability of foreign currency may restrict the ability of the mainland China subsidiaries to remit sufficient foreign currency to pay dividends or other payments to the Company, or otherwise satisfy their foreign currency denominated obligations.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Statutory Surplus Reserve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income of ACM’s mainland China subsidiaries is distributable to their shareholders after transfers to reserves as required under relevant mainland China laws and regulations and the subsidiaries’ Articles of Association. As stipulated by the relevant laws and regulations in mainland China, mainland China subsidiaries are required to maintain reserves, including reserves for statutory surpluses and public welfare funds that are not distributable to shareholders. A mainland China subsidiary’s appropriations to the reserves are approved by its board of directors. At least 10% of annual statutory after-tax profits, as determined in accordance with mainland China accounting standards and regulations, is required to be allocated to the statutory surplus reserves. If the cumulative total of the statutory surplus reserves reaches 50% of a mainland China subsidiary’s registered capital, any further appropriation is optional.</w:t>
      </w:r>
    </w:p>
    <w:p>
      <w:pPr>
        <w:pStyle w:val="TextBody"/>
        <w:bidi w:val="0"/>
        <w:spacing w:lineRule="auto" w:line="288" w:before="240" w:after="283"/>
        <w:jc w:val="both"/>
        <w:rPr/>
      </w:pPr>
      <w:r>
        <w:rPr>
          <w:rFonts w:ascii="Times New Roman;serif" w:hAnsi="Times New Roman;serif"/>
          <w:b w:val="false"/>
          <w:color w:val="000000"/>
          <w:sz w:val="20"/>
        </w:rPr>
        <w:t>Statutory surplus reserves may be used to offset accumulated losses or to increase the registered capital of a mainland China subsidiary, subject to approval from the relevant mainland China authorities, and are not available for dividend distribution to the subsidiary’s shareholders. The mainland China subsidiaries are prohibited from distributing dividends unless any losses from prior years have been offset. Except for offsetting prior years’ losses, however, statutory surplus reserves must be maintained at a minimum of 25% of share capital after such usage. ACM Shanghai estimated a statutory surplus reserve of $34,164 and $30,514 based on an accumulated profit as of December 31, 2025 and 2024, re</w:t>
      </w:r>
      <w:r>
        <w:rPr>
          <w:rFonts w:ascii="Times New Roman;serif" w:hAnsi="Times New Roman;serif"/>
          <w:b w:val="false"/>
          <w:color w:val="000000"/>
          <w:sz w:val="20"/>
          <w:shd w:fill="FFFFFF" w:val="clear"/>
        </w:rPr>
        <w:t xml:space="preserve">spectively, which is included in the statutory </w:t>
      </w:r>
      <w:r>
        <w:rPr>
          <w:rFonts w:ascii="Times New Roman;serif" w:hAnsi="Times New Roman;serif"/>
          <w:b w:val="false"/>
          <w:color w:val="000000"/>
          <w:sz w:val="20"/>
        </w:rPr>
        <w:t>surplus reserve in the consolidated balance sheets.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Noncontrolling Interests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noncontrolling interest is recognized to reflect the portion of subsidiaries’ equity which is not attributable, directly or indirectly, to ACM Research. Consolidated net income on the consolidated statements of comprehensive income includes the net income attributable to noncontrolling interests. The cumulative results of operations attributable to noncontrolling interests are recorded as “noncontrolling interests” in the Company’s consolidated balance sheets.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periodically invests in equity and debt securities, and maintains an investment portfolio of various holdings, types, and maturities. For equity investments that do not have a readily determinable fair value, the Company classifies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The equity method is utilized when the equity investments are common stock or in substance common stock, and the Company does not have the ability to control the investee but is deemed to have the ability to exercise significant influence over the investee’s operating or financial policies. For equity investments that have a readily determinable fair value, the Company classifies them as short-term 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2"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changes in fair market value, as applicable, are recognized as Other (expense) income, net in the </w:t>
      </w:r>
      <w:r>
        <w:rPr>
          <w:rFonts w:ascii="Times New Roman;serif" w:hAnsi="Times New Roman;serif"/>
          <w:b w:val="false"/>
          <w:color w:val="000000"/>
          <w:sz w:val="20"/>
        </w:rPr>
        <w:t xml:space="preserve">consolidated statements of comprehensive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nil, nil, and $1,415 (upward adjustment) resulting from observable price changes in orderly transactions for an identical or similar investment of the same issuer for its long-term investments accounted for using measurement alternatives on the consolidated statements of comprehensive income for the years ended December 31, 2025, 2024, and 2023, respectively. The Company did not recognize any unrealized losses (downward adjustments) resulting from observable price changes in orderly transactions for an identical or similar investment of the same issuer for its long-term investments accounted for using measurement alternatives during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investments in debt securities have been classified and accounted for as available-for-sale. The Company classifies its debt securities as either short-term or long-term based on each instrument’s underlying contractual maturity date. Unrealized gains and losses on debt securities classified as available-for-sale are recognized in accumulated other comprehensive income in the </w:t>
      </w:r>
      <w:r>
        <w:rPr>
          <w:rFonts w:ascii="Times New Roman;serif" w:hAnsi="Times New Roman;serif"/>
          <w:b w:val="false"/>
          <w:color w:val="000000"/>
          <w:sz w:val="20"/>
        </w:rPr>
        <w:t>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Company’s financial instruments primarily include its cash, cash equivalents, restricted cash, short term and long term time deposits, short-term and long-term investments, other receivables, accounts receivable, accounts payable, and short-term and long-term borrowings. The estimated fair value of cash and cash equivalents, restricted cash, short-term time deposits, accounts receivable, other receivables, accounts payable, and short-term borrowings approximate their respective carrying value due to the short period of time to their mat</w:t>
      </w:r>
      <w:r>
        <w:rPr>
          <w:rFonts w:ascii="Times New Roman;serif" w:hAnsi="Times New Roman;serif"/>
          <w:b w:val="false"/>
          <w:color w:val="000000"/>
          <w:sz w:val="20"/>
        </w:rPr>
        <w:t>urities. The carrying amounts of long-term time deposits approximate their fair values as the related interest rates currently offered by financial institutions for similar debt instruments of comparable maturities.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measurement in its entirety, requires judgment and considers factors specific to the investment. The inputs or methodology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used for valuing financial instruments are not necessarily an indication of the risks associated with investment in those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3"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pPr>
      <w:r>
        <w:rPr>
          <w:rFonts w:ascii="Times New Roman;serif" w:hAnsi="Times New Roman;serif"/>
          <w:b w:val="false"/>
          <w:color w:val="000000"/>
          <w:sz w:val="20"/>
        </w:rPr>
        <w:t>Assets and liabilities measured at fair value</w:t>
      </w:r>
      <w:r>
        <w:rPr>
          <w:color w:val="000000"/>
          <w:shd w:fill="FFFFFF" w:val="clear"/>
        </w:rPr>
        <w:t xml:space="preserve"> </w:t>
      </w:r>
      <w:r>
        <w:rPr>
          <w:rFonts w:ascii="Times New Roman;serif" w:hAnsi="Times New Roman;serif"/>
          <w:b w:val="false"/>
          <w:color w:val="000000"/>
          <w:sz w:val="20"/>
          <w:shd w:fill="FFFFFF" w:val="clear"/>
        </w:rPr>
        <w:t xml:space="preserve">on a recurring basis: </w:t>
      </w:r>
    </w:p>
    <w:tbl>
      <w:tblPr>
        <w:tblW w:w="9019" w:type="dxa"/>
        <w:jc w:val="left"/>
        <w:tblInd w:w="0" w:type="dxa"/>
        <w:tblLayout w:type="fixed"/>
        <w:tblCellMar>
          <w:top w:w="28" w:type="dxa"/>
          <w:left w:w="28" w:type="dxa"/>
          <w:bottom w:w="28" w:type="dxa"/>
          <w:right w:w="28" w:type="dxa"/>
        </w:tblCellMar>
      </w:tblPr>
      <w:tblGrid>
        <w:gridCol w:w="1161"/>
        <w:gridCol w:w="1022"/>
        <w:gridCol w:w="1026"/>
        <w:gridCol w:w="326"/>
        <w:gridCol w:w="1276"/>
        <w:gridCol w:w="168"/>
        <w:gridCol w:w="414"/>
        <w:gridCol w:w="796"/>
        <w:gridCol w:w="215"/>
        <w:gridCol w:w="320"/>
        <w:gridCol w:w="937"/>
        <w:gridCol w:w="167"/>
        <w:gridCol w:w="211"/>
        <w:gridCol w:w="82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w:t>
              <w:br/>
              <w:t>Liabilities (Level 1)</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 (Level 2)</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 (Level 3)</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120,151 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did not have any assets and liabilities measured at fair value on a non-recurring basis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 xml:space="preserve">December 31, 2025 and 2024. </w:t>
      </w: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10 for fair </w:t>
      </w:r>
      <w:r>
        <w:rPr>
          <w:rFonts w:ascii="Times New Roman;serif" w:hAnsi="Times New Roman;serif"/>
          <w:b w:val="false"/>
          <w:color w:val="000000"/>
          <w:sz w:val="20"/>
          <w:shd w:fill="FFFFFF" w:val="clear"/>
        </w:rPr>
        <w:t xml:space="preserve">value information related to the Company’s outstanding long-term borrowings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Operating and Financial Risks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Concentrations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and cash equivalents, restricted cash, time deposits, and accounts receivable. The Company deposits and invests its cash with financial institutions that management believes are creditworthy.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potentially subject to concentrations of credit risks in its revenue and accounts receivable.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u w:val="single"/>
        </w:rPr>
        <w:t>•</w:t>
      </w:r>
      <w:r>
        <w:rPr>
          <w:rFonts w:ascii="Times New Roman;serif" w:hAnsi="Times New Roman;serif"/>
          <w:b w:val="false"/>
          <w:color w:val="000000"/>
          <w:sz w:val="20"/>
          <w:u w:val="single"/>
        </w:rPr>
        <w:t>Revenue concentration.</w:t>
      </w:r>
      <w:r>
        <w:rPr>
          <w:color w:val="000000"/>
        </w:rPr>
        <w:t xml:space="preserve"> </w:t>
      </w:r>
      <w:r>
        <w:rPr>
          <w:rFonts w:ascii="Times New Roman;serif" w:hAnsi="Times New Roman;serif"/>
          <w:b w:val="false"/>
          <w:color w:val="000000"/>
          <w:sz w:val="20"/>
        </w:rPr>
        <w:t>During 2025, four customers accounted for approximately 17%, 14%, 12% and 10% of the Company's revenue, respectively, and in aggregate 52%. During 2024, four customers accounted for approximately 15%, 14%, 12%, and 12% of the Company's revenue, respectively, and in aggregate 52%. During 2023, three customers accounted for approximately 17%, 15% and 13% of the Company's revenue, respectively, and in aggregate 46%.</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u w:val="single"/>
        </w:rPr>
        <w:t>Accounts receivable concentration</w:t>
      </w:r>
      <w:r>
        <w:rPr>
          <w:rFonts w:ascii="Times New Roman;serif" w:hAnsi="Times New Roman;serif"/>
          <w:b w:val="false"/>
          <w:color w:val="000000"/>
          <w:sz w:val="20"/>
        </w:rPr>
        <w:t>. As of December 31, 2025 and 2024, four customers accounted for 62% and four customers accounted for 57%, respectively, of the Company’s accounts receivables. The Company believes that the accounts receivable balances due from these customers do not represent a significant credit risk based on past collection experience.</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balance of the Company’s short term bank borrowings (note 8) were scheduled to mature at various dates within the following year and thus exposed the Company to modest interest rate risk. The Company is exposed to interest rate risk related to its long-term borrowings (note 10), and as certain long-term borrowings carry a fixed interest rate, the Company may be exposed to the fair value interest rate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94"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89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Liquidity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working capital at December 31, 2025 and 2024 was sufficient to meet its then-current requirements. The Company may, however, require additional cash due to changing business conditions or other future developments, including any investments or acquisitions the Company decides to pursue. In the long run, the Company intends to rely primarily on cash flows from operations and additional borrowings from financial institutions in order to meet its cash needs. If those sources are insufficient to meet cash requirements, the Company may seek to issue additional debt or equity.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Country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significant investments in mainland China. The operating results of the Company may be adversely affected either directly or indirectly by changes in the political and social conditions in mainland China, by changes in mainland China government policies with respect to laws and regulations, anti-inflationary measures, currency conversion and remittance abroad, rates and methods of taxation, and export controls enacted by the U.S., Japan, and the Netherlands to restrict the sale of certain technology to mainland China, among other things.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Risk and Translation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are presented in U.S. dollars, which is the Company’s reporting currency, while the functional currency of ACM’s subsidiaries in mainland China and South Korea are the RMB, and the Korean Won, respectively. Changes in the relative values of the U.S. dollar, RMB,and Korean Won affect the Company’s reported levels of revenues and profitability as the results of its operations are translated from RMB and Korean Won into U.S. dollars for reporting purposes. Since the Company has not engaged in any hedging activities, it cannot predict the impact of future exchange rate fluctuations on the results of its operations, and it may experience economic losses as a result of foreign currency exchange rate fluctuations.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of ACM’s subsidiaries involving foreign currencies are recorded in functional currency according to the rate of exchange prevailing on the date when the transaction occurs. The ending balances of the Company’s foreign currency accounts are converted into functional currency using the rate of exchange prevailing at the end of each reporting period. Net gains and losses resulting from foreign exchange fluctuations as marked to market at year-end are included in the consolidated statements of comprehensive income. </w:t>
      </w:r>
    </w:p>
    <w:p>
      <w:pPr>
        <w:pStyle w:val="TextBody"/>
        <w:bidi w:val="0"/>
        <w:spacing w:lineRule="auto" w:line="288" w:before="240" w:after="283"/>
        <w:jc w:val="both"/>
        <w:rPr/>
      </w:pPr>
      <w:r>
        <w:rPr>
          <w:rFonts w:ascii="Times New Roman;serif" w:hAnsi="Times New Roman;serif"/>
          <w:b w:val="false"/>
          <w:color w:val="000000"/>
          <w:sz w:val="20"/>
        </w:rPr>
        <w:t xml:space="preserve">In accordance with FASB ASC Topic 830, </w:t>
      </w:r>
      <w:r>
        <w:rPr>
          <w:rFonts w:ascii="Times New Roman;serif" w:hAnsi="Times New Roman;serif"/>
          <w:b w:val="false"/>
          <w:i/>
          <w:color w:val="000000"/>
          <w:sz w:val="20"/>
        </w:rPr>
        <w:t>Foreign Currency Matters</w:t>
      </w:r>
      <w:r>
        <w:rPr>
          <w:rFonts w:ascii="Times New Roman;serif" w:hAnsi="Times New Roman;serif"/>
          <w:b w:val="false"/>
          <w:color w:val="000000"/>
          <w:sz w:val="20"/>
        </w:rPr>
        <w:t xml:space="preserve">, the Company translates assets and liabilities into U.S. dollars from RMB or Korean Won using the rate of exchange prevailing at the applicable balance sheet date and the consolidated statements of comprehensive income and consolidated statements of cash flows are translated at an average rate during the reporting period. Adjustments resulting from the translation are recorded in stockholders’ equity as part of accumulated other comprehensive income.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Improvements to Income Tax Disclosures (Topic 740)</w:t>
      </w:r>
      <w:r>
        <w:rPr>
          <w:rFonts w:ascii="Times New Roman;serif" w:hAnsi="Times New Roman;serif"/>
          <w:b w:val="false"/>
          <w:color w:val="000000"/>
          <w:sz w:val="20"/>
        </w:rPr>
        <w:t>. The ASU requires disaggregated information about a reporting entity’s effective tax rate reconciliation as well as additional information on income taxes paid. The Company adopted ASU No. 2023-09 as of December 31, 2025 on a prospective basis. The adoption did not have a material impact on the Company’s financial position, results of operations and cash flows.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lineRule="auto" w:line="268" w:before="240" w:after="283"/>
        <w:jc w:val="both"/>
        <w:rPr/>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which provides entities with a practical expedient that assumes that current conditions as of the balance sheet date do not change for the remaining life of the asset in developing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95"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supportable forecasts as part of estimating expected credit losses. ASU 2025-05 is effective for public companies for annual periods beginning after December 15, 2025. Early adoption is permitted. The Company is currently in the process of evaluating the disclosure impact.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2025-10 </w:t>
      </w:r>
      <w:r>
        <w:rPr>
          <w:color w:val="000000"/>
        </w:rPr>
        <w:t xml:space="preserve">–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which establishes guidance on the recognition, measurement, and presentation of government grants received by business entities. The new guidance leverages the principles in the accounting framework for government assistance in International Accounting Standard 20 "Accounting for Government Grants and Disclosure of Government Assistance". This ASU is effective for interim reporting periods within annual reporting periods beginning after December 15, 2028 and interim reporting periods within those annual periods.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REVENUE FROM CONTRACTS WITH CUSTOMERS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9912" w:type="dxa"/>
        <w:jc w:val="center"/>
        <w:tblInd w:w="0" w:type="dxa"/>
        <w:tblLayout w:type="fixed"/>
        <w:tblCellMar>
          <w:top w:w="28" w:type="dxa"/>
          <w:left w:w="28" w:type="dxa"/>
          <w:bottom w:w="28" w:type="dxa"/>
          <w:right w:w="28" w:type="dxa"/>
        </w:tblCellMar>
      </w:tblPr>
      <w:tblGrid>
        <w:gridCol w:w="2092"/>
        <w:gridCol w:w="1837"/>
        <w:gridCol w:w="1846"/>
        <w:gridCol w:w="211"/>
        <w:gridCol w:w="826"/>
        <w:gridCol w:w="109"/>
        <w:gridCol w:w="109"/>
        <w:gridCol w:w="109"/>
        <w:gridCol w:w="109"/>
        <w:gridCol w:w="211"/>
        <w:gridCol w:w="826"/>
        <w:gridCol w:w="109"/>
        <w:gridCol w:w="109"/>
        <w:gridCol w:w="109"/>
        <w:gridCol w:w="109"/>
        <w:gridCol w:w="211"/>
        <w:gridCol w:w="826"/>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557,723 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substantially all revenue was derived from customers in mainland China, and therefore, no geographical segment information is presented.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balances were as follows as of:</w:t>
      </w:r>
    </w:p>
    <w:tbl>
      <w:tblPr>
        <w:tblW w:w="4854" w:type="dxa"/>
        <w:jc w:val="left"/>
        <w:tblInd w:w="0" w:type="dxa"/>
        <w:tblLayout w:type="fixed"/>
        <w:tblCellMar>
          <w:top w:w="28" w:type="dxa"/>
          <w:left w:w="28" w:type="dxa"/>
          <w:bottom w:w="28" w:type="dxa"/>
          <w:right w:w="28" w:type="dxa"/>
        </w:tblCellMar>
      </w:tblPr>
      <w:tblGrid>
        <w:gridCol w:w="793"/>
        <w:gridCol w:w="696"/>
        <w:gridCol w:w="701"/>
        <w:gridCol w:w="211"/>
        <w:gridCol w:w="826"/>
        <w:gridCol w:w="109"/>
        <w:gridCol w:w="109"/>
        <w:gridCol w:w="109"/>
        <w:gridCol w:w="109"/>
        <w:gridCol w:w="211"/>
        <w:gridCol w:w="82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advances from customers decreased by $56,140 primarily due to more revenue recognized upon acceptance of first tools by customers than the payments made by customers for first tools.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are revenues recognized from amounts included in contract liabilities at the beginning of the year:</w:t>
      </w:r>
    </w:p>
    <w:tbl>
      <w:tblPr>
        <w:tblW w:w="10205" w:type="dxa"/>
        <w:jc w:val="left"/>
        <w:tblInd w:w="0" w:type="dxa"/>
        <w:tblLayout w:type="fixed"/>
        <w:tblCellMar>
          <w:top w:w="28" w:type="dxa"/>
          <w:left w:w="28" w:type="dxa"/>
          <w:bottom w:w="28" w:type="dxa"/>
          <w:right w:w="28" w:type="dxa"/>
        </w:tblCellMar>
      </w:tblPr>
      <w:tblGrid>
        <w:gridCol w:w="1940"/>
        <w:gridCol w:w="1704"/>
        <w:gridCol w:w="1709"/>
        <w:gridCol w:w="211"/>
        <w:gridCol w:w="826"/>
        <w:gridCol w:w="109"/>
        <w:gridCol w:w="211"/>
        <w:gridCol w:w="826"/>
        <w:gridCol w:w="109"/>
        <w:gridCol w:w="211"/>
        <w:gridCol w:w="826"/>
        <w:gridCol w:w="109"/>
        <w:gridCol w:w="109"/>
        <w:gridCol w:w="109"/>
        <w:gridCol w:w="109"/>
        <w:gridCol w:w="211"/>
        <w:gridCol w:w="721"/>
        <w:gridCol w:w="155"/>
      </w:tblGrid>
      <w:tr>
        <w:trPr/>
        <w:tc>
          <w:tcPr>
            <w:tcW w:w="194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5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97,370 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96"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 ACCOUNTS RECEIVABLE,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5423"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1565"/>
        <w:gridCol w:w="1373"/>
        <w:gridCol w:w="1382"/>
        <w:gridCol w:w="211"/>
        <w:gridCol w:w="796"/>
        <w:gridCol w:w="109"/>
        <w:gridCol w:w="109"/>
        <w:gridCol w:w="109"/>
        <w:gridCol w:w="109"/>
        <w:gridCol w:w="211"/>
        <w:gridCol w:w="79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the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INVENTORIES,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4523" w:type="dxa"/>
        <w:jc w:val="left"/>
        <w:tblInd w:w="0" w:type="dxa"/>
        <w:tblLayout w:type="fixed"/>
        <w:tblCellMar>
          <w:top w:w="28" w:type="dxa"/>
          <w:left w:w="28" w:type="dxa"/>
          <w:bottom w:w="28" w:type="dxa"/>
          <w:right w:w="28" w:type="dxa"/>
        </w:tblCellMar>
      </w:tblPr>
      <w:tblGrid>
        <w:gridCol w:w="673"/>
        <w:gridCol w:w="590"/>
        <w:gridCol w:w="596"/>
        <w:gridCol w:w="211"/>
        <w:gridCol w:w="826"/>
        <w:gridCol w:w="109"/>
        <w:gridCol w:w="109"/>
        <w:gridCol w:w="109"/>
        <w:gridCol w:w="109"/>
        <w:gridCol w:w="211"/>
        <w:gridCol w:w="82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value of finished goods comprised of first-tools located at customer sites for which customers are contractually obligated to take ownership upon acceptance, was $145,506 and $206,018,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year over year net increase in raw materials was based on the Company's production plans and strategic purchases to mitigate supply chain risk and shipment.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the provisions for inventory recognized in cost of revenue were $15,485, $2,796, and $575,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97"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 PROPERTY, PLANT AND EQUIPMENT,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tbl>
      <w:tblPr>
        <w:tblW w:w="5395" w:type="dxa"/>
        <w:jc w:val="left"/>
        <w:tblInd w:w="0" w:type="dxa"/>
        <w:tblLayout w:type="fixed"/>
        <w:tblCellMar>
          <w:top w:w="28" w:type="dxa"/>
          <w:left w:w="28" w:type="dxa"/>
          <w:bottom w:w="28" w:type="dxa"/>
          <w:right w:w="28" w:type="dxa"/>
        </w:tblCellMar>
      </w:tblPr>
      <w:tblGrid>
        <w:gridCol w:w="1065"/>
        <w:gridCol w:w="934"/>
        <w:gridCol w:w="942"/>
        <w:gridCol w:w="196"/>
        <w:gridCol w:w="736"/>
        <w:gridCol w:w="109"/>
        <w:gridCol w:w="109"/>
        <w:gridCol w:w="109"/>
        <w:gridCol w:w="109"/>
        <w:gridCol w:w="196"/>
        <w:gridCol w:w="73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plants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Total accumulated depreciation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314,830 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269,272 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Depreciation expense </w:t>
      </w:r>
      <w:r>
        <w:rPr>
          <w:rFonts w:ascii="Times New Roman;serif" w:hAnsi="Times New Roman;serif"/>
          <w:b w:val="false"/>
          <w:color w:val="000000"/>
          <w:sz w:val="20"/>
          <w:shd w:fill="FFFFFF" w:val="clear"/>
        </w:rPr>
        <w:t xml:space="preserve">was $14,405, </w:t>
      </w:r>
      <w:r>
        <w:rPr>
          <w:rFonts w:ascii="Times New Roman;serif" w:hAnsi="Times New Roman;serif"/>
          <w:b w:val="false"/>
          <w:color w:val="000000"/>
          <w:sz w:val="20"/>
        </w:rPr>
        <w:t xml:space="preserve">$6,573, and $6,912 for the years ended December 31, 2025, 2024, and 2023, respectively.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As of December 31, 2025,</w:t>
      </w:r>
      <w:r>
        <w:rPr>
          <w:color w:val="000000"/>
        </w:rPr>
        <w:t xml:space="preserve"> </w:t>
      </w:r>
      <w:r>
        <w:rPr>
          <w:rFonts w:ascii="Times New Roman;serif" w:hAnsi="Times New Roman;serif"/>
          <w:b w:val="false"/>
          <w:color w:val="000000"/>
          <w:sz w:val="20"/>
        </w:rPr>
        <w:t xml:space="preserve">building and plants includes $35,539 for the Lingang housing property which is pledged as security for loans from the China Merchants Bank (note 10).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Construction in progress primarily reflects costs incurred for certain facilities located in ACM Shanghai's Lingang Development and Production Center.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OTHER LONG-TERM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long-term assets consisted of the following:</w:t>
      </w:r>
    </w:p>
    <w:tbl>
      <w:tblPr>
        <w:tblW w:w="5604" w:type="dxa"/>
        <w:jc w:val="left"/>
        <w:tblInd w:w="0" w:type="dxa"/>
        <w:tblLayout w:type="fixed"/>
        <w:tblCellMar>
          <w:top w:w="28" w:type="dxa"/>
          <w:left w:w="28" w:type="dxa"/>
          <w:bottom w:w="28" w:type="dxa"/>
          <w:right w:w="28" w:type="dxa"/>
        </w:tblCellMar>
      </w:tblPr>
      <w:tblGrid>
        <w:gridCol w:w="1177"/>
        <w:gridCol w:w="1036"/>
        <w:gridCol w:w="1042"/>
        <w:gridCol w:w="211"/>
        <w:gridCol w:w="616"/>
        <w:gridCol w:w="109"/>
        <w:gridCol w:w="109"/>
        <w:gridCol w:w="109"/>
        <w:gridCol w:w="109"/>
        <w:gridCol w:w="211"/>
        <w:gridCol w:w="72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for investment in 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other long-term assets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SHORT-TERM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borrowings as of December 31, 2025 and 2024 amounted to $74,041 and $32,814, respectively, which consisted of RMB denominated borrowings made by the Company’s subsidiaries from financial institutions in mainland China and were repayable within one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weighted average interest rates for the outstanding borrowings were 2.48% and 2.82%,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was in compliance with the applicable covenants. The Company's short-term borrowings of $14,239 from Bank of China have certain covenants which require ACM Shanghai’s year-end outstanding interest-bearing debt not to exceed five times of its annual EBITDA, and to comply with other non-financial covenants; otherwise, Bank of China has the right to suspend the facility, or request ACM Shanghai to accelerate repayment or provide credit enhancement.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98"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OTHER PAYABLES AND ACCRUED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other payables and accrued expenses consisted of the following:</w:t>
      </w:r>
    </w:p>
    <w:tbl>
      <w:tblPr>
        <w:tblW w:w="5723" w:type="dxa"/>
        <w:jc w:val="left"/>
        <w:tblInd w:w="0" w:type="dxa"/>
        <w:tblLayout w:type="fixed"/>
        <w:tblCellMar>
          <w:top w:w="28" w:type="dxa"/>
          <w:left w:w="28" w:type="dxa"/>
          <w:bottom w:w="28" w:type="dxa"/>
          <w:right w:w="28" w:type="dxa"/>
        </w:tblCellMar>
      </w:tblPr>
      <w:tblGrid>
        <w:gridCol w:w="1108"/>
        <w:gridCol w:w="974"/>
        <w:gridCol w:w="977"/>
        <w:gridCol w:w="211"/>
        <w:gridCol w:w="826"/>
        <w:gridCol w:w="109"/>
        <w:gridCol w:w="109"/>
        <w:gridCol w:w="109"/>
        <w:gridCol w:w="109"/>
        <w:gridCol w:w="211"/>
        <w:gridCol w:w="826"/>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commissions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warranty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payroll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machine sales fees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Lingang construction fees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Individual income tax payable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Payable for investments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LONG-TERM BORROWINGS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long-term borrowings consisted of the following:</w:t>
      </w:r>
    </w:p>
    <w:tbl>
      <w:tblPr>
        <w:tblW w:w="7058" w:type="dxa"/>
        <w:jc w:val="left"/>
        <w:tblInd w:w="0" w:type="dxa"/>
        <w:tblLayout w:type="fixed"/>
        <w:tblCellMar>
          <w:top w:w="28" w:type="dxa"/>
          <w:left w:w="28" w:type="dxa"/>
          <w:bottom w:w="28" w:type="dxa"/>
          <w:right w:w="28" w:type="dxa"/>
        </w:tblCellMar>
      </w:tblPr>
      <w:tblGrid>
        <w:gridCol w:w="1590"/>
        <w:gridCol w:w="1401"/>
        <w:gridCol w:w="1403"/>
        <w:gridCol w:w="211"/>
        <w:gridCol w:w="826"/>
        <w:gridCol w:w="109"/>
        <w:gridCol w:w="109"/>
        <w:gridCol w:w="109"/>
        <w:gridCol w:w="109"/>
        <w:gridCol w:w="211"/>
        <w:gridCol w:w="826"/>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Agricultural Bank of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from Bank of China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Bank of Shanghai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from China CITIC Bank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China Everbright Bank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Industrial and Commercial Bank of China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borrowings,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loan from China Merchants Bank is for the purpose of purchasing property in Lingang, Shanghai. The loan is repayable in 120 installments with the last installment due in November 2030, with an annual interest rate of 2.95%. As of December 31, 2025, the loan is pledged by the property of ACM Lingang and guaranteed by ACM Shanghai.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Agricultural Bank of China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loan from Agricultural Bank of China is for the purpose of purchasing housing property in Lingang, Shanghai. Principal repayments shall be made in 18 installments beginning November 2025, with final maturity in April 2034 with an annual interest rate of 2.43%-2.78%.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Bank of China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first loan from Bank of China is for the purpose of funding ACM Shanghai's general corporate operations and working capital. The loan bears interest at an annual rate of 2.62% and is payable in 6 installments, with the last installment due in June 2027. The second loan from Bank of China is for the purpose of funding ACM Shanghai project expenditures.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99"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 bears interest at an annual rate of 2.52% and is payable in 6 installments, with the last installment due in August 2027. The third loan from Bank of China is for the purpose of funding ACM Shanghai's general corporate operations and working capital. The loan interest at an annual rate of 2.35% and is repayable in 6 installments, with the last installment due in June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covenants for the banking facility require ACM Shanghai’s year-end outstanding interest-bearing debt not to exceed five times its annual EBITDA, and to comply with other non-financial covenants, or Bank of China has the right to suspend the facility, or request ACM Shanghai to accelerate repayment or provide credit enhancement. As of December 31, 2025, the Company was in compliance with the applicable covenants.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China CITIC Bank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loan from China CITIC bank is for the purpose of general corporate operations. Principal repayments shall be made in 6 installments beginning January 2025, with final maturity in January 2028.The loan bears interest at an annual rate of 3.60%.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China Everbright Bank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loans from China Everbright Bank are for the purpose of funding ACM Shanghai's general corporate operations and working capital. The first loan bears interest at annual rate of 2.15%, and is payable in 6 installments, with the last installment due in June 2027. The second loan bears interest at annual rate of 2.25%, and is payable in 3 installments, with the last installment due in March 2026. The third loan bears interest at annual rate of 2.5%, and is payable in 3 installments, with the last installment due in April 2026. The fourth loan bears interest at annual rate of 2.25% and is payable in 6 installments, with the last installment due in September 2027.</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ACM Shanghai entered into a long-term loan facility of $42,690 from Industrial and Commercial Bank of China for the purpose of funding its working capital and drew down the full amount. Principal repayment shall be made in 6 installments beginning May 2025, with final maturity in November 2027. The loan bears interest at an annual rate of 2.25%.</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Additional Long-term Borrowings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total carrying amount of long-term loans was $214,012 and $149,997, compared with an estimated fair value of $202,706 and $141,264, respectively. The fair value of the long-term loans is estimated by discounting cash flows using interest rates currently available for debts with similar terms and maturities (Level 2 fair value measurement). Refer to note 2 for an explanation of the fair value hierarchy structure.</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 xml:space="preserve">Scheduled principal payments for the outstanding long-term loans, including the current portion,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are as follows:</w:t>
      </w:r>
    </w:p>
    <w:tbl>
      <w:tblPr>
        <w:tblW w:w="2810" w:type="dxa"/>
        <w:jc w:val="left"/>
        <w:tblInd w:w="0" w:type="dxa"/>
        <w:tblLayout w:type="fixed"/>
        <w:tblCellMar>
          <w:top w:w="28" w:type="dxa"/>
          <w:left w:w="28" w:type="dxa"/>
          <w:bottom w:w="28" w:type="dxa"/>
          <w:right w:w="28" w:type="dxa"/>
        </w:tblCellMar>
      </w:tblPr>
      <w:tblGrid>
        <w:gridCol w:w="342"/>
        <w:gridCol w:w="300"/>
        <w:gridCol w:w="304"/>
        <w:gridCol w:w="330"/>
        <w:gridCol w:w="1293"/>
        <w:gridCol w:w="24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8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aggregate amount of unused lines of credit for short-term and long-term loans was $85,777.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0"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LONG-TERM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long-term investments consist of the following:</w:t>
      </w:r>
    </w:p>
    <w:tbl>
      <w:tblPr>
        <w:tblW w:w="10205" w:type="dxa"/>
        <w:jc w:val="center"/>
        <w:tblInd w:w="0" w:type="dxa"/>
        <w:tblLayout w:type="fixed"/>
        <w:tblCellMar>
          <w:top w:w="28" w:type="dxa"/>
          <w:left w:w="28" w:type="dxa"/>
          <w:bottom w:w="28" w:type="dxa"/>
          <w:right w:w="28" w:type="dxa"/>
        </w:tblCellMar>
      </w:tblPr>
      <w:tblGrid>
        <w:gridCol w:w="2825"/>
        <w:gridCol w:w="2457"/>
        <w:gridCol w:w="2468"/>
        <w:gridCol w:w="211"/>
        <w:gridCol w:w="721"/>
        <w:gridCol w:w="109"/>
        <w:gridCol w:w="109"/>
        <w:gridCol w:w="109"/>
        <w:gridCol w:w="109"/>
        <w:gridCol w:w="211"/>
        <w:gridCol w:w="721"/>
        <w:gridCol w:w="155"/>
      </w:tblGrid>
      <w:tr>
        <w:trPr/>
        <w:tc>
          <w:tcPr>
            <w:tcW w:w="2825"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Equity-method investments             </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pPr>
            <w:r>
              <w:rPr>
                <w:color w:val="000000"/>
              </w:rPr>
              <w:t> </w:t>
            </w:r>
            <w:r>
              <w:rPr>
                <w:rFonts w:ascii="Times New Roman;serif" w:hAnsi="Times New Roman;serif"/>
                <w:b w:val="false"/>
                <w:color w:val="000000"/>
                <w:sz w:val="20"/>
              </w:rPr>
              <w:t>Ninebell Co., Ltd (“Ninebell”)</w:t>
              <w:br/>
            </w:r>
            <w:r>
              <w:rPr>
                <w:rFonts w:ascii="Times New Roman;serif" w:hAnsi="Times New Roman;serif"/>
                <w:b w:val="false"/>
                <w:sz w:val="20"/>
              </w:rPr>
              <w:br/>
            </w: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Hefei Shixi Chanheng Integrated Circuit Industry Venture Capital Fund Partnership (LP) (“Hefei Shixi”)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Semiconductor Technology Co., Ltd. ("Shengyi")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Wooil Flucon Co., ("Wooil")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investments without readily determinable fair value using the measurement alternative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Available-for-sale debt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Equity method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received $2,100, $1,529, and nil dividends from equity investees,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details for equity-method investees are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8"/>
        <w:gridCol w:w="409"/>
        <w:gridCol w:w="412"/>
        <w:gridCol w:w="609"/>
        <w:gridCol w:w="609"/>
        <w:gridCol w:w="611"/>
        <w:gridCol w:w="479"/>
        <w:gridCol w:w="479"/>
        <w:gridCol w:w="481"/>
        <w:gridCol w:w="716"/>
        <w:gridCol w:w="712"/>
        <w:gridCol w:w="1780"/>
        <w:gridCol w:w="411"/>
        <w:gridCol w:w="1407"/>
        <w:gridCol w:w="212"/>
        <w:gridCol w:w="109"/>
        <w:gridCol w:w="109"/>
        <w:gridCol w:w="162"/>
      </w:tblGrid>
      <w:tr>
        <w:trPr/>
        <w:tc>
          <w:tcPr>
            <w:tcW w:w="49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investee:</w:t>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Initial investment dates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Investment entity</w:t>
            </w:r>
          </w:p>
        </w:tc>
        <w:tc>
          <w:tcPr>
            <w:tcW w:w="3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Percent ownership by ACM and subsidiaries</w:t>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Investment purchase price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Ninebell (1)</w:t>
            </w:r>
          </w:p>
        </w:tc>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2017</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Ninebell (2)</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Wooil (3)</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2022</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Singapore</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Shengyi (4)</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2019</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Hefei Shixi (5)</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($4,200)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A (6)</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($4,230)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Ninebell is a South Korea company that is one of the Company’s principal materials suppliers. On September 6, 2017, ACM and Ninebell entered into an ordinary share purchase agreement, effective as of September 11, 2017, pursuant to which Ninebell issued to ACM ordinary shares representing 20% of Ninebell’s post-closing equity for a purchase price of $1,200, and a common stock purchase agreement, effective as of September 11, 2017, pursuant to which ACM issued 400,002 shares of Class A common stock to Ninebell for a purchase price of $1,000 at $2.50 per share.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1"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pPr>
      <w:r>
        <w:rPr>
          <w:rFonts w:ascii="Times New Roman;serif" w:hAnsi="Times New Roman;serif"/>
          <w:b w:val="false"/>
          <w:color w:val="000000"/>
          <w:sz w:val="20"/>
        </w:rPr>
        <w:t>(2) On April 22, 2024, ACM Shanghai entered into an investment agreement with Ninebell to invest $16,737 which represented 20% of Ninebell’s total equity interest.</w:t>
      </w:r>
      <w:r>
        <w:rPr>
          <w:color w:val="000000"/>
        </w:rPr>
        <w:t xml:space="preserve"> </w:t>
      </w:r>
      <w:r>
        <w:rPr>
          <w:rFonts w:ascii="Times New Roman;serif" w:hAnsi="Times New Roman;serif"/>
          <w:b w:val="false"/>
          <w:color w:val="000000"/>
          <w:sz w:val="20"/>
        </w:rPr>
        <w:t>As of December 31, 2024, ACM Shanghai pre-paid the consideration of $16,737 to Ninebell, which is recorded in other long-term assets (note 7) in the consolidated balance sheets. The share certification was issued in January 2025. After the share purchase transaction closed, the Company owned 36.2% equity interests of Ninebell. Subsequent to the Private Offering in September 2025, the Company's equity interests in Ninebell has decreased to 34.9%.</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In August 2022, ACM Singapore and Wooil entered into an agreement pursuant to which Wooil, in September 2022, issued to ACM Singapore shares representing 20% of Wooil’s post-closing equity for a purchase price of $1,000.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Shengyi is based in Wuxi, China and is one of the Company’s component suppliers. In June 2019, ACM Shanghai and Shengyi entered into an agreement pursuant to which Shengyi issued to ACM Shanghai shares representing 14% of Shengyi’s post-closing equity for a purchase price of $109. The investment in Shengyi is accounted for under the equity method. In September 2023, the Company invested an additional RMB-6,100 ($900) to Shengyi. As the additional investment is not in substance common stock, the Company accounted for the additional investment in Shengyi using a measurement alternative.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 In September 2019, ACM Shanghai entered into a Partnership Agreement with six other investors, as limited partners, and Beijing Shixi Qingliu Investment Co., Ltd., as general partner and manager, with respect to the formation of Hefei Shixi Chanheng Integrated Circuit Industry Venture Capital Fund Partnership (LP), a Chinese limited partnership based in Hefei, China. The investment represents 10% of the partnership’s total subscribed capital.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(6) On January 19, 2024, ACM Shanghai entered into a limited partnership agreement with Company A for an ownership interest of 14.3%.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Available-for-sale debt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available-for-sale debt investments are investments in preferred shares that are redeemable at the Company’s option with no contractual maturity date, which are measured at fair value.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The following table summarizes the</w:t>
      </w:r>
      <w:r>
        <w:rPr>
          <w:color w:val="000000"/>
        </w:rPr>
        <w:t xml:space="preserve"> </w:t>
      </w:r>
      <w:r>
        <w:rPr>
          <w:rFonts w:ascii="Times New Roman;serif" w:hAnsi="Times New Roman;serif"/>
          <w:b w:val="false"/>
          <w:color w:val="000000"/>
          <w:sz w:val="20"/>
        </w:rPr>
        <w:t>amortized cost and estimated fair value of the Company’s available-for-sale debt investments as of December 31, 2025 and 2024.</w:t>
      </w:r>
    </w:p>
    <w:p>
      <w:pPr>
        <w:pStyle w:val="TextBody"/>
        <w:bidi w:val="0"/>
        <w:spacing w:before="0" w:after="0"/>
        <w:jc w:val="both"/>
        <w:rPr/>
      </w:pPr>
      <w:r>
        <w:rPr/>
      </w:r>
    </w:p>
    <w:tbl>
      <w:tblPr>
        <w:tblW w:w="5320" w:type="dxa"/>
        <w:jc w:val="center"/>
        <w:tblInd w:w="0" w:type="dxa"/>
        <w:tblLayout w:type="fixed"/>
        <w:tblCellMar>
          <w:top w:w="28" w:type="dxa"/>
          <w:left w:w="28" w:type="dxa"/>
          <w:bottom w:w="28" w:type="dxa"/>
          <w:right w:w="28" w:type="dxa"/>
        </w:tblCellMar>
      </w:tblPr>
      <w:tblGrid>
        <w:gridCol w:w="613"/>
        <w:gridCol w:w="539"/>
        <w:gridCol w:w="542"/>
        <w:gridCol w:w="320"/>
        <w:gridCol w:w="938"/>
        <w:gridCol w:w="167"/>
        <w:gridCol w:w="109"/>
        <w:gridCol w:w="109"/>
        <w:gridCol w:w="109"/>
        <w:gridCol w:w="402"/>
        <w:gridCol w:w="1176"/>
        <w:gridCol w:w="29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31,</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32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SHORT-TERM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Pursuant to a Share Purchase Agreement dated August 2023, ACM Shanghai acquired shares of Zhongjuxin Limited</w:t>
      </w:r>
      <w:r>
        <w:rPr>
          <w:color w:val="000000"/>
          <w:shd w:fill="FFFFFF" w:val="clear"/>
        </w:rPr>
        <w:t xml:space="preserve"> </w:t>
      </w:r>
      <w:r>
        <w:rPr>
          <w:rFonts w:ascii="Times New Roman;serif" w:hAnsi="Times New Roman;serif"/>
          <w:b w:val="false"/>
          <w:color w:val="000000"/>
          <w:sz w:val="20"/>
          <w:shd w:fill="FFFFFF" w:val="clear"/>
        </w:rPr>
        <w:t>Company (“Zhongjuxin”) in September 2023 with amount of $4,179. The shares held by ACM Shanghai are restricted for sale for a minimum period of twelve months. Zhongjuxin completed it STAR IPO in September 2023. The investments were partially-disposed by ACM Shanghai and net proceeds of R</w:t>
      </w:r>
      <w:r>
        <w:rPr>
          <w:rFonts w:ascii="Times New Roman;serif" w:hAnsi="Times New Roman;serif"/>
          <w:b w:val="false"/>
          <w:color w:val="000000"/>
          <w:sz w:val="20"/>
        </w:rPr>
        <w:t>MB 38,464 ($5,267</w:t>
      </w:r>
      <w:r>
        <w:rPr>
          <w:rFonts w:ascii="Times New Roman;serif" w:hAnsi="Times New Roman;serif"/>
          <w:b w:val="false"/>
          <w:color w:val="000000"/>
          <w:sz w:val="24"/>
        </w:rPr>
        <w:t xml:space="preserve">) </w:t>
      </w:r>
      <w:r>
        <w:rPr>
          <w:rFonts w:ascii="Times New Roman;serif" w:hAnsi="Times New Roman;serif"/>
          <w:b w:val="false"/>
          <w:color w:val="000000"/>
          <w:sz w:val="20"/>
          <w:shd w:fill="FFFFFF" w:val="clear"/>
        </w:rPr>
        <w:t>were received during the year ended December 31, 2024. The investments were fully-disposed by ACM Shanghai and net proceeds of RMB 15,089 ($2,147) were received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a Share Purchase Agreement dated January 2024, ACM Shanghai acquired shares of Shanghai Syncrystalline Silicon Materials Co., Ltd. (“Syncrystalline”) in February 2024 with amount of RMB 10 million ($1,423). The shares held by ACM Shanghai are restricted for sale for a minimum period of twelve months. Syncrystalline completed its STAR IPO in February 2024. As of December 31, 2025, the Company's total investment costs in Syncrystalline were RMB 20 million ($2,846), including RMB 10 million ($1,423) invested by ACM Shanghai in 2021 and RMB 10 million ($1,423) invested by ACM Shanghai in February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2"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short-term investments were as follows:</w:t>
      </w:r>
    </w:p>
    <w:tbl>
      <w:tblPr>
        <w:tblW w:w="7329" w:type="dxa"/>
        <w:jc w:val="center"/>
        <w:tblInd w:w="0" w:type="dxa"/>
        <w:tblLayout w:type="fixed"/>
        <w:tblCellMar>
          <w:top w:w="28" w:type="dxa"/>
          <w:left w:w="28" w:type="dxa"/>
          <w:bottom w:w="28" w:type="dxa"/>
          <w:right w:w="28" w:type="dxa"/>
        </w:tblCellMar>
      </w:tblPr>
      <w:tblGrid>
        <w:gridCol w:w="1766"/>
        <w:gridCol w:w="1552"/>
        <w:gridCol w:w="1557"/>
        <w:gridCol w:w="211"/>
        <w:gridCol w:w="721"/>
        <w:gridCol w:w="109"/>
        <w:gridCol w:w="109"/>
        <w:gridCol w:w="109"/>
        <w:gridCol w:w="109"/>
        <w:gridCol w:w="211"/>
        <w:gridCol w:w="721"/>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listed in Shanghai Stock Exchange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net gains recognized on short-term investments were as follows:</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51"/>
        <w:gridCol w:w="1978"/>
        <w:gridCol w:w="1984"/>
        <w:gridCol w:w="211"/>
        <w:gridCol w:w="721"/>
        <w:gridCol w:w="109"/>
        <w:gridCol w:w="109"/>
        <w:gridCol w:w="109"/>
        <w:gridCol w:w="109"/>
        <w:gridCol w:w="211"/>
        <w:gridCol w:w="616"/>
        <w:gridCol w:w="109"/>
        <w:gridCol w:w="109"/>
        <w:gridCol w:w="109"/>
        <w:gridCol w:w="109"/>
        <w:gridCol w:w="211"/>
        <w:gridCol w:w="667"/>
        <w:gridCol w:w="109"/>
        <w:gridCol w:w="109"/>
        <w:gridCol w:w="109"/>
        <w:gridCol w:w="156"/>
      </w:tblGrid>
      <w:tr>
        <w:trPr/>
        <w:tc>
          <w:tcPr>
            <w:tcW w:w="2251"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recognized during the reporting period on short-term investment still held at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short-term investment sold during the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gains recognized at December 31 on short-term investment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received proceeds of $2,147, $8,434 and $21,735 from the sale of short-term investments, respectively, including realized gains of $166, $1,788 and $9,047,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 RELATED PARTY BALANCES AND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Ninebell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N</w:t>
      </w:r>
      <w:r>
        <w:rPr>
          <w:rFonts w:ascii="Times New Roman;serif" w:hAnsi="Times New Roman;serif"/>
          <w:b w:val="false"/>
          <w:color w:val="000000"/>
          <w:sz w:val="20"/>
          <w:shd w:fill="FFFFFF" w:val="clear"/>
        </w:rPr>
        <w:t xml:space="preserve">inebell is an equity investee of ACM (note 11) and is the Company’s principal supplier of robotic delivery system subassemblies used in single-wafer cleaning equipment. The Company purchases equipment from Ninebell for production in the ordinary course of business. The Company pays for a portion of the equipment in advance and is obligated to pay the remaining amounts upon receipt of the product.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Shengyi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Shengyi is an equity investee of ACM Shanghai (note 11)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consolidated statements of comprehensive income. The Company pays for a portion of the raw materials in advance and is obligated to pay the remaining amount upon receipt of the product.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related party outstanding balances are short-term in nature and are expected to be settled in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major related party balances and transactions as of December 31, 2025 and 2024:</w:t>
      </w:r>
    </w:p>
    <w:tbl>
      <w:tblPr>
        <w:tblW w:w="4538" w:type="dxa"/>
        <w:jc w:val="left"/>
        <w:tblInd w:w="0" w:type="dxa"/>
        <w:tblLayout w:type="fixed"/>
        <w:tblCellMar>
          <w:top w:w="28" w:type="dxa"/>
          <w:left w:w="28" w:type="dxa"/>
          <w:bottom w:w="28" w:type="dxa"/>
          <w:right w:w="28" w:type="dxa"/>
        </w:tblCellMar>
      </w:tblPr>
      <w:tblGrid>
        <w:gridCol w:w="831"/>
        <w:gridCol w:w="729"/>
        <w:gridCol w:w="734"/>
        <w:gridCol w:w="211"/>
        <w:gridCol w:w="616"/>
        <w:gridCol w:w="109"/>
        <w:gridCol w:w="109"/>
        <w:gridCol w:w="109"/>
        <w:gridCol w:w="109"/>
        <w:gridCol w:w="211"/>
        <w:gridCol w:w="61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Advances to related party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Ninebell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Shengyi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3"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4058"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62" w:type="dxa"/>
        <w:jc w:val="left"/>
        <w:tblInd w:w="0" w:type="dxa"/>
        <w:tblLayout w:type="fixed"/>
        <w:tblCellMar>
          <w:top w:w="28" w:type="dxa"/>
          <w:left w:w="28" w:type="dxa"/>
          <w:bottom w:w="28" w:type="dxa"/>
          <w:right w:w="28" w:type="dxa"/>
        </w:tblCellMar>
      </w:tblPr>
      <w:tblGrid>
        <w:gridCol w:w="738"/>
        <w:gridCol w:w="650"/>
        <w:gridCol w:w="652"/>
        <w:gridCol w:w="211"/>
        <w:gridCol w:w="721"/>
        <w:gridCol w:w="109"/>
        <w:gridCol w:w="109"/>
        <w:gridCol w:w="109"/>
        <w:gridCol w:w="109"/>
        <w:gridCol w:w="211"/>
        <w:gridCol w:w="721"/>
        <w:gridCol w:w="109"/>
        <w:gridCol w:w="109"/>
        <w:gridCol w:w="109"/>
        <w:gridCol w:w="109"/>
        <w:gridCol w:w="211"/>
        <w:gridCol w:w="72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Purchases of materials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06" w:type="dxa"/>
        <w:jc w:val="left"/>
        <w:tblInd w:w="0" w:type="dxa"/>
        <w:tblLayout w:type="fixed"/>
        <w:tblCellMar>
          <w:top w:w="28" w:type="dxa"/>
          <w:left w:w="28" w:type="dxa"/>
          <w:bottom w:w="28" w:type="dxa"/>
          <w:right w:w="28" w:type="dxa"/>
        </w:tblCellMar>
      </w:tblPr>
      <w:tblGrid>
        <w:gridCol w:w="761"/>
        <w:gridCol w:w="668"/>
        <w:gridCol w:w="670"/>
        <w:gridCol w:w="211"/>
        <w:gridCol w:w="616"/>
        <w:gridCol w:w="109"/>
        <w:gridCol w:w="109"/>
        <w:gridCol w:w="109"/>
        <w:gridCol w:w="109"/>
        <w:gridCol w:w="211"/>
        <w:gridCol w:w="466"/>
        <w:gridCol w:w="109"/>
        <w:gridCol w:w="109"/>
        <w:gridCol w:w="109"/>
        <w:gridCol w:w="109"/>
        <w:gridCol w:w="211"/>
        <w:gridCol w:w="46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fees charged by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ACM was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unless the Board of Directors declares different dividends to the Class A common stock and Class B common stock by getting approval from a majority of common stockholders.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ACM issued 2,651,132, 1,902,713 and 1,380,886 shares of Class A common stock upon option exercises by employees and non-employees,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number of shares of Class A common stock issued and outstanding was 60,590,017 and 57,938,885, respectively. At December 31, 2025 and 2024,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STOCK-BASED COMPENSATION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Company’s stock-based compensation consists of employee and non-employee awards issued under its 2016 Omnibus Incentive Plan. The vesting condition may consist of</w:t>
      </w:r>
      <w:r>
        <w:rPr>
          <w:color w:val="000000"/>
        </w:rPr>
        <w:t xml:space="preserve"> </w:t>
      </w:r>
      <w:r>
        <w:rPr>
          <w:rFonts w:ascii="Times New Roman;serif" w:hAnsi="Times New Roman;serif"/>
          <w:b w:val="false"/>
          <w:color w:val="000000"/>
          <w:sz w:val="20"/>
        </w:rPr>
        <w:t xml:space="preserve">service period conditions or certain performance conditions, as determined by the Board of Directors.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04"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99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Awards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ACM’s employee share option activities:</w:t>
      </w:r>
    </w:p>
    <w:tbl>
      <w:tblPr>
        <w:tblW w:w="10205" w:type="dxa"/>
        <w:jc w:val="left"/>
        <w:tblInd w:w="0" w:type="dxa"/>
        <w:tblLayout w:type="fixed"/>
        <w:tblCellMar>
          <w:top w:w="28" w:type="dxa"/>
          <w:left w:w="28" w:type="dxa"/>
          <w:bottom w:w="28" w:type="dxa"/>
          <w:right w:w="28" w:type="dxa"/>
        </w:tblCellMar>
      </w:tblPr>
      <w:tblGrid>
        <w:gridCol w:w="821"/>
        <w:gridCol w:w="721"/>
        <w:gridCol w:w="723"/>
        <w:gridCol w:w="449"/>
        <w:gridCol w:w="345"/>
        <w:gridCol w:w="340"/>
        <w:gridCol w:w="109"/>
        <w:gridCol w:w="109"/>
        <w:gridCol w:w="109"/>
        <w:gridCol w:w="286"/>
        <w:gridCol w:w="715"/>
        <w:gridCol w:w="149"/>
        <w:gridCol w:w="109"/>
        <w:gridCol w:w="109"/>
        <w:gridCol w:w="109"/>
        <w:gridCol w:w="249"/>
        <w:gridCol w:w="745"/>
        <w:gridCol w:w="128"/>
        <w:gridCol w:w="109"/>
        <w:gridCol w:w="109"/>
        <w:gridCol w:w="109"/>
        <w:gridCol w:w="383"/>
        <w:gridCol w:w="1530"/>
        <w:gridCol w:w="198"/>
        <w:gridCol w:w="420"/>
        <w:gridCol w:w="420"/>
        <w:gridCol w:w="602"/>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 xml:space="preserve">Option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 xml:space="preserve">Date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Weighted Average </w:t>
              <w:br/>
              <w:t xml:space="preserve">Remaining </w:t>
              <w:br/>
              <w:t xml:space="preserve">Contractual Term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8,851,595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6.18</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10.84</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(2,344,035)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6,627,429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7.50</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12.66</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177,514</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5.59 years</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Vested and exercisable at December 31, 2025</w:t>
            </w:r>
          </w:p>
        </w:tc>
        <w:tc>
          <w:tcPr>
            <w:tcW w:w="113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4,669,104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6.64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11.94</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128,455</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5.02 years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$15,178 of total unrecognized employee stock-based compensation expense, net of estimated forfeitures, related to stock-based awards for ACM was expected to be recognized over a weighted-average period of 2.4 years. </w:t>
      </w:r>
    </w:p>
    <w:p>
      <w:pPr>
        <w:pStyle w:val="TextBody"/>
        <w:bidi w:val="0"/>
        <w:spacing w:lineRule="auto" w:line="288" w:before="240" w:after="283"/>
        <w:jc w:val="both"/>
        <w:rPr/>
      </w:pPr>
      <w:r>
        <w:rPr>
          <w:rFonts w:ascii="Times New Roman;serif" w:hAnsi="Times New Roman;serif"/>
          <w:b w:val="false"/>
          <w:color w:val="000000"/>
          <w:sz w:val="20"/>
        </w:rPr>
        <w:t xml:space="preserve">The weighted average grant date fair value of options granted during the years ended </w:t>
      </w:r>
      <w:r>
        <w:rPr>
          <w:rFonts w:ascii="Times New Roman;serif" w:hAnsi="Times New Roman;serif"/>
          <w:b w:val="false"/>
          <w:color w:val="000000"/>
          <w:sz w:val="20"/>
          <w:shd w:fill="FFFFFF" w:val="clear"/>
        </w:rPr>
        <w:t>December 31, 2025, 2024 and 2023</w:t>
      </w:r>
      <w:r>
        <w:rPr>
          <w:color w:val="000000"/>
        </w:rPr>
        <w:t xml:space="preserve"> </w:t>
      </w:r>
      <w:r>
        <w:rPr>
          <w:rFonts w:ascii="Times New Roman;serif" w:hAnsi="Times New Roman;serif"/>
          <w:b w:val="false"/>
          <w:color w:val="000000"/>
          <w:sz w:val="20"/>
        </w:rPr>
        <w:t xml:space="preserve">were $18.35, $15.31, and $10.38, respectively. </w:t>
      </w:r>
    </w:p>
    <w:p>
      <w:pPr>
        <w:pStyle w:val="TextBody"/>
        <w:bidi w:val="0"/>
        <w:spacing w:before="240"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aggregate intrinsic value of options exercised during the years ended </w:t>
      </w:r>
      <w:r>
        <w:rPr>
          <w:rFonts w:ascii="Times New Roman;serif" w:hAnsi="Times New Roman;serif"/>
          <w:b w:val="false"/>
          <w:color w:val="000000"/>
          <w:sz w:val="20"/>
          <w:shd w:fill="FFFFFF" w:val="clear"/>
        </w:rPr>
        <w:t>December 31, 2025, 2024 and 2023</w:t>
      </w:r>
      <w:r>
        <w:rPr>
          <w:color w:val="000000"/>
        </w:rPr>
        <w:t xml:space="preserve"> </w:t>
      </w:r>
      <w:r>
        <w:rPr>
          <w:rFonts w:ascii="Times New Roman;serif" w:hAnsi="Times New Roman;serif"/>
          <w:b w:val="false"/>
          <w:color w:val="000000"/>
          <w:sz w:val="20"/>
        </w:rPr>
        <w:t>was $52,606, $35,675, and $15,457,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aggregate fair value of the share-based awards vested during the years ended December 31, 2025, 2024 and 2023 were $31,002, $26,137 and $18,378,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model with the following assumptions:</w:t>
      </w:r>
    </w:p>
    <w:tbl>
      <w:tblPr>
        <w:tblW w:w="7608" w:type="dxa"/>
        <w:jc w:val="left"/>
        <w:tblInd w:w="0" w:type="dxa"/>
        <w:tblLayout w:type="fixed"/>
        <w:tblCellMar>
          <w:top w:w="28" w:type="dxa"/>
          <w:left w:w="28" w:type="dxa"/>
          <w:bottom w:w="28" w:type="dxa"/>
          <w:right w:w="28" w:type="dxa"/>
        </w:tblCellMar>
      </w:tblPr>
      <w:tblGrid>
        <w:gridCol w:w="939"/>
        <w:gridCol w:w="826"/>
        <w:gridCol w:w="829"/>
        <w:gridCol w:w="315"/>
        <w:gridCol w:w="315"/>
        <w:gridCol w:w="794"/>
        <w:gridCol w:w="116"/>
        <w:gridCol w:w="116"/>
        <w:gridCol w:w="116"/>
        <w:gridCol w:w="315"/>
        <w:gridCol w:w="315"/>
        <w:gridCol w:w="794"/>
        <w:gridCol w:w="116"/>
        <w:gridCol w:w="116"/>
        <w:gridCol w:w="116"/>
        <w:gridCol w:w="297"/>
        <w:gridCol w:w="297"/>
        <w:gridCol w:w="87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stock(1)</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$24.33-$32.95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$18.67-$31.92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$11.85-$17.23</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years(2)</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5.50-6.25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5.50-6.25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Volatility(3)</w:t>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82.78%-83.59%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83.85%-85.48%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84.95%-86.45%</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rate(4)</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3.90-4.25%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3.80-4.49%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4.16-4.69%</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dividend(5)</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(1)Fair value of Class A common stock value was the closing market price of the Class A common stock on the grant date.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(3)Volatility is calculated based on the historical volatility of ACM in the period equal to the expected term of each grant.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(5)Expected dividend is assumed to be 0% as ACM has no history or expectation of paying a dividend on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05"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Non-employee Award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non-employee share option activities:</w:t>
      </w:r>
    </w:p>
    <w:tbl>
      <w:tblPr>
        <w:tblW w:w="10205" w:type="dxa"/>
        <w:jc w:val="left"/>
        <w:tblInd w:w="0" w:type="dxa"/>
        <w:tblLayout w:type="fixed"/>
        <w:tblCellMar>
          <w:top w:w="28" w:type="dxa"/>
          <w:left w:w="28" w:type="dxa"/>
          <w:bottom w:w="28" w:type="dxa"/>
          <w:right w:w="28" w:type="dxa"/>
        </w:tblCellMar>
      </w:tblPr>
      <w:tblGrid>
        <w:gridCol w:w="1186"/>
        <w:gridCol w:w="1042"/>
        <w:gridCol w:w="1045"/>
        <w:gridCol w:w="524"/>
        <w:gridCol w:w="350"/>
        <w:gridCol w:w="307"/>
        <w:gridCol w:w="109"/>
        <w:gridCol w:w="109"/>
        <w:gridCol w:w="109"/>
        <w:gridCol w:w="260"/>
        <w:gridCol w:w="650"/>
        <w:gridCol w:w="135"/>
        <w:gridCol w:w="109"/>
        <w:gridCol w:w="109"/>
        <w:gridCol w:w="109"/>
        <w:gridCol w:w="246"/>
        <w:gridCol w:w="615"/>
        <w:gridCol w:w="128"/>
        <w:gridCol w:w="109"/>
        <w:gridCol w:w="109"/>
        <w:gridCol w:w="109"/>
        <w:gridCol w:w="290"/>
        <w:gridCol w:w="1013"/>
        <w:gridCol w:w="149"/>
        <w:gridCol w:w="374"/>
        <w:gridCol w:w="374"/>
        <w:gridCol w:w="536"/>
      </w:tblGrid>
      <w:tr>
        <w:trPr/>
        <w:tc>
          <w:tcPr>
            <w:tcW w:w="118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 Shares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 xml:space="preserve">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c>
          <w:tcPr>
            <w:tcW w:w="12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Weighted Average </w:t>
              <w:br/>
              <w:t xml:space="preserve">Remaining </w:t>
              <w:br/>
              <w:t xml:space="preserve">Contractual Term </w:t>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784,132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0.52</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2.12 years</w:t>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(307,097)</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(94,152)</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382,883</w:t>
            </w: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14,215</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 xml:space="preserve">1.63 years </w:t>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Vested and exercisable at December 31, 2025</w:t>
            </w:r>
          </w:p>
        </w:tc>
        <w:tc>
          <w:tcPr>
            <w:tcW w:w="8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382,883</w:t>
            </w:r>
            <w:r>
              <w:rPr>
                <w:color w:val="000000"/>
              </w:rPr>
              <w:t> </w:t>
            </w:r>
          </w:p>
        </w:tc>
        <w:tc>
          <w:tcPr>
            <w:tcW w:w="30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2.32</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14,215</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 xml:space="preserve">1.63 years </w:t>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all of the non-employee share options were fully-vested. The aggregate intrinsic value of options exercised in the years ended December 31, 2025, 2024 and 2023 were $9,490, $7,901, and $3,796, respectively. The aggregate fair value of the share-based awards vested during the years ended December 31, 2025, 2024 and 2023 were $285, $408, and $479, respectively.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2019 Subsidiary Stock Option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2020, ACM Shanghai adopted a 2019 Stock Option Incentive Plan (the “2019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earning targets determined by the Board of Directors of ACM Shanghai.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options outstanding under the 2019 Subsidiary Stock Option Plan as of December 31, 2024 and no activity thereafter.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aggregate fair value of the share-based awards vested during the years ended December 31, 2025, 2024, and 2023 were nil, nil, and $99,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exercised in the years ended December 31, 2025 and 2024 and 2023 was nil, $25,946 and $31,144, respectively. There were nil options outstanding and exercisable as of December 31, 2025.</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2023 Subsidiary Stock Option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2023, ACM Shanghai adopted a 2023 Stock Option Incentive Plan ( the "2023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sales and research and development progress targets determined by the Board of Directors of ACM Shanghai.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ACM Shanghai 2023 Subsidiary Stock Option Plan’s stock option activities: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9"/>
        <w:gridCol w:w="631"/>
        <w:gridCol w:w="633"/>
        <w:gridCol w:w="513"/>
        <w:gridCol w:w="503"/>
        <w:gridCol w:w="391"/>
        <w:gridCol w:w="109"/>
        <w:gridCol w:w="109"/>
        <w:gridCol w:w="109"/>
        <w:gridCol w:w="287"/>
        <w:gridCol w:w="717"/>
        <w:gridCol w:w="149"/>
        <w:gridCol w:w="109"/>
        <w:gridCol w:w="109"/>
        <w:gridCol w:w="109"/>
        <w:gridCol w:w="278"/>
        <w:gridCol w:w="677"/>
        <w:gridCol w:w="145"/>
        <w:gridCol w:w="109"/>
        <w:gridCol w:w="109"/>
        <w:gridCol w:w="109"/>
        <w:gridCol w:w="433"/>
        <w:gridCol w:w="1482"/>
        <w:gridCol w:w="223"/>
        <w:gridCol w:w="420"/>
        <w:gridCol w:w="420"/>
        <w:gridCol w:w="603"/>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Option Shares in</w:t>
              <w:br/>
              <w:t>ACM Shanghai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c>
          <w:tcPr>
            <w:tcW w:w="14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w:t>
              <w:br/>
              <w:t xml:space="preserve">Remaining </w:t>
              <w:br/>
              <w:t>Contractual Term</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11,604,310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9.01</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years</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(2,822,710)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23,638 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0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(630,700)</w:t>
            </w:r>
          </w:p>
        </w:tc>
        <w:tc>
          <w:tcPr>
            <w:tcW w:w="3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06"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9763" w:type="dxa"/>
        <w:jc w:val="left"/>
        <w:tblInd w:w="0" w:type="dxa"/>
        <w:tblLayout w:type="fixed"/>
        <w:tblCellMar>
          <w:top w:w="28" w:type="dxa"/>
          <w:left w:w="28" w:type="dxa"/>
          <w:bottom w:w="28" w:type="dxa"/>
          <w:right w:w="28" w:type="dxa"/>
        </w:tblCellMar>
      </w:tblPr>
      <w:tblGrid>
        <w:gridCol w:w="1419"/>
        <w:gridCol w:w="1246"/>
        <w:gridCol w:w="1250"/>
        <w:gridCol w:w="495"/>
        <w:gridCol w:w="496"/>
        <w:gridCol w:w="109"/>
        <w:gridCol w:w="109"/>
        <w:gridCol w:w="109"/>
        <w:gridCol w:w="109"/>
        <w:gridCol w:w="263"/>
        <w:gridCol w:w="263"/>
        <w:gridCol w:w="109"/>
        <w:gridCol w:w="109"/>
        <w:gridCol w:w="109"/>
        <w:gridCol w:w="109"/>
        <w:gridCol w:w="211"/>
        <w:gridCol w:w="526"/>
        <w:gridCol w:w="109"/>
        <w:gridCol w:w="109"/>
        <w:gridCol w:w="109"/>
        <w:gridCol w:w="109"/>
        <w:gridCol w:w="211"/>
        <w:gridCol w:w="841"/>
        <w:gridCol w:w="109"/>
        <w:gridCol w:w="329"/>
        <w:gridCol w:w="329"/>
        <w:gridCol w:w="46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8,150,900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color w:val="000000"/>
                <w:sz w:val="20"/>
              </w:rPr>
              <w:t xml:space="preserve">0.98 years </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Vested and exercisable at December 31, 2025</w:t>
            </w:r>
          </w:p>
        </w:tc>
        <w:tc>
          <w:tcPr>
            <w:tcW w:w="99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2,448,750</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0.00 years</w:t>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No options were granted under </w:t>
      </w:r>
      <w:r>
        <w:rPr>
          <w:rFonts w:ascii="Times New Roman;serif" w:hAnsi="Times New Roman;serif"/>
          <w:b w:val="false"/>
          <w:color w:val="000000"/>
          <w:sz w:val="20"/>
          <w:shd w:fill="FFFFFF" w:val="clear"/>
        </w:rPr>
        <w:t xml:space="preserve">ACM Shanghai 2023 Option Plan during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options granted during the years ended December 31, 2024 and 2023 were $6.04 and $9.49, respectively.</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The aggregate intrinsic value of options exercised during the years ended December 31, 2025 was $23,638. No options were exercised under the 2023 Subsidiary Stock Option Plan during 2024 and 2023. The aggregate fair value of the share-based awards vested during the </w:t>
      </w:r>
      <w:r>
        <w:rPr>
          <w:rFonts w:ascii="Times New Roman;serif" w:hAnsi="Times New Roman;serif"/>
          <w:b w:val="false"/>
          <w:color w:val="000000"/>
          <w:sz w:val="20"/>
          <w:shd w:fill="FFFFFF" w:val="clear"/>
        </w:rPr>
        <w:t>years ended December 31, 2025, 2024 and 2023 were</w:t>
      </w:r>
      <w:r>
        <w:rPr>
          <w:color w:val="000000"/>
        </w:rPr>
        <w:t xml:space="preserve"> </w:t>
      </w:r>
      <w:r>
        <w:rPr>
          <w:rFonts w:ascii="Times New Roman;serif" w:hAnsi="Times New Roman;serif"/>
          <w:b w:val="false"/>
          <w:color w:val="000000"/>
          <w:sz w:val="20"/>
        </w:rPr>
        <w:t xml:space="preserve">$43,475, $21,748, </w:t>
      </w:r>
      <w:r>
        <w:rPr>
          <w:rFonts w:ascii="Times New Roman;serif" w:hAnsi="Times New Roman;serif"/>
          <w:b w:val="false"/>
          <w:color w:val="000000"/>
          <w:sz w:val="20"/>
          <w:shd w:fill="FFFFFF" w:val="clear"/>
        </w:rPr>
        <w:t>and nil,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with following assumptions:</w:t>
      </w:r>
    </w:p>
    <w:tbl>
      <w:tblPr>
        <w:tblW w:w="8188" w:type="dxa"/>
        <w:jc w:val="center"/>
        <w:tblInd w:w="0" w:type="dxa"/>
        <w:tblLayout w:type="fixed"/>
        <w:tblCellMar>
          <w:top w:w="28" w:type="dxa"/>
          <w:left w:w="28" w:type="dxa"/>
          <w:bottom w:w="28" w:type="dxa"/>
          <w:right w:w="28" w:type="dxa"/>
        </w:tblCellMar>
      </w:tblPr>
      <w:tblGrid>
        <w:gridCol w:w="939"/>
        <w:gridCol w:w="826"/>
        <w:gridCol w:w="829"/>
        <w:gridCol w:w="618"/>
        <w:gridCol w:w="618"/>
        <w:gridCol w:w="1539"/>
        <w:gridCol w:w="574"/>
        <w:gridCol w:w="574"/>
        <w:gridCol w:w="167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Year Ended December 31, 2024</w:t>
            </w:r>
          </w:p>
        </w:tc>
        <w:tc>
          <w:tcPr>
            <w:tcW w:w="28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242424"/>
                <w:sz w:val="20"/>
              </w:rPr>
            </w:pPr>
            <w:r>
              <w:rPr>
                <w:rFonts w:ascii="Times New Roman;serif" w:hAnsi="Times New Roman;serif"/>
                <w:b/>
                <w:color w:val="242424"/>
                <w:sz w:val="20"/>
              </w:rPr>
              <w:t>Year Ended December 31, 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stock(1)</w:t>
            </w:r>
          </w:p>
        </w:tc>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$4.93-$6.89</w:t>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$14.87</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years(2)</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1.50-4.50</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1.50-4.50</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Volatility(3)</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45.92%-56.18%</w:t>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60.00%-60.60%</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rate(4)</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1.50%-2.75%</w:t>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1.50%-2.75%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(5)</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Equal to closing value on the grant 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Expected term of share options is based on the average of the vesting period and the contractual term for each grant.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Volatility is calculated based on the historical volatility of ACM in the period equal to the expected term of each grant.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Risk-free interest rate is based on the yields of RMB deposit in mainland China with maturities similar to the expected term of the share options in effect at the time of grant.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Expected dividend is assumed to be 0% as the impact is adjusted on the value of share of common stock.</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As of December 31, 2025, $25,583 of total unrecognized employee stock-based compensation expense, net of estimated forfeitures, related to ACM Shanghai stock-based awards were expected to be recognized over a weighted-average period of </w:t>
      </w:r>
      <w:r>
        <w:rPr>
          <w:rFonts w:ascii="Times New Roman;serif" w:hAnsi="Times New Roman;serif"/>
          <w:b w:val="false"/>
          <w:color w:val="000000"/>
          <w:sz w:val="20"/>
        </w:rPr>
        <w:t xml:space="preserve">0.98 years .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Total Stock-Based Compensation Expense</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included in the consolidated statements of comprehensive income:</w:t>
      </w:r>
    </w:p>
    <w:tbl>
      <w:tblPr>
        <w:tblW w:w="7331" w:type="dxa"/>
        <w:jc w:val="left"/>
        <w:tblInd w:w="0" w:type="dxa"/>
        <w:tblLayout w:type="fixed"/>
        <w:tblCellMar>
          <w:top w:w="28" w:type="dxa"/>
          <w:left w:w="28" w:type="dxa"/>
          <w:bottom w:w="28" w:type="dxa"/>
          <w:right w:w="28" w:type="dxa"/>
        </w:tblCellMar>
      </w:tblPr>
      <w:tblGrid>
        <w:gridCol w:w="1269"/>
        <w:gridCol w:w="1117"/>
        <w:gridCol w:w="1123"/>
        <w:gridCol w:w="211"/>
        <w:gridCol w:w="721"/>
        <w:gridCol w:w="109"/>
        <w:gridCol w:w="109"/>
        <w:gridCol w:w="109"/>
        <w:gridCol w:w="109"/>
        <w:gridCol w:w="211"/>
        <w:gridCol w:w="721"/>
        <w:gridCol w:w="109"/>
        <w:gridCol w:w="109"/>
        <w:gridCol w:w="109"/>
        <w:gridCol w:w="109"/>
        <w:gridCol w:w="211"/>
        <w:gridCol w:w="721"/>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07"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16 – INCOME TAXES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represent the U.S. and foreign components of income before income tax for the years ended December 31, 2025, 2024 and 2023:</w:t>
      </w:r>
    </w:p>
    <w:tbl>
      <w:tblPr>
        <w:tblW w:w="6567" w:type="dxa"/>
        <w:jc w:val="left"/>
        <w:tblInd w:w="0" w:type="dxa"/>
        <w:tblLayout w:type="fixed"/>
        <w:tblCellMar>
          <w:top w:w="28" w:type="dxa"/>
          <w:left w:w="28" w:type="dxa"/>
          <w:bottom w:w="28" w:type="dxa"/>
          <w:right w:w="28" w:type="dxa"/>
        </w:tblCellMar>
      </w:tblPr>
      <w:tblGrid>
        <w:gridCol w:w="877"/>
        <w:gridCol w:w="770"/>
        <w:gridCol w:w="783"/>
        <w:gridCol w:w="211"/>
        <w:gridCol w:w="826"/>
        <w:gridCol w:w="109"/>
        <w:gridCol w:w="109"/>
        <w:gridCol w:w="109"/>
        <w:gridCol w:w="109"/>
        <w:gridCol w:w="211"/>
        <w:gridCol w:w="826"/>
        <w:gridCol w:w="109"/>
        <w:gridCol w:w="109"/>
        <w:gridCol w:w="109"/>
        <w:gridCol w:w="109"/>
        <w:gridCol w:w="211"/>
        <w:gridCol w:w="826"/>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represent components of the income tax benefit (expense) for the years ended December 31, 2025, 2024 and 2023:</w:t>
      </w:r>
    </w:p>
    <w:tbl>
      <w:tblPr>
        <w:tblW w:w="7466" w:type="dxa"/>
        <w:jc w:val="left"/>
        <w:tblInd w:w="0" w:type="dxa"/>
        <w:tblLayout w:type="fixed"/>
        <w:tblCellMar>
          <w:top w:w="28" w:type="dxa"/>
          <w:left w:w="28" w:type="dxa"/>
          <w:bottom w:w="28" w:type="dxa"/>
          <w:right w:w="28" w:type="dxa"/>
        </w:tblCellMar>
      </w:tblPr>
      <w:tblGrid>
        <w:gridCol w:w="1234"/>
        <w:gridCol w:w="1088"/>
        <w:gridCol w:w="1097"/>
        <w:gridCol w:w="211"/>
        <w:gridCol w:w="796"/>
        <w:gridCol w:w="109"/>
        <w:gridCol w:w="109"/>
        <w:gridCol w:w="109"/>
        <w:gridCol w:w="109"/>
        <w:gridCol w:w="211"/>
        <w:gridCol w:w="796"/>
        <w:gridCol w:w="109"/>
        <w:gridCol w:w="109"/>
        <w:gridCol w:w="109"/>
        <w:gridCol w:w="109"/>
        <w:gridCol w:w="211"/>
        <w:gridCol w:w="79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U.S. deferred tax benefit (expense) </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benefit (expense)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differs from statutory rates of 21% for U.S. federal income tax purposes and 25% for mainland China income tax purposes due to the effects of the valuation allowance and certain permanent differences as they pertain to book-tax differences in employee stock-based compensation and non-U.S. research and development expense. A new requirement to capitalize and amortize previously deductible research and experimental expenses resulting from a change in Section 174 made by the Tax Cuts and Jobs Act of 2017 (the “TCJA”) became effective on January 1, 2022. Under the TCJA, the Company is required to capitalize, and subsequently amortize R&amp;D expenses over fifteen years for research activities conducted outside of the U.S. The capitalization of overseas R&amp;D expenses resulted in a significant increase in the Company’s global intangible low-taxed income inclusion beginning in 2022. The enactment of the One, Big, Beautiful, Bill Act, signed into law in July 2025, repeals the mandatory capitalization requirement for domestic R&amp;D expenses for tax years beginning after December 31, 2025. However, the capitalization requirement for research activities conducted outside of the U.S remains unchanged.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Pursuant to the Corporate Income Tax Law of mainland China, all of the Company’s mainland China subsidiaries are liable to mainland China Corporate Income Taxes at a rate of 25%, except for ACM Shanghai and ACM Lingang.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Certain entities which meet requirements according to the Policy of the Lingang New area in China (Shanghai) Pilot Free Trade Zone are entitled to a preferential income tax rate of 15%. ACM Lingang was certified for this in 2021, and this preferential income tax rate was valid from January 1, 2020 until December 31, 2024.ACM Lingang’s tax is expected to be exempt for first two profitable years after net operating loss utilization and half of the statutory tax rate for the next three years.</w:t>
      </w:r>
      <w:r>
        <w:rPr>
          <w:color w:val="000000"/>
          <w:shd w:fill="FFFFFF" w:val="clear"/>
        </w:rPr>
        <w:t xml:space="preserve"> </w:t>
      </w:r>
      <w:r>
        <w:rPr>
          <w:rFonts w:ascii="Times New Roman;serif" w:hAnsi="Times New Roman;serif"/>
          <w:b w:val="false"/>
          <w:color w:val="000000"/>
          <w:sz w:val="20"/>
        </w:rPr>
        <w:t xml:space="preserve">The provision for mainland China corporate income tax for ACM Shanghai is calculated by applying the income tax rate of 15% for the years ended December 31, 2025, 2024 and 2023 .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08"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for the years ended December 31, 2025, 2024 and 2023 differed from the amounts computed by applying the statutory U.S. federal income tax rate of 21% to pretax income as a result of the following:</w:t>
      </w:r>
    </w:p>
    <w:tbl>
      <w:tblPr>
        <w:tblW w:w="6934" w:type="dxa"/>
        <w:jc w:val="left"/>
        <w:tblInd w:w="0" w:type="dxa"/>
        <w:tblLayout w:type="fixed"/>
        <w:tblCellMar>
          <w:top w:w="28" w:type="dxa"/>
          <w:left w:w="28" w:type="dxa"/>
          <w:bottom w:w="28" w:type="dxa"/>
          <w:right w:w="28" w:type="dxa"/>
        </w:tblCellMar>
      </w:tblPr>
      <w:tblGrid>
        <w:gridCol w:w="1310"/>
        <w:gridCol w:w="1150"/>
        <w:gridCol w:w="1154"/>
        <w:gridCol w:w="291"/>
        <w:gridCol w:w="294"/>
        <w:gridCol w:w="294"/>
        <w:gridCol w:w="118"/>
        <w:gridCol w:w="118"/>
        <w:gridCol w:w="118"/>
        <w:gridCol w:w="255"/>
        <w:gridCol w:w="256"/>
        <w:gridCol w:w="294"/>
        <w:gridCol w:w="118"/>
        <w:gridCol w:w="118"/>
        <w:gridCol w:w="118"/>
        <w:gridCol w:w="291"/>
        <w:gridCol w:w="294"/>
        <w:gridCol w:w="343"/>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reconciliation:</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at statutory rate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taxed in US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research and development expense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permanent difference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Effective income tax rate</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9.8 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21.0 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16.6 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the federal statutory income tax rate to the effective income tax rate for the year ended December 31, 2025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09"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104</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8252" w:type="dxa"/>
        <w:jc w:val="center"/>
        <w:tblInd w:w="0" w:type="dxa"/>
        <w:tblLayout w:type="fixed"/>
        <w:tblCellMar>
          <w:top w:w="28" w:type="dxa"/>
          <w:left w:w="28" w:type="dxa"/>
          <w:bottom w:w="28" w:type="dxa"/>
          <w:right w:w="28" w:type="dxa"/>
        </w:tblCellMar>
      </w:tblPr>
      <w:tblGrid>
        <w:gridCol w:w="1854"/>
        <w:gridCol w:w="1635"/>
        <w:gridCol w:w="1640"/>
        <w:gridCol w:w="285"/>
        <w:gridCol w:w="994"/>
        <w:gridCol w:w="147"/>
        <w:gridCol w:w="147"/>
        <w:gridCol w:w="147"/>
        <w:gridCol w:w="147"/>
        <w:gridCol w:w="294"/>
        <w:gridCol w:w="294"/>
        <w:gridCol w:w="296"/>
        <w:gridCol w:w="109"/>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Tax rate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and Rate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effect*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Foreign tax effects</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differential</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incentive adjustment</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R&amp;D deduction</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Enactment of new tax laws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Effect of cross-border tax laws </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Tax Credits</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Items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changes in unrecognized tax benefits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Share-based payment awards</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Expense / Effective Tax Rate</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13,299</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2025, state and local income taxes in California comprise the majority of the domestic and state and local income taxes, net of the federal income tax effect category.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 effects of temporary differences that give rise to significant portions of the Company’s deferred tax assets at December 31, 2025 and 2024 are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0"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105</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8270" w:type="dxa"/>
        <w:jc w:val="center"/>
        <w:tblInd w:w="0" w:type="dxa"/>
        <w:tblLayout w:type="fixed"/>
        <w:tblCellMar>
          <w:top w:w="28" w:type="dxa"/>
          <w:left w:w="28" w:type="dxa"/>
          <w:bottom w:w="28" w:type="dxa"/>
          <w:right w:w="28" w:type="dxa"/>
        </w:tblCellMar>
      </w:tblPr>
      <w:tblGrid>
        <w:gridCol w:w="1991"/>
        <w:gridCol w:w="1746"/>
        <w:gridCol w:w="1752"/>
        <w:gridCol w:w="211"/>
        <w:gridCol w:w="721"/>
        <w:gridCol w:w="109"/>
        <w:gridCol w:w="109"/>
        <w:gridCol w:w="109"/>
        <w:gridCol w:w="109"/>
        <w:gridCol w:w="211"/>
        <w:gridCol w:w="721"/>
        <w:gridCol w:w="109"/>
        <w:gridCol w:w="109"/>
        <w:gridCol w:w="109"/>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 forwards (offshore)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 forwards (U.S.) and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other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(offshore)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and unrealized gain on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weight is given to evidence that can be objectively verified. Based on all available evidence, a partial valuation allowance has been established against some net deferred tax assets as of December 31, 2025 and 2024, based on estimates of recoverability. In order to fully realize the deferred tax assets, the Company must generate sufficient taxable income in future periods before the expiration of the deferred tax assets governed by the tax code.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valuation allowances, respectively, of $5,789 and $5,467 for U.S. federal purposes, $593 and $295 for U.S. state purposes and $2,182 and $20,209 for mainland China income tax purposes, and $840 and $515 for Korea income tax purposes.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operating loss carryforward amounts, or NOLs, of $1,056 for U.S. federal income tax purposes and $7,364 for U.S. state income tax purposes. As of December 31, 2024, the Company had NOLs, of $2,030 for U.S. federal income tax purposes and $929 for U.S. state income tax purposes. As of December 31, 2023, the Company had NOLs of $3,121 for U.S. federal income tax purposes and $593 for U.S. state income tax purposes.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NOLs, respectively, $17,863 and $30,481 for mainland China income tax purposes and $3,816 and $2,339 for South Korea income tax purposes. Such losses begin expiring in 2037, 2032, 2028 and 2037 for U.S. federal, U.S. state, mainland China, and South Korea income tax purposes,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provisions of the U.S. Internal Revenue Code (the “IRC”), a limitation applies to the use of the U.S. net operating loss and credit carry-forwards that would be applicable if ACM experiences an “ownership change,” as defined in IRC Section 382. ACM conducted an analysis of its stock ownership under IRC Section 382 and $2,030 of the net operating loss carryforwards are subject to annual limitation as a result of the ownership change in 2017. The net operating loss carryforwards are not expected to expire before utilization.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Tax positions are evaluated in a two-step process. The Company first determines whether it is more likely than not that a tax position will be sustained upon examination.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1"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106</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balance of gross unrecognized tax benefits for the years ended December 31, 2025, 2024 and 2023 were as follows:</w:t>
      </w:r>
    </w:p>
    <w:tbl>
      <w:tblPr>
        <w:tblW w:w="8771" w:type="dxa"/>
        <w:jc w:val="left"/>
        <w:tblInd w:w="0" w:type="dxa"/>
        <w:tblLayout w:type="fixed"/>
        <w:tblCellMar>
          <w:top w:w="28" w:type="dxa"/>
          <w:left w:w="28" w:type="dxa"/>
          <w:bottom w:w="28" w:type="dxa"/>
          <w:right w:w="28" w:type="dxa"/>
        </w:tblCellMar>
      </w:tblPr>
      <w:tblGrid>
        <w:gridCol w:w="1794"/>
        <w:gridCol w:w="1573"/>
        <w:gridCol w:w="1582"/>
        <w:gridCol w:w="211"/>
        <w:gridCol w:w="721"/>
        <w:gridCol w:w="109"/>
        <w:gridCol w:w="109"/>
        <w:gridCol w:w="109"/>
        <w:gridCol w:w="109"/>
        <w:gridCol w:w="211"/>
        <w:gridCol w:w="721"/>
        <w:gridCol w:w="109"/>
        <w:gridCol w:w="109"/>
        <w:gridCol w:w="109"/>
        <w:gridCol w:w="109"/>
        <w:gridCol w:w="211"/>
        <w:gridCol w:w="721"/>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of unrecognized tax benefits related to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of unrecognized tax benefits taken in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 related to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taxation in the United States,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had $20,905 and $16,774 of unrecognized tax benefits as of December 31, 2025 and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uncertain tax positions in income tax expense. As of December 31, 2025 and 2024, respectively, the Company had $7,094 and $2,973 of accrued penalties and interest related to uncertain tax positions, all of which was recognized in the Company’s consolidated statements of comprehensive income for the year then ended. The amount of the unrecognized tax benefit that, if recognized, would impact the effective tax rate was $20,770 as of December 31, 2025. There were no ongoing examinations by taxing authorities as of December 31, 2025 or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TCJA, the Company asserted that all unremitted earnings of its foreign subsidiaries were considered indefinitely reinvested. As a result of the TCJA, the Company reported and paid U.S. tax on the majority of its previously unremitted foreign earnings, and repatriations of foreign earnings will generally be free of U.S. federal tax, but may incur other taxes such as withholding or state taxes. As of December 31, 2025, the Company has not made a provision for U.S. or additional foreign withholding taxes on approximately $343,266 of undistributed earnings of its foreign subsidiaries that is indefinitely reinvested. Generally, such amounts become subject to U.S. taxation upon the remittance of dividends and under certain other circumstances.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Cash income taxes paid by the Company were as follows</w:t>
      </w:r>
      <w:r>
        <w:rPr>
          <w:rFonts w:ascii="Times New Roman;serif" w:hAnsi="Times New Roman;serif"/>
          <w:b w:val="false"/>
          <w:i/>
          <w:color w:val="000000"/>
          <w:sz w:val="20"/>
        </w:rPr>
        <w:t>:</w:t>
      </w:r>
    </w:p>
    <w:p>
      <w:pPr>
        <w:pStyle w:val="TextBody"/>
        <w:bidi w:val="0"/>
        <w:spacing w:before="0" w:after="0"/>
        <w:jc w:val="both"/>
        <w:rPr/>
      </w:pPr>
      <w:r>
        <w:rPr/>
      </w:r>
    </w:p>
    <w:tbl>
      <w:tblPr>
        <w:tblW w:w="4184" w:type="dxa"/>
        <w:jc w:val="center"/>
        <w:tblInd w:w="0" w:type="dxa"/>
        <w:tblLayout w:type="fixed"/>
        <w:tblCellMar>
          <w:top w:w="28" w:type="dxa"/>
          <w:left w:w="28" w:type="dxa"/>
          <w:bottom w:w="28" w:type="dxa"/>
          <w:right w:w="28" w:type="dxa"/>
        </w:tblCellMar>
      </w:tblPr>
      <w:tblGrid>
        <w:gridCol w:w="492"/>
        <w:gridCol w:w="431"/>
        <w:gridCol w:w="441"/>
        <w:gridCol w:w="548"/>
        <w:gridCol w:w="1872"/>
        <w:gridCol w:w="400"/>
      </w:tblGrid>
      <w:tr>
        <w:trPr/>
        <w:tc>
          <w:tcPr>
            <w:tcW w:w="4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U.S.</w:t>
            </w:r>
          </w:p>
        </w:tc>
        <w:tc>
          <w:tcPr>
            <w:tcW w:w="2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2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w:t>
            </w:r>
          </w:p>
        </w:tc>
        <w:tc>
          <w:tcPr>
            <w:tcW w:w="2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29,811 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32,375 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17 –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identifies operating segments according to how the business activities are managed and evaluated. The Company’s chief operating decision maker (“CODM”) has been identified as ACM’s Chief Executive Officer.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2"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107</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Company's operating segments include ACM Research and ACM Shanghai. As the Company is engaged in the development,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CODM assesses financial performance for the Company and decides how to allocate resources based on consolidated revenue, gross margin and income from operations. The CODM considers forecasts and actual results on a regular basis when assessing the operating results and making resource decisions.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expenses within income from operations, as well as within net income, include consolidated cost of revenue, sales and marketing, research and development, and general and administrative, and which are each separately presented in the Company’s consolidated statements of comprehensive income. Other segment items within net income include interest income, interest expense, income from equity method investments and other (expense) income, net, which are each separately presented on the Company’s consolidated statements of comprehensive income. The measure of segment assets is reported on the consolidated balance sheets as total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by geographic location is determined by the location of customers’ facilities to which products were shipped. Long-lived assets consist primarily of property, plant and equipment, and right-of-use assets and are attributed to the geographic location in which the respective asset is located. Long-lived assets by geographic region as of the years ended were as follows:</w:t>
      </w:r>
    </w:p>
    <w:tbl>
      <w:tblPr>
        <w:tblW w:w="5438" w:type="dxa"/>
        <w:jc w:val="left"/>
        <w:tblInd w:w="0" w:type="dxa"/>
        <w:tblLayout w:type="fixed"/>
        <w:tblCellMar>
          <w:top w:w="28" w:type="dxa"/>
          <w:left w:w="28" w:type="dxa"/>
          <w:bottom w:w="28" w:type="dxa"/>
          <w:right w:w="28" w:type="dxa"/>
        </w:tblCellMar>
      </w:tblPr>
      <w:tblGrid>
        <w:gridCol w:w="1004"/>
        <w:gridCol w:w="884"/>
        <w:gridCol w:w="886"/>
        <w:gridCol w:w="211"/>
        <w:gridCol w:w="826"/>
        <w:gridCol w:w="109"/>
        <w:gridCol w:w="109"/>
        <w:gridCol w:w="109"/>
        <w:gridCol w:w="109"/>
        <w:gridCol w:w="211"/>
        <w:gridCol w:w="82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Mainland China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18 – COMMITMENTS AND CONTINGENCIES</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leases offices and manufacturing locations under non-cancelable operating lease agreements. As of December 31, 2025, the Company had $2,063 of open commitments to construction contracts.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7 years after the land use right was obtained in July 2020, the Company does not (i) generate a minimum specified amount of annual sales of products manufactured on the granted land or (ii) pay to mainland China at least RM</w:t>
      </w:r>
      <w:r>
        <w:rPr>
          <w:rFonts w:ascii="Times New Roman;serif" w:hAnsi="Times New Roman;serif"/>
          <w:b w:val="false"/>
          <w:color w:val="000000"/>
          <w:sz w:val="20"/>
        </w:rPr>
        <w:t xml:space="preserve">B 157.6 million ($22,000) in annual total taxes (including value-added taxes, corporate income tax, personal income taxes, urban maintenance and construction taxes, education surcharges, stamp taxes, and vehicle and shipping taxes) as a result of </w:t>
      </w:r>
      <w:r>
        <w:rPr>
          <w:rFonts w:ascii="Times New Roman;serif" w:hAnsi="Times New Roman;serif"/>
          <w:b w:val="false"/>
          <w:color w:val="000000"/>
          <w:sz w:val="20"/>
          <w:shd w:fill="FFFFFF" w:val="clear"/>
        </w:rPr>
        <w:t>operations in connection with the granted 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contingencies, including legal proceedings, investigations, and environmental claims arising out of the normal course of business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ACM's subsidiary, ACM Korea, received inquiries from the Seoul Customs Office ("SCO") regarding certain goods produced and shipped by ACM Korea to overseas markets. As of December 31, 2025, the SCO has completed its investigation and has issued a fine to ACM Korea, which ACM Korea paid and has formally appealed. The matter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13"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formally transferred to a regional prosecutor’s office in Korea, and is currently pending review and next steps, if any. The investigation is on-going and remains in its preliminary stages, and as such, this matter is subject to uncertainties and further developments as it proceeds. Although the Company cannot predict the outcome of this, or any other related governmental inquiries or proceedings that may occur, the Company does not believe at this time it will have a material effect on its consolidated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all other proceedings and claims that existed as of December 31, 2025. In the opinion of management, except with respect to the ACM Korea customs matter described above, no provision for liability nor disclosure was required as of December 31, 2025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no material outstanding legal proceedings.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19 -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space under non-cancelable operating leases for several office and manufacturing locations. These leases do not have significant rent escalation holidays, concessions, leasehold improvement incentives, or other build-out clauses. Further, the leases do not contain contingent rent provisions.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Most leases include one or more options to renew. The Company regularly evaluates the renewal options, and when they are reasonably certain of exercise, the Company includes the renewal period in its lease term.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leases also include a right to use state-owned land in mainland China with lease terms of 50 years expiring in 2070, for which an upfront lump-sum payment was made during the year ended December 31, 2022.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5306"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434"/>
        <w:gridCol w:w="2124"/>
        <w:gridCol w:w="2138"/>
        <w:gridCol w:w="211"/>
        <w:gridCol w:w="616"/>
        <w:gridCol w:w="109"/>
        <w:gridCol w:w="109"/>
        <w:gridCol w:w="109"/>
        <w:gridCol w:w="109"/>
        <w:gridCol w:w="211"/>
        <w:gridCol w:w="616"/>
        <w:gridCol w:w="109"/>
        <w:gridCol w:w="109"/>
        <w:gridCol w:w="109"/>
        <w:gridCol w:w="109"/>
        <w:gridCol w:w="211"/>
        <w:gridCol w:w="616"/>
        <w:gridCol w:w="156"/>
      </w:tblGrid>
      <w:tr>
        <w:trPr/>
        <w:tc>
          <w:tcPr>
            <w:tcW w:w="243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 from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obtained in exchange for new operating lease liabilities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14"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109</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for all operating leases were as follows as of December 31, 2025:</w:t>
      </w:r>
    </w:p>
    <w:tbl>
      <w:tblPr>
        <w:tblW w:w="4454" w:type="dxa"/>
        <w:jc w:val="center"/>
        <w:tblInd w:w="0" w:type="dxa"/>
        <w:tblLayout w:type="fixed"/>
        <w:tblCellMar>
          <w:top w:w="28" w:type="dxa"/>
          <w:left w:w="28" w:type="dxa"/>
          <w:bottom w:w="28" w:type="dxa"/>
          <w:right w:w="28" w:type="dxa"/>
        </w:tblCellMar>
      </w:tblPr>
      <w:tblGrid>
        <w:gridCol w:w="970"/>
        <w:gridCol w:w="851"/>
        <w:gridCol w:w="864"/>
        <w:gridCol w:w="380"/>
        <w:gridCol w:w="1110"/>
        <w:gridCol w:w="279"/>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terms and discount rates for all operating leases, excluding land-use right, were as follows as of December 31, 2025 and 2024:</w:t>
      </w:r>
    </w:p>
    <w:tbl>
      <w:tblPr>
        <w:tblW w:w="5880" w:type="dxa"/>
        <w:jc w:val="left"/>
        <w:tblInd w:w="0" w:type="dxa"/>
        <w:tblLayout w:type="fixed"/>
        <w:tblCellMar>
          <w:top w:w="28" w:type="dxa"/>
          <w:left w:w="28" w:type="dxa"/>
          <w:bottom w:w="28" w:type="dxa"/>
          <w:right w:w="28" w:type="dxa"/>
        </w:tblCellMar>
      </w:tblPr>
      <w:tblGrid>
        <w:gridCol w:w="1414"/>
        <w:gridCol w:w="1241"/>
        <w:gridCol w:w="1245"/>
        <w:gridCol w:w="255"/>
        <w:gridCol w:w="256"/>
        <w:gridCol w:w="292"/>
        <w:gridCol w:w="109"/>
        <w:gridCol w:w="109"/>
        <w:gridCol w:w="109"/>
        <w:gridCol w:w="255"/>
        <w:gridCol w:w="256"/>
        <w:gridCol w:w="339"/>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lease term and discount rate:</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20 – PARENT COMPANY ONLY CONDENSED FINANCIAL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presentation of the parent company only condensed financial information, the Company records its investments in subsidiaries under the equity method of accounting as prescribed in ASC 323, Investments—Equity Method and Joint Ventures. Such investments are presented on the condensed balance sheets as “Investment in consolidated subsidiaries and equity method investees” and the subsidiaries’ losses and gains as “Equity in earnings of consolidated subsidiaries and equity method investees” on the condensed statements of comprehensive income. Certain information and footnote disclosures generally included in the financial statements prepared in accordance with GAAP have been condensed or omitted. The footnote disclosure contains supplemental information relating to the operations of ACM separately.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Shanghai paid a dividend to ACM Research during the years ended December 31, 2025, 2024, and 2023 (note 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Except for long-term obligations, or guarantees, and a loan borrowed by ACM Inc. from China CITIC Bank (note 10), ACM does not have significant capital or other commitments, as of December 31, 2025 or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represents condensed unconsolidated financial information of ACM Research only as of December 31, 2025 and 2024, and for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15"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110</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CONDENSED BALANCE SHEETS</w:t>
      </w:r>
    </w:p>
    <w:tbl>
      <w:tblPr>
        <w:tblW w:w="8798" w:type="dxa"/>
        <w:jc w:val="left"/>
        <w:tblInd w:w="0" w:type="dxa"/>
        <w:tblLayout w:type="fixed"/>
        <w:tblCellMar>
          <w:top w:w="28" w:type="dxa"/>
          <w:left w:w="28" w:type="dxa"/>
          <w:bottom w:w="28" w:type="dxa"/>
          <w:right w:w="28" w:type="dxa"/>
        </w:tblCellMar>
      </w:tblPr>
      <w:tblGrid>
        <w:gridCol w:w="2156"/>
        <w:gridCol w:w="1902"/>
        <w:gridCol w:w="1926"/>
        <w:gridCol w:w="211"/>
        <w:gridCol w:w="976"/>
        <w:gridCol w:w="109"/>
        <w:gridCol w:w="109"/>
        <w:gridCol w:w="109"/>
        <w:gridCol w:w="109"/>
        <w:gridCol w:w="211"/>
        <w:gridCol w:w="826"/>
        <w:gridCol w:w="154"/>
      </w:tblGrid>
      <w:tr>
        <w:trPr/>
        <w:tc>
          <w:tcPr>
            <w:tcW w:w="215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intercompany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tax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Property, plant and equipment,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Investment in consolidated subsidiaries and equity method investees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Accounts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payables and accrued expenses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FIN-48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shd w:fill="CCEEFF" w:val="clear"/>
              </w:rPr>
            </w:pPr>
            <w:r>
              <w:rPr>
                <w:color w:val="000000"/>
                <w:shd w:fill="CCEEFF" w:val="clear"/>
              </w:rPr>
              <w:t>     </w:t>
            </w:r>
            <w:r>
              <w:rPr>
                <w:rFonts w:ascii="Times New Roman;serif" w:hAnsi="Times New Roman;serif"/>
                <w:b w:val="false"/>
                <w:color w:val="000000"/>
                <w:sz w:val="20"/>
                <w:shd w:fill="CCEEFF" w:val="clear"/>
              </w:rPr>
              <w:t>Long-term borrowings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shd w:fill="CCEEFF" w:val="clear"/>
              </w:rPr>
            </w:pPr>
            <w:r>
              <w:rPr>
                <w:color w:val="000000"/>
                <w:shd w:fill="CCEEFF" w:val="clear"/>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16"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111</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CONDENSED STATEMENTS OF OPERATIONS</w:t>
      </w:r>
    </w:p>
    <w:tbl>
      <w:tblPr>
        <w:tblW w:w="10205" w:type="dxa"/>
        <w:jc w:val="left"/>
        <w:tblInd w:w="0" w:type="dxa"/>
        <w:tblLayout w:type="fixed"/>
        <w:tblCellMar>
          <w:top w:w="28" w:type="dxa"/>
          <w:left w:w="28" w:type="dxa"/>
          <w:bottom w:w="28" w:type="dxa"/>
          <w:right w:w="28" w:type="dxa"/>
        </w:tblCellMar>
      </w:tblPr>
      <w:tblGrid>
        <w:gridCol w:w="2271"/>
        <w:gridCol w:w="2000"/>
        <w:gridCol w:w="2006"/>
        <w:gridCol w:w="211"/>
        <w:gridCol w:w="826"/>
        <w:gridCol w:w="109"/>
        <w:gridCol w:w="109"/>
        <w:gridCol w:w="109"/>
        <w:gridCol w:w="109"/>
        <w:gridCol w:w="211"/>
        <w:gridCol w:w="721"/>
        <w:gridCol w:w="109"/>
        <w:gridCol w:w="109"/>
        <w:gridCol w:w="109"/>
        <w:gridCol w:w="109"/>
        <w:gridCol w:w="211"/>
        <w:gridCol w:w="721"/>
        <w:gridCol w:w="155"/>
      </w:tblGrid>
      <w:tr>
        <w:trPr/>
        <w:tc>
          <w:tcPr>
            <w:tcW w:w="227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6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consolidated subsidiaries and equity method investees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investments,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ACM Research,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CONDENSED STATEMENTS OF CASH FLOWS</w:t>
      </w:r>
    </w:p>
    <w:tbl>
      <w:tblPr>
        <w:tblW w:w="8142" w:type="dxa"/>
        <w:jc w:val="left"/>
        <w:tblInd w:w="0" w:type="dxa"/>
        <w:tblLayout w:type="fixed"/>
        <w:tblCellMar>
          <w:top w:w="28" w:type="dxa"/>
          <w:left w:w="28" w:type="dxa"/>
          <w:bottom w:w="28" w:type="dxa"/>
          <w:right w:w="28" w:type="dxa"/>
        </w:tblCellMar>
      </w:tblPr>
      <w:tblGrid>
        <w:gridCol w:w="1563"/>
        <w:gridCol w:w="1376"/>
        <w:gridCol w:w="1381"/>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21: SUBSEQUENT EVENTS</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30, 2026, ACM Shanghai issued a notice to the Shanghai Stock Exchange that ACM Research intended to sell up to 4,801,648 shares of ACM Shanghai through an inquiry-based share transfer plan. On February 6, 2026, ACM Shanghai notified the Shanghai Stock Exchange that ACM Research sold 4,801,648 shares of ACM Shanghai at a price of RMB 160.00 (approximately $23.05)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17"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112</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9A.    Controls and Procedures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pursuant to Rule 13a-15 under the Securities Exchange Act of 1934, as amended (the “Exchange Act”). 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this evaluation, our Chief Executive Officer and our Chief Financial Officer concluded that, as of December 31, 2025, our disclosure controls and procedures were designed at a reasonable assurance level and were effective to provide reasonable assurance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as appropriate, to allow timely decisions regarding required disclosures.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 Integrated Framework (2013) issued by the Committee of Sponsoring Organizations of the Treadway Commission (“COSO”). Our management concluded that our internal control over financial reporting was effective as of December 31, 2025.</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Attestation Report of Independent Registered Public Accounting Firm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tested by Ernst &amp; Young Hua Ming LLP, our independent registered public accounting firm, as stated in their report which is included in Part II, Item 8 of this report.</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most recent fiscal quarter ended December 31, 2025 that has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20, 2025, Charles Pappis , a member of the Board of Directors of ACM Research, adopted a Rule 10b5-1 trading arrangement (the “Pappis Plan”) that is intended to satisfy the affirmative defense of Rule 10b5-1(c) of the Exchange Act. The Pappis Plan allows for the contemporaneous exercise of options and sale of up to 10,000 shares of Class A Common Stock, at specific market prices, commencing on March 3, 2026, and continuing until (i) all such options are exercised and the underlying shares are sold, (ii) March 3, 2027, or (iii) such date that the Pappis Plan is otherwise terminated according to its terms, whichever comes first.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18"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113</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56" w:before="0" w:after="0"/>
        <w:jc w:val="both"/>
        <w:rPr/>
      </w:pPr>
      <w:r>
        <w:rPr>
          <w:rFonts w:ascii="Times New Roman;serif" w:hAnsi="Times New Roman;serif"/>
          <w:b w:val="false"/>
          <w:color w:val="000000"/>
          <w:sz w:val="20"/>
        </w:rPr>
        <w:t>On December 2, 2025,</w:t>
      </w:r>
      <w:r>
        <w:rPr>
          <w:color w:val="000000"/>
          <w:shd w:fill="FFFFFF" w:val="clear"/>
        </w:rPr>
        <w:t xml:space="preserve"> </w:t>
      </w:r>
      <w:r>
        <w:rPr>
          <w:rFonts w:ascii="Times New Roman;serif" w:hAnsi="Times New Roman;serif"/>
          <w:b w:val="false"/>
          <w:color w:val="000000"/>
          <w:sz w:val="20"/>
          <w:shd w:fill="FFFFFF" w:val="clear"/>
        </w:rPr>
        <w:t>Lisa Feng, Chief Financial Officer of ACM Shanghai, t, adopted a Rule 10b5-1 trading arrangement (the “Feng Plan”) that is intended to satisfy the affirmative defense of Ru</w:t>
      </w:r>
      <w:r>
        <w:rPr>
          <w:rFonts w:ascii="Times New Roman;serif" w:hAnsi="Times New Roman;serif"/>
          <w:b w:val="false"/>
          <w:color w:val="000000"/>
          <w:sz w:val="20"/>
        </w:rPr>
        <w:t>le 10b5-1(c) of the Exchange Act. The Feng Plan allows for the contemporaneous exercise of options and sale of up to 30,000 shares of Class A Common Stock, at specific market prices, commencing on March 5, 2026, and continuing until (i) all such options are exercised and the underlying shares are sold, (ii) March 4, 2027, or (iii) such date that the Feng Plan is otherwise terminated according to its terms, whichever comes first.</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4, 2025, Tracy Liu , a member of the Board of Directors of ACM Research, adopted a Rule 10b5-1 trading arrangement (the “Liu Plan”) that is intended to satisfy the affirmative defense of Rule 10b5-1(c) of the Exchange Act. The Liu Plan allows for the contemporaneous exercise of options and sale of up to 60,000 shares of Class A Common Stock, at specific market prices, commencing on March 10, 2026, and continuing until (i) all such options are exercised and the underlying shares are sold, (ii) December 15, 2026, or (iii) such date that the Liu Plan is otherwise terminated according to its terms, whichever comes first.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9C.    Disclosure Regarding Foreign Jurisdictions that Prevent Inspections</w:t>
      </w:r>
    </w:p>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(a)ACM Research was identified by the SEC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PCAOB had then determined it was unable to inspect or investigate completely because of a position taken by an authority in the foreign jurisdiction, which determination was vacated by the PCAOB on December 15, 2022. ACM Research herein confirms that it is not owned or controlled by any governmental entity in such foreign jurisdiction.</w:t>
      </w:r>
    </w:p>
    <w:p>
      <w:pPr>
        <w:pStyle w:val="TextBody"/>
        <w:bidi w:val="0"/>
        <w:spacing w:lineRule="auto" w:line="288" w:before="240" w:after="283"/>
        <w:ind w:left="0" w:right="0" w:hanging="27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Item14.     Principal Accounting Fees and Services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responsive to this item is incorporated herein by reference to our definitive proxy statement with respect to our 2025 Annual Meeting of Stockholders to be filed with the SEC within 120 days after the end of the fiscal year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19"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114</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See “Item 8. Financial Statements and Supplementary Data – Index to Consolidated Financial Statements” of Part II above and “Exhibit Index” below.</w:t>
      </w:r>
    </w:p>
    <w:p>
      <w:pPr>
        <w:pStyle w:val="TextBody"/>
        <w:bidi w:val="0"/>
        <w:spacing w:lineRule="auto" w:line="288" w:before="240" w:after="283"/>
        <w:jc w:val="both"/>
        <w:rPr/>
      </w:pPr>
      <w:r>
        <w:rPr>
          <w:rFonts w:ascii="Times New Roman;serif" w:hAnsi="Times New Roman;serif"/>
          <w:b w:val="false"/>
          <w:color w:val="000000"/>
          <w:sz w:val="20"/>
          <w:shd w:fill="FFFFFF" w:val="clear"/>
        </w:rPr>
        <w:t>(b)</w:t>
      </w:r>
      <w:r>
        <w:rPr>
          <w:rFonts w:ascii="Times New Roman;serif" w:hAnsi="Times New Roman;serif"/>
          <w:b w:val="false"/>
          <w:color w:val="000000"/>
          <w:sz w:val="20"/>
          <w:shd w:fill="FFFFFF" w:val="clear"/>
        </w:rPr>
        <w:t>Exhibits.</w:t>
      </w:r>
    </w:p>
    <w:tbl>
      <w:tblPr>
        <w:tblW w:w="10205" w:type="dxa"/>
        <w:jc w:val="left"/>
        <w:tblInd w:w="0" w:type="dxa"/>
        <w:tblLayout w:type="fixed"/>
        <w:tblCellMar>
          <w:top w:w="28" w:type="dxa"/>
          <w:left w:w="28" w:type="dxa"/>
          <w:bottom w:w="28" w:type="dxa"/>
          <w:right w:w="28" w:type="dxa"/>
        </w:tblCellMar>
      </w:tblPr>
      <w:tblGrid>
        <w:gridCol w:w="279"/>
        <w:gridCol w:w="245"/>
        <w:gridCol w:w="246"/>
        <w:gridCol w:w="109"/>
        <w:gridCol w:w="109"/>
        <w:gridCol w:w="109"/>
        <w:gridCol w:w="2664"/>
        <w:gridCol w:w="2654"/>
        <w:gridCol w:w="3790"/>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7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both"/>
              <w:rPr/>
            </w:pPr>
            <w:hyperlink r:id="rId7">
              <w:r>
                <w:rPr>
                  <w:rStyle w:val="InternetLink"/>
                  <w:rFonts w:ascii="Times New Roman;serif" w:hAnsi="Times New Roman;serif"/>
                  <w:b w:val="false"/>
                  <w:color w:val="0000EF"/>
                  <w:sz w:val="20"/>
                  <w:u w:val="single"/>
                  <w:shd w:fill="CCEEFF" w:val="clear"/>
                </w:rPr>
                <w:t>3.01(a)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Restated Certificate of Incorporation of ACM Research, Inc. (incorporated herein by reference to Exhibit 3.01 to the Current Report on Form 8-K filed on November 14, 2017)</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8">
              <w:r>
                <w:rPr>
                  <w:rStyle w:val="InternetLink"/>
                  <w:rFonts w:ascii="Times New Roman;serif" w:hAnsi="Times New Roman;serif"/>
                  <w:b w:val="false"/>
                  <w:color w:val="0000EF"/>
                  <w:sz w:val="20"/>
                  <w:u w:val="single"/>
                </w:rPr>
                <w:t>3.01(b)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Certificate of Amendment to Restated Certificate of Incorporation of ACM Research, Inc., dated July 13, 2021 (incorporated herein by reference to Exhibit 3.01 to the Current Report filed on July 13, 2021)</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9">
              <w:r>
                <w:rPr>
                  <w:rStyle w:val="InternetLink"/>
                  <w:rFonts w:ascii="Times New Roman;serif" w:hAnsi="Times New Roman;serif"/>
                  <w:b w:val="false"/>
                  <w:color w:val="0000FF"/>
                  <w:sz w:val="20"/>
                  <w:u w:val="single"/>
                </w:rPr>
                <w:t>3.02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Restated Bylaws of ACM Research, Inc. (incorporated herein by reference to Exhibit 3.02 to the Current Report on Form 8-K filed on November 14, 2017)</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0">
              <w:r>
                <w:rPr>
                  <w:rStyle w:val="InternetLink"/>
                  <w:rFonts w:ascii="Times New Roman;serif" w:hAnsi="Times New Roman;serif"/>
                  <w:b w:val="false"/>
                  <w:color w:val="0000FF"/>
                  <w:sz w:val="20"/>
                  <w:u w:val="single"/>
                </w:rPr>
                <w:t>4.01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Intercompany Promissory Note dated March 30, 2018 issued by ACM Research (Shanghai), Inc. to ACM Research, Inc. (incorporated herein by reference to Exhibit 10.04 to the Quarterly Report on Form 10-Q filed on May 14, 2018)</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10-kexhibit402.htm">
              <w:r>
                <w:rPr>
                  <w:rStyle w:val="InternetLink"/>
                  <w:rFonts w:ascii="Times New Roman;serif" w:hAnsi="Times New Roman;serif"/>
                  <w:b w:val="false"/>
                  <w:color w:val="0000FF"/>
                  <w:sz w:val="20"/>
                  <w:u w:val="single"/>
                </w:rPr>
                <w:t>4.02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Description of ACM Research, Inc.’s Securities</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erif" w:hAnsi="Times New Roman;serif"/>
                  <w:b w:val="false"/>
                  <w:color w:val="0000EF"/>
                  <w:sz w:val="20"/>
                  <w:u w:val="single"/>
                  <w:shd w:fill="CCEEFF" w:val="clear"/>
                </w:rPr>
                <w:t>10.01(a)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dated March 22, 2017 between ACM Research, Inc. and D&amp;J Construction, Inc. (incorporated herein by reference to Exhibit 10.01 to the Registration Statement on Form S-1 filed on September 13, 2017)</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2">
              <w:r>
                <w:rPr>
                  <w:rStyle w:val="InternetLink"/>
                  <w:rFonts w:ascii="Times New Roman;serif" w:hAnsi="Times New Roman;serif"/>
                  <w:b w:val="false"/>
                  <w:color w:val="0000EF"/>
                  <w:sz w:val="20"/>
                  <w:u w:val="single"/>
                </w:rPr>
                <w:t>10.01(b)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Amendment dated February 28, 2018 between ACM Research, Inc. and D&amp;J Construction, Inc. (incorporated herein by reference to Exhibit 10.06 to the Amended Quarterly Report on Form 10-Q/A filed on October 15, 2018)</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Times New Roman;serif" w:hAnsi="Times New Roman;serif"/>
                  <w:b w:val="false"/>
                  <w:color w:val="0000EF"/>
                  <w:sz w:val="20"/>
                  <w:u w:val="single"/>
                  <w:shd w:fill="CCEEFF" w:val="clear"/>
                </w:rPr>
                <w:t>10.01(c)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Amendment dated February 4, 2019 between ACM Research, Inc. and D&amp;J Construction, Inc. (incorporated herein by reference to Exhibit 10.1 to the Current Report on Form 8-K filed on February 8, 2019)</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erif" w:hAnsi="Times New Roman;serif"/>
                  <w:b w:val="false"/>
                  <w:color w:val="0000EF"/>
                  <w:sz w:val="20"/>
                  <w:u w:val="single"/>
                </w:rPr>
                <w:t>10.01(d)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Amendment dated January 4, 2021 between ACM Research, Inc. and D&amp;J Construction, Inc. (incorporated herein by reference to Exhibit 10.01(d) to the Annual Report on Form 10-K filed on March 1, 2022)</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5">
              <w:r>
                <w:rPr>
                  <w:rStyle w:val="InternetLink"/>
                  <w:rFonts w:ascii="Times New Roman;serif" w:hAnsi="Times New Roman;serif"/>
                  <w:b w:val="false"/>
                  <w:color w:val="0000FF"/>
                  <w:sz w:val="20"/>
                  <w:u w:val="single"/>
                </w:rPr>
                <w:t>10.01(e)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Lease Amendment dated February 1, 2023 between ACM Research, Inc. and D&amp;J Construction, Inc</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16">
              <w:r>
                <w:rPr>
                  <w:rStyle w:val="InternetLink"/>
                  <w:rFonts w:ascii="Times New Roman;serif" w:hAnsi="Times New Roman;serif"/>
                  <w:b w:val="false"/>
                  <w:color w:val="0000FF"/>
                  <w:sz w:val="20"/>
                  <w:u w:val="single"/>
                </w:rPr>
                <w:t>10.02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Agreement dated April 26, 2018 between ACM Research (Shanghai), Inc. and Shanghai Zhangjiang Group Co., Ltd. (incorporated herein by reference to Exhibit 10.01 to the Amended Quarterly Report on Form 10-Q/A filed on October 15, 2018)</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7">
              <w:r>
                <w:rPr>
                  <w:rStyle w:val="InternetLink"/>
                  <w:rFonts w:ascii="Times New Roman;serif" w:hAnsi="Times New Roman;serif"/>
                  <w:b w:val="false"/>
                  <w:color w:val="0000FF"/>
                  <w:sz w:val="20"/>
                  <w:u w:val="single"/>
                </w:rPr>
                <w:t>10.03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Lease Agreement dated January 18, 2018 between ACM Research (Shanghai), Inc. and Shanghai Shengyu Culture Development Co., Ltd. (incorporated herein by reference to Exhibit 10.05 to the Amended Quarterly Report on Form 10-Q/A filed on October 15, 2018)</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18">
              <w:r>
                <w:rPr>
                  <w:rStyle w:val="InternetLink"/>
                  <w:rFonts w:ascii="Times New Roman;serif" w:hAnsi="Times New Roman;serif"/>
                  <w:b w:val="false"/>
                  <w:color w:val="0000FF"/>
                  <w:sz w:val="20"/>
                  <w:u w:val="single"/>
                </w:rPr>
                <w:t>10.04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Signed Purchase and Sale Agreement and Receipt for Earnest Money, dated July 30, 2024, by and among ACM Research, Inc. and William R. O’Neill, Lynda E. O’Neill and Gordon A. Harris (incorporated herein by reference to Exhibit 10.01 to the Quarterly Report on Form 10-Q filed on August 7, 2024)</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19">
              <w:r>
                <w:rPr>
                  <w:rStyle w:val="InternetLink"/>
                  <w:rFonts w:ascii="Times New Roman;serif" w:hAnsi="Times New Roman;serif"/>
                  <w:b w:val="false"/>
                  <w:color w:val="0000FF"/>
                  <w:sz w:val="20"/>
                  <w:u w:val="single"/>
                </w:rPr>
                <w:t>10.05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Securities Purchase Agreement dated March 23, 2017 between ACM Research, Inc. and Shanghai Science and Technology Venture Capital Co., Ltd., as amended (incorporated herein by reference to Exhibit 10.04 to the Amended Registration Statement on Form S-1/A filed on October 18, 2017)</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0">
              <w:r>
                <w:rPr>
                  <w:rStyle w:val="InternetLink"/>
                  <w:rFonts w:ascii="Times New Roman;serif" w:hAnsi="Times New Roman;serif"/>
                  <w:b w:val="false"/>
                  <w:color w:val="0000FF"/>
                  <w:sz w:val="20"/>
                  <w:u w:val="single"/>
                </w:rPr>
                <w:t>10.06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Ordinary Share Purchase Agreement dated September 6, 2017 by and among ACM Research, Inc., Ninebell Co., Ltd. and Moon-Soo Choi (incorporated herein by reference to Exhibit 10.07 to the Amended Registration Statement on Form S-1/A filed on October 18, 2017)</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1">
              <w:r>
                <w:rPr>
                  <w:rStyle w:val="InternetLink"/>
                  <w:rFonts w:ascii="Times New Roman;serif" w:hAnsi="Times New Roman;serif"/>
                  <w:b w:val="false"/>
                  <w:color w:val="0000FF"/>
                  <w:sz w:val="20"/>
                  <w:u w:val="single"/>
                </w:rPr>
                <w:t>10.08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Capital Increase Agreement between ACM Research, Inc. and certain investors (incorporated herein by reference to Exhibit 10.01 to the Quarterly Report on Form 10-Q filed on August 12, 2019)</w:t>
            </w:r>
          </w:p>
        </w:tc>
      </w:tr>
      <w:tr>
        <w:trPr/>
        <w:tc>
          <w:tcPr>
            <w:tcW w:w="7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erif" w:hAnsi="Times New Roman;serif"/>
                  <w:b w:val="false"/>
                  <w:color w:val="0000EF"/>
                  <w:sz w:val="20"/>
                  <w:u w:val="single"/>
                </w:rPr>
                <w:t>10.08(a)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Schedule identifying agreements substantially identical to the form of Capital Increase Agreement filed as Exhibit 10.12 hereto (incorporated herein by reference to Exhibit 10.01(a) to the Quarterly Report on Form 10-Q filed on August 12, 2019)</w:t>
            </w:r>
          </w:p>
        </w:tc>
      </w:tr>
      <w:tr>
        <w:trPr/>
        <w:tc>
          <w:tcPr>
            <w:tcW w:w="77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3">
              <w:r>
                <w:rPr>
                  <w:rStyle w:val="InternetLink"/>
                  <w:rFonts w:ascii="Times New Roman;serif" w:hAnsi="Times New Roman;serif"/>
                  <w:b w:val="false"/>
                  <w:color w:val="0000FF"/>
                  <w:sz w:val="20"/>
                  <w:u w:val="single"/>
                </w:rPr>
                <w:t>10.09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Agreement between ACM Research, Inc. and certain Investors (incorporated herein by reference to Exhibit 10.02 to the Quarterly Report on Form 10-Q filed on August 12,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0"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115</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2820"/>
        <w:gridCol w:w="2640"/>
        <w:gridCol w:w="3735"/>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4">
              <w:r>
                <w:rPr>
                  <w:rStyle w:val="InternetLink"/>
                  <w:rFonts w:ascii="Times New Roman;serif" w:hAnsi="Times New Roman;serif"/>
                  <w:b w:val="false"/>
                  <w:color w:val="0000EF"/>
                  <w:sz w:val="20"/>
                  <w:u w:val="single"/>
                </w:rPr>
                <w:t>10.09(a)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Schedule identifying agreements substantially identical to the form of Agreement filed as Exhibit 10.13 hereto (incorporated herein by reference to Exhibit 10.02(a) to the Quarterly Report on Form 10-Q filed on August 12, 2019)</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25">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Partnership Agreement of Hefei Shixi Chanheng Integrated Circuit Industry Venture Capital Fund Partnership (LP) dated September 5, 2019 by and among Infotech National Emerging Industry Venture Investment Guidance Fund (LP), Hefei Guozheng Asset Management Co, Ltd., Hefei Economic and Technological Development Zone Industrial Investment Guidance Fund Co., Ltd., ACM Research (Shanghai), Inc., Hefei Tongyi Equity Investment Partnership (LP), Shenzhen Waitan Technology Development Co., Ltd., and Beijing Shixi Qingliu Investment Co., Ltd. (incorporated herein by reference to Exhibit 10.03 to the Quarterly Report on Form 10-Q filed on November 13, 2019)</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26">
              <w:r>
                <w:rPr>
                  <w:rStyle w:val="InternetLink"/>
                  <w:rFonts w:ascii="Times New Roman;serif" w:hAnsi="Times New Roman;serif"/>
                  <w:b w:val="false"/>
                  <w:color w:val="0000FF"/>
                  <w:sz w:val="20"/>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2016 Omnibus Incentive Plan of ACM Research, Inc. (incorporated herein by reference to Exhibit 10.01 to the Quarterly Report on Form 10-Q filed on December 8, 2017)</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27">
              <w:r>
                <w:rPr>
                  <w:rStyle w:val="InternetLink"/>
                  <w:rFonts w:ascii="Times New Roman;serif" w:hAnsi="Times New Roman;serif"/>
                  <w:b w:val="false"/>
                  <w:color w:val="0000EF"/>
                  <w:sz w:val="20"/>
                  <w:u w:val="single"/>
                  <w:shd w:fill="CCEEFF" w:val="clear"/>
                </w:rPr>
                <w:t>10.11(a)+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Incentive Stock Option Grant Notice and Agreement under 2016 Omnibus Incentive Plan (incorporated herein by reference to Exhibit 10.10(a) to the Registration Statement on Form S-1 filed on September 13, 2017)</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28">
              <w:r>
                <w:rPr>
                  <w:rStyle w:val="InternetLink"/>
                  <w:rFonts w:ascii="Times New Roman;serif" w:hAnsi="Times New Roman;serif"/>
                  <w:b w:val="false"/>
                  <w:color w:val="0000EF"/>
                  <w:sz w:val="20"/>
                  <w:u w:val="single"/>
                </w:rPr>
                <w:t>10.11(b)+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Non-qualified Stock Option Grant Notice and Agreement under 2016 Omnibus Incentive Plan (incorporated herein by reference to Exhibit 10.10(b) to the Registration Statement on Form S-1 filed on September 13, 2017)</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29">
              <w:r>
                <w:rPr>
                  <w:rStyle w:val="InternetLink"/>
                  <w:rFonts w:ascii="Times New Roman;serif" w:hAnsi="Times New Roman;serif"/>
                  <w:b w:val="false"/>
                  <w:color w:val="0000EF"/>
                  <w:sz w:val="20"/>
                  <w:u w:val="single"/>
                  <w:shd w:fill="CCEEFF" w:val="clear"/>
                </w:rPr>
                <w:t>10.11(c)+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Restricted Stock Unit Grant Notice and Agreement under 2016 Omnibus Incentive Plan (incorporated herein by reference to Exhibit 10.10(c) to the Registration Statement on Form S-1 filed on September 13, 2017)</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0">
              <w:r>
                <w:rPr>
                  <w:rStyle w:val="InternetLink"/>
                  <w:rFonts w:ascii="Times New Roman;serif" w:hAnsi="Times New Roman;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Nonstatutory Stock Option Agreement of ACM Research, Inc. (incorporated herein by reference to Exhibit 10.11 to the Registration Statement on Form S-1 filed on September 13, 2017)</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31">
              <w:r>
                <w:rPr>
                  <w:rStyle w:val="InternetLink"/>
                  <w:rFonts w:ascii="Times New Roman;serif" w:hAnsi="Times New Roman;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1998 Stock Option Plan of ACM Research, Inc. (incorporated herein by reference to Exhibit 10.12 to the Registration Statement on Form S-1 filed on September 13, 2017)</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2">
              <w:r>
                <w:rPr>
                  <w:rStyle w:val="InternetLink"/>
                  <w:rFonts w:ascii="Times New Roman;serif" w:hAnsi="Times New Roman;serif"/>
                  <w:b w:val="false"/>
                  <w:color w:val="0000EF"/>
                  <w:sz w:val="20"/>
                  <w:u w:val="single"/>
                </w:rPr>
                <w:t>10.13(a)+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Incentive Stock Option Agreement under 1998 Stock Option Plan (incorporated herein by reference to Exhibit 10.12(a) to the Registration Statement on Form S-1 filed on September 13, 2017)</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Times New Roman;serif" w:hAnsi="Times New Roman;serif"/>
                  <w:b w:val="false"/>
                  <w:color w:val="0000EF"/>
                  <w:sz w:val="20"/>
                  <w:u w:val="single"/>
                  <w:shd w:fill="CCEEFF" w:val="clear"/>
                </w:rPr>
                <w:t>10.13(b)+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Non-statutory Stock Option Agreement under 1998 Stock Option Plan (incorporated herein by reference to Exhibit 10.12(b) to the Registration Statement on Form S-1 filed on September 13, 2017)</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34">
              <w:r>
                <w:rPr>
                  <w:rStyle w:val="InternetLink"/>
                  <w:rFonts w:ascii="Times New Roman;serif" w:hAnsi="Times New Roman;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Indemnification Agreement entered into between ACM Research, Inc. and certain of its directors and officers (incorporated herein by reference to Exhibit 10.13 to the Registration Statement on Form S-1 filed on September 13, 2017)</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5">
              <w:r>
                <w:rPr>
                  <w:rStyle w:val="InternetLink"/>
                  <w:rFonts w:ascii="Times New Roman;serif" w:hAnsi="Times New Roman;serif"/>
                  <w:b w:val="false"/>
                  <w:color w:val="0000EF"/>
                  <w:sz w:val="20"/>
                  <w:u w:val="single"/>
                </w:rPr>
                <w:t>10.19‡†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Grant Contract for State-owned Construction Land Use Right in Shanghai City (Category of R&amp;D Headquarters and Industrial Projects) dated as of May 7, 2020 between ACM Research (Lingang), Inc. and China (Shanghai) Pilot Free Trade Zone Lin-gang Special Area Administration (incorporated herein by reference to Exhibit 10.01 to the Current Report on Form 8-K filed on May 13, 2020)</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6">
              <w:r>
                <w:rPr>
                  <w:rStyle w:val="InternetLink"/>
                  <w:rFonts w:ascii="Times New Roman;serif" w:hAnsi="Times New Roman;serif"/>
                  <w:b w:val="false"/>
                  <w:color w:val="0000EF"/>
                  <w:sz w:val="20"/>
                  <w:u w:val="single"/>
                  <w:shd w:fill="CCEEFF" w:val="clear"/>
                </w:rPr>
                <w:t>10.20†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Lock-up of Shares, effective as of May 26, 2020, of ACM Research, Inc. (incorporated herein by reference to Exhibit 10.01 to the Current Report on Form 8-K filed on June 1, 2020)</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7">
              <w:r>
                <w:rPr>
                  <w:rStyle w:val="InternetLink"/>
                  <w:rFonts w:ascii="Times New Roman;serif" w:hAnsi="Times New Roman;serif"/>
                  <w:b w:val="false"/>
                  <w:color w:val="0000EF"/>
                  <w:sz w:val="20"/>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Shareholding Intent and Intent to Reduce Shareholding, effective as of May 26, 2020, of ACM Research, Inc. and David H. Wang (incorporated herein by reference to Exhibit 10.02 to the Current Report to Form 8-K filed on June 1, 2020)</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Times New Roman;serif" w:hAnsi="Times New Roman;serif"/>
                  <w:b w:val="false"/>
                  <w:color w:val="0000EF"/>
                  <w:sz w:val="20"/>
                  <w:u w:val="single"/>
                  <w:shd w:fill="CCEEFF" w:val="clear"/>
                </w:rPr>
                <w:t>10.22†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Plan and Binding Measures for Stabilizing the Stock Price of ACM Research (Shanghai), Inc. Within Three Years After Listing, effective as of May 26, 2020, of ACM Research, Inc., ACM Research (Shanghai), Inc., and certain individuals named therein (incorporated herein by reference to Exhibit 10.03 to the Current Report on Form 8-K filed on June 1, 2020)</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erif" w:hAnsi="Times New Roman;serif"/>
                  <w:b w:val="false"/>
                  <w:color w:val="0000EF"/>
                  <w:sz w:val="20"/>
                  <w:u w:val="single"/>
                </w:rPr>
                <w:t>10.23†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Fraudulent Issuance of Listed Shares, effective as of May 26, 2020, of ACM Research, Inc., ACM Research (Shanghai), Inc. and David H. Wang (incorporated herein by reference to Exhibit 10.04 to the Current Report on Form 8-K filed on June 1, 2020)</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0">
              <w:r>
                <w:rPr>
                  <w:rStyle w:val="InternetLink"/>
                  <w:rFonts w:ascii="Times New Roman;serif" w:hAnsi="Times New Roman;serif"/>
                  <w:b w:val="false"/>
                  <w:color w:val="0000EF"/>
                  <w:sz w:val="20"/>
                  <w:u w:val="single"/>
                  <w:shd w:fill="CCEEFF" w:val="clear"/>
                </w:rPr>
                <w:t>10.24‡†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Lack of False Records, Misleading Statements or Major Omissions in the Preliminary Information Document, effective as of May 26, 2020, of ACM Research, Inc. (incorporated herein by reference to Exhibit 10.05 to the Current Report on Form 8-K filed on June 1, 2020)</w:t>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Times New Roman;serif" w:hAnsi="Times New Roman;serif"/>
                  <w:b w:val="false"/>
                  <w:color w:val="0000EF"/>
                  <w:sz w:val="20"/>
                  <w:u w:val="single"/>
                </w:rPr>
                <w:t>10.25†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Making Up for Diluted Immediate Returns, effective as of May 26, 2020, of ACM Research, Inc. (incorporated herein by reference to Exhibit 10.06 to the Current Report on Form 8-K filed on June 1,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1"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116</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10205" w:type="dxa"/>
        <w:jc w:val="left"/>
        <w:tblInd w:w="0" w:type="dxa"/>
        <w:tblLayout w:type="fixed"/>
        <w:tblCellMar>
          <w:top w:w="28" w:type="dxa"/>
          <w:left w:w="28" w:type="dxa"/>
          <w:bottom w:w="28" w:type="dxa"/>
          <w:right w:w="28" w:type="dxa"/>
        </w:tblCellMar>
      </w:tblPr>
      <w:tblGrid>
        <w:gridCol w:w="276"/>
        <w:gridCol w:w="206"/>
        <w:gridCol w:w="209"/>
        <w:gridCol w:w="109"/>
        <w:gridCol w:w="109"/>
        <w:gridCol w:w="109"/>
        <w:gridCol w:w="2785"/>
        <w:gridCol w:w="2651"/>
        <w:gridCol w:w="3751"/>
      </w:tblGrid>
      <w:tr>
        <w:trPr/>
        <w:tc>
          <w:tcPr>
            <w:tcW w:w="2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erif" w:hAnsi="Times New Roman;serif"/>
                  <w:b w:val="false"/>
                  <w:color w:val="0000EF"/>
                  <w:sz w:val="20"/>
                  <w:u w:val="single"/>
                  <w:shd w:fill="CCEEFF" w:val="clear"/>
                </w:rPr>
                <w:t>10.26‡†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Unfulfilled Commitment on Binding Measures, effective as of May 26, 2020, of ACM Research, Inc. and David H. Wang (incorporated herein by reference to Exhibit 10.07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erif" w:hAnsi="Times New Roman;serif"/>
                  <w:b w:val="false"/>
                  <w:color w:val="0000EF"/>
                  <w:sz w:val="20"/>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Avoidance of Competition in the Same Industry, effective as of May 26, 2020, of ACM Research, Inc. (incorporated herein by reference to Exhibit 10.08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4">
              <w:r>
                <w:rPr>
                  <w:rStyle w:val="InternetLink"/>
                  <w:rFonts w:ascii="Times New Roman;serif" w:hAnsi="Times New Roman;serif"/>
                  <w:b w:val="false"/>
                  <w:color w:val="0000EF"/>
                  <w:sz w:val="20"/>
                  <w:u w:val="single"/>
                  <w:shd w:fill="CCEEFF" w:val="clear"/>
                </w:rPr>
                <w:t>10.28†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Standardization and Reduction of Related Transactions, effective as of May 26, 2020, of ACM Research, Inc. (incorporated herein by reference to Exhibit 10.09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Times New Roman;serif" w:hAnsi="Times New Roman;serif"/>
                  <w:b w:val="false"/>
                  <w:color w:val="0000EF"/>
                  <w:sz w:val="20"/>
                  <w:u w:val="single"/>
                </w:rPr>
                <w:t>10.29†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the Avoidance of Funds Occupation and Illegal Guarantee, effective as of May 26, 2020, of ACM Research, Inc. (incorporated herein by reference to Exhibit 10.10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erif" w:hAnsi="Times New Roman;serif"/>
                  <w:b w:val="false"/>
                  <w:color w:val="0000EF"/>
                  <w:sz w:val="20"/>
                  <w:u w:val="single"/>
                  <w:shd w:fill="CCEEFF" w:val="clear"/>
                </w:rPr>
                <w:t>10.30‡†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Statement and Commitment Letter, effective as of May 26, 2020, of ACM Research, Inc. (incorporated herein by reference to Exhibit 10.11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7">
              <w:r>
                <w:rPr>
                  <w:rStyle w:val="InternetLink"/>
                  <w:rFonts w:ascii="Times New Roman;serif" w:hAnsi="Times New Roman;serif"/>
                  <w:b w:val="false"/>
                  <w:color w:val="0000EF"/>
                  <w:sz w:val="20"/>
                  <w:u w:val="single"/>
                </w:rPr>
                <w:t>10.31†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Property Lease Matters, effective as of May 26, 2020, of ACM Research, Inc. (incorporated herein by reference to Exhibit 10.12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Times New Roman;serif" w:hAnsi="Times New Roman;serif"/>
                  <w:b w:val="false"/>
                  <w:color w:val="0000EF"/>
                  <w:sz w:val="20"/>
                  <w:u w:val="single"/>
                  <w:shd w:fill="CCEEFF" w:val="clear"/>
                </w:rPr>
                <w:t>10.32†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Social Insurance and Housing Provident Fund Matters, effective as of May 26, 2020, of ACM Research, Inc. (incorporated herein by reference to Exhibit 10.13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erif" w:hAnsi="Times New Roman;serif"/>
                  <w:b w:val="false"/>
                  <w:color w:val="0000EF"/>
                  <w:sz w:val="20"/>
                  <w:u w:val="single"/>
                </w:rPr>
                <w:t>10.33†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 Letter Regarding Foreign Exchange Matters, effective as of May 26, 2020, of ACM Research, Inc. (incorporated herein by reference to Exhibit 10.14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erif" w:hAnsi="Times New Roman;serif"/>
                  <w:b w:val="false"/>
                  <w:color w:val="0000EF"/>
                  <w:sz w:val="20"/>
                  <w:u w:val="single"/>
                </w:rPr>
                <w:t>10.34†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Confirmation and Commitment Letter Regarding the Historical Evolution Related Matters Regarding ACM Research (Shanghai), Inc., effective as of May 26, 2020, of ACM Research, Inc. (incorporated herein by reference to Exhibit 10.15 to the Current Report on Form 8-K filed on June 1, 2020)</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Times New Roman;serif" w:hAnsi="Times New Roman;serif"/>
                  <w:b w:val="false"/>
                  <w:color w:val="0000EF"/>
                  <w:sz w:val="20"/>
                  <w:u w:val="single"/>
                </w:rPr>
                <w:t>10.35†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Confirmation Letter, effective as of May 26, 2020, of ACM Research, Inc. (incorporated herein by reference to Exhibit 10.16 to the Current Report on Form 8-K filed on June 1, 2020)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Times New Roman;serif" w:hAnsi="Times New Roman;serif"/>
                  <w:b w:val="false"/>
                  <w:color w:val="0000EF"/>
                  <w:sz w:val="20"/>
                  <w:u w:val="single"/>
                </w:rPr>
                <w:t>10.38†*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Shanghai Public Rental Housing Overall Pre-Sale Contract (incorporated herein by reference to Exhibit 10.01 to the Current Report on Form 8-K filed on February 25,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erif" w:hAnsi="Times New Roman;serif"/>
                  <w:b w:val="false"/>
                  <w:color w:val="0000EF"/>
                  <w:sz w:val="20"/>
                  <w:u w:val="single"/>
                </w:rPr>
                <w:t>10.38(a)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Schedule identifying agreements substantially identical to the form of Shanghai Public Rental Housing Overall Pre-Sale Contract filed as Exhibit 10.43 hereto (incorporated herein by reference to Exhibit 10.01(a) to the Current Report on Form 8-K filed on February 25, 2021)</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erif" w:hAnsi="Times New Roman;serif"/>
                  <w:b w:val="false"/>
                  <w:color w:val="0000EF"/>
                  <w:sz w:val="20"/>
                  <w:u w:val="single"/>
                </w:rPr>
                <w:t>10.39†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Loan and Mortgage Contract dated November 19, 2020 between China Merchants Bank Co., Ltd., Shanghai Pilot Free Trade Zone Lin-Gang Special Area Sub-branch and Shengwei Research (Shanghai), Inc. (incorporated herein by reference to Exhibit 10.02 to the Current Report on Form 8-K filed on February 25,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Times New Roman;serif" w:hAnsi="Times New Roman;serif"/>
                  <w:b w:val="false"/>
                  <w:color w:val="0000EF"/>
                  <w:sz w:val="20"/>
                  <w:u w:val="single"/>
                </w:rPr>
                <w:t>10.40†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Irrevocable Letter of Guarantee dated November 19, 2020 between China Merchants Bank Co., Ltd., Shanghai Pilot Free Trade Zone Lin-Gang Special Area Sub-branch and ACM Research (Shanghai), Inc. (incorporated herein by reference to Exhibit 10.03 to the Current Report on Form 8-K filed on February 25, 2021)</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Times New Roman;serif" w:hAnsi="Times New Roman;serif"/>
                  <w:b w:val="false"/>
                  <w:color w:val="0000EF"/>
                  <w:sz w:val="20"/>
                  <w:u w:val="single"/>
                </w:rPr>
                <w:t>10.41‡†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Plant Lease Contract dated as of February 1, 2021 between ACM Research (Shanghai), Inc. and Shanghai Shengyu Culture Development Co., Ltd. (incorporated herein by reference to Exhibit 10.01 to the Quarterly Report on Form 10-Q filed on May 7, 2021)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10.42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Unofficial English Translation of RMB Working Capital Loan Contract dated as of July 25, 2023, by and between ACM Research, Inc. and China CITIC Bank Co., Ltd. Shanghai Bank (incorporated herein by reference to Exhibit 10.01 to the Current Report on Form 8-K filed on July 31, 2023) </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10.43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Lease Agreement dated March 6, 2023, by and between Hillsboro 229, LLC and ACM Research, Inc. (incorporated herein by reference to Exhibit 10.02 to the Quarterly Report on Form 10-Q filed on August 7, 2023) </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r:id="rId59">
              <w:r>
                <w:rPr>
                  <w:rStyle w:val="InternetLink"/>
                  <w:rFonts w:ascii="Times New Roman;serif" w:hAnsi="Times New Roman;serif"/>
                  <w:b w:val="false"/>
                  <w:color w:val="0000FF"/>
                  <w:sz w:val="20"/>
                  <w:u w:val="single"/>
                </w:rPr>
                <w:t>10.44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Unofficial English Translation of RMB Working Capital Loan Contract, entered into in January 2025, between ACM Research, Inc. and China CITIC Bank</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r:id="rId60">
              <w:r>
                <w:rPr>
                  <w:rStyle w:val="InternetLink"/>
                  <w:rFonts w:ascii="Times New Roman;serif" w:hAnsi="Times New Roman;serif"/>
                  <w:b w:val="false"/>
                  <w:color w:val="0000FF"/>
                  <w:sz w:val="20"/>
                  <w:u w:val="single"/>
                </w:rPr>
                <w:t>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Insider Trading Policy reference in 2025 Proxy Statement</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exx2101subsidiarieslist.htm">
              <w:r>
                <w:rPr>
                  <w:rStyle w:val="InternetLink"/>
                  <w:rFonts w:ascii="Times New Roman;serif" w:hAnsi="Times New Roman;serif"/>
                  <w:b w:val="false"/>
                  <w:color w:val="0000FF"/>
                  <w:sz w:val="20"/>
                  <w:u w:val="single"/>
                </w:rPr>
                <w:t>21.01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List of Subsidiaries of ACM Research,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2"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117</w:t>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tbl>
      <w:tblPr>
        <w:tblW w:w="10205" w:type="dxa"/>
        <w:jc w:val="left"/>
        <w:tblInd w:w="0" w:type="dxa"/>
        <w:tblLayout w:type="fixed"/>
        <w:tblCellMar>
          <w:top w:w="28" w:type="dxa"/>
          <w:left w:w="28" w:type="dxa"/>
          <w:bottom w:w="28" w:type="dxa"/>
          <w:right w:w="28" w:type="dxa"/>
        </w:tblCellMar>
      </w:tblPr>
      <w:tblGrid>
        <w:gridCol w:w="264"/>
        <w:gridCol w:w="232"/>
        <w:gridCol w:w="234"/>
        <w:gridCol w:w="109"/>
        <w:gridCol w:w="109"/>
        <w:gridCol w:w="109"/>
        <w:gridCol w:w="2875"/>
        <w:gridCol w:w="2597"/>
        <w:gridCol w:w="3676"/>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consentofindependentregist.htm">
              <w:r>
                <w:rPr>
                  <w:rStyle w:val="InternetLink"/>
                  <w:rFonts w:ascii="Times New Roman;serif" w:hAnsi="Times New Roman;serif"/>
                  <w:b w:val="false"/>
                  <w:color w:val="0000FF"/>
                  <w:sz w:val="20"/>
                  <w:u w:val="single"/>
                </w:rPr>
                <w:t>23.01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Ernst &amp; Young Hua Ming LLP</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51231xex3101.htm">
              <w:r>
                <w:rPr>
                  <w:rStyle w:val="InternetLink"/>
                  <w:rFonts w:ascii="Times New Roman;serif" w:hAnsi="Times New Roman;serif"/>
                  <w:b w:val="false"/>
                  <w:color w:val="000000"/>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20251231xex3102.htm">
              <w:r>
                <w:rPr>
                  <w:rStyle w:val="InternetLink"/>
                  <w:rFonts w:ascii="Times New Roman;serif" w:hAnsi="Times New Roman;serif"/>
                  <w:b w:val="false"/>
                  <w:color w:val="0000FF"/>
                  <w:sz w:val="20"/>
                  <w:u w:val="single"/>
                </w:rPr>
                <w:t>31.02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r-20251231xex3201.htm">
              <w:r>
                <w:rPr>
                  <w:rStyle w:val="InternetLink"/>
                  <w:rFonts w:ascii="Times New Roman;serif" w:hAnsi="Times New Roman;serif"/>
                  <w:b w:val="false"/>
                  <w:color w:val="0000FF"/>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18 U.S.C. Section 1350, as Adopted Pursuant to Section 906 of the Sarbanes-Oxley Act of 2002</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both"/>
              <w:rPr/>
            </w:pPr>
            <w:hyperlink w:anchor="acmr-xincentivexbasedcompe.htm">
              <w:r>
                <w:rPr>
                  <w:rStyle w:val="InternetLink"/>
                  <w:rFonts w:ascii="Times New Roman;serif" w:hAnsi="Times New Roman;serif"/>
                  <w:b w:val="false"/>
                  <w:color w:val="0000FF"/>
                  <w:sz w:val="20"/>
                  <w:u w:val="single"/>
                </w:rPr>
                <w:t>97.01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ACM Research, Inc. Incentive-Based Compensation Recovery Policy </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pPr>
            <w:hyperlink w:anchor="acm10-kexx99012025.htm">
              <w:r>
                <w:rPr>
                  <w:rStyle w:val="InternetLink"/>
                  <w:rFonts w:ascii="Times New Roman;serif" w:hAnsi="Times New Roman;serif"/>
                  <w:b w:val="false"/>
                  <w:color w:val="000000"/>
                  <w:sz w:val="20"/>
                  <w:u w:val="single"/>
                </w:rPr>
                <w:t>99.01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Submission under Item 9C(a) of Form 10-K</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Certain information in this exhibit was omitted by means of redacting a portion of the text and replacing it with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Unofficial English translation of original document prepared in Mandarin Chinese.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noBreakHyphen/>
        <w:t>2 of the Securities Exchange Act of 1934 for the appendices so furnished.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23"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118</w:t>
                      </w:r>
                    </w:p>
                  </w:txbxContent>
                </v:textbox>
                <w10:wrap type="none"/>
              </v:rect>
            </w:pict>
          </mc:Fallback>
        </mc:AlternateContent>
      </w:r>
    </w:p>
    <w:p>
      <w:pPr>
        <w:pStyle w:val="TextBody"/>
        <w:bidi w:val="0"/>
        <w:spacing w:lineRule="auto" w:line="276" w:before="200" w:after="200"/>
        <w:jc w:val="both"/>
        <w:rPr/>
      </w:pPr>
      <w:r>
        <w:rPr>
          <w:rFonts w:ascii="Times New Roman;serif" w:hAnsi="Times New Roman;serif"/>
          <w:b w:val="false"/>
          <w:i/>
          <w:color w:val="000000"/>
          <w:sz w:val="16"/>
          <w:shd w:fill="FFFFFF" w:val="clear"/>
        </w:rPr>
        <w:t xml:space="preserve">Table of </w:t>
      </w:r>
      <w:r>
        <w:rPr>
          <w:rFonts w:ascii="Times New Roman;serif" w:hAnsi="Times New Roman;serif"/>
          <w:b w:val="false"/>
          <w:color w:val="000000"/>
          <w:sz w:val="20"/>
        </w:rPr>
        <w:t>C</w:t>
      </w:r>
      <w:r>
        <w:rPr>
          <w:rFonts w:ascii="Times New Roman;serif" w:hAnsi="Times New Roman;serif"/>
          <w:b w:val="false"/>
          <w:i/>
          <w:color w:val="000000"/>
          <w:sz w:val="16"/>
          <w:shd w:fill="FFFFFF" w:val="clear"/>
        </w:rPr>
        <w:t>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Act of 1934, the registrant has duly caused this report to be signed on its behalf by the undersigned, thereunto duly authorized, as of March 2, 2026.</w:t>
      </w:r>
    </w:p>
    <w:tbl>
      <w:tblPr>
        <w:tblW w:w="4571" w:type="dxa"/>
        <w:jc w:val="left"/>
        <w:tblInd w:w="0" w:type="dxa"/>
        <w:tblLayout w:type="fixed"/>
        <w:tblCellMar>
          <w:top w:w="28" w:type="dxa"/>
          <w:left w:w="28" w:type="dxa"/>
          <w:bottom w:w="28" w:type="dxa"/>
          <w:right w:w="28" w:type="dxa"/>
        </w:tblCellMar>
      </w:tblPr>
      <w:tblGrid>
        <w:gridCol w:w="124"/>
        <w:gridCol w:w="109"/>
        <w:gridCol w:w="109"/>
        <w:gridCol w:w="340"/>
        <w:gridCol w:w="340"/>
        <w:gridCol w:w="340"/>
        <w:gridCol w:w="934"/>
        <w:gridCol w:w="934"/>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ACM RESEARCH,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1934, this report has been signed below by the following persons in the capacities indicated as of March 2, 2026:</w:t>
      </w:r>
    </w:p>
    <w:tbl>
      <w:tblPr>
        <w:tblW w:w="7616"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1536"/>
        <w:gridCol w:w="1536"/>
        <w:gridCol w:w="220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Title</w:t>
            </w:r>
          </w:p>
        </w:tc>
      </w:tr>
      <w:tr>
        <w:trPr/>
        <w:tc>
          <w:tcPr>
            <w:tcW w:w="201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David H. Wang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p>
            <w:pPr>
              <w:pStyle w:val="TableContents"/>
              <w:bidi w:val="0"/>
              <w:spacing w:lineRule="auto" w:line="276"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Mark A. McKechnie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p>
            <w:pPr>
              <w:pStyle w:val="TableContents"/>
              <w:bidi w:val="0"/>
              <w:spacing w:lineRule="auto" w:line="276"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and Accounting Officer</w:t>
            </w:r>
            <w:r>
              <w:rPr>
                <w:rFonts w:ascii="Times New Roman;serif" w:hAnsi="Times New Roman;serif"/>
                <w:b w:val="false"/>
                <w:color w:val="000000"/>
                <w:sz w:val="20"/>
              </w:rPr>
              <w:t>)</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Haiping Dun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/s/ Charlie Pappis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color w:val="000000"/>
                <w:sz w:val="20"/>
              </w:rPr>
            </w:pPr>
            <w:r>
              <w:rPr>
                <w:rFonts w:ascii="Times New Roman;serif" w:hAnsi="Times New Roman;serif"/>
                <w:b/>
                <w:color w:val="000000"/>
                <w:sz w:val="20"/>
              </w:rPr>
              <w:t>Charlie Pappis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Tracy Liu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24"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119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before="0" w:after="0"/>
        <w:jc w:val="left"/>
        <w:rPr/>
      </w:pPr>
      <w:r>
        <w:rPr/>
      </w:r>
    </w:p>
    <w:p>
      <w:pPr>
        <w:pStyle w:val="TextBody"/>
        <w:bidi w:val="0"/>
        <w:spacing w:lineRule="auto" w:line="288" w:before="65" w:after="283"/>
        <w:jc w:val="right"/>
        <w:rPr>
          <w:rFonts w:ascii="Times New Roman;serif" w:hAnsi="Times New Roman;serif"/>
          <w:b/>
          <w:color w:val="000000"/>
          <w:sz w:val="16"/>
        </w:rPr>
      </w:pPr>
      <w:r>
        <w:rPr>
          <w:rFonts w:ascii="Times New Roman;serif" w:hAnsi="Times New Roman;serif"/>
          <w:b/>
          <w:color w:val="000000"/>
          <w:sz w:val="16"/>
        </w:rPr>
        <w:t>Exhibit 4.02</w:t>
      </w:r>
    </w:p>
    <w:p>
      <w:pPr>
        <w:pStyle w:val="TextBody"/>
        <w:bidi w:val="0"/>
        <w:spacing w:before="10" w:after="283"/>
        <w:jc w:val="left"/>
        <w:rPr/>
      </w:pPr>
      <w:r>
        <w:rPr/>
      </w:r>
    </w:p>
    <w:p>
      <w:pPr>
        <w:pStyle w:val="TextBody"/>
        <w:bidi w:val="0"/>
        <w:spacing w:lineRule="auto" w:line="288" w:before="97" w:after="283"/>
        <w:jc w:val="center"/>
        <w:rPr>
          <w:rFonts w:ascii="Times New Roman;serif" w:hAnsi="Times New Roman;serif"/>
          <w:b/>
          <w:color w:val="000000"/>
          <w:sz w:val="16"/>
        </w:rPr>
      </w:pPr>
      <w:r>
        <w:rPr>
          <w:rFonts w:ascii="Times New Roman;serif" w:hAnsi="Times New Roman;serif"/>
          <w:b/>
          <w:color w:val="000000"/>
          <w:sz w:val="16"/>
        </w:rPr>
        <w:t>Description of ACM Research, Inc. Securities</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The following information constitutes the “Description of Securities” required by Item 202(a) of Regulation S-K. As of March 3, 2025, ACM Research, Inc. has one class of securities registered under Section 12 of the Securities Exchange Act of 1934, as amended, which is its Class A common stock, $0.0001 par value per share.</w:t>
      </w:r>
    </w:p>
    <w:p>
      <w:pPr>
        <w:pStyle w:val="TextBody"/>
        <w:bidi w:val="0"/>
        <w:spacing w:before="1"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References herein to “we,” “our,” “us,” or “our company” refer to ACM Research, Inc., a Delaware corporation. The following information summarizes the material terms of our common and preferred stock and warrants, as well as relevant provisions of our charter, which includes certificates of designations relating to each series of our preferred stock, and bylaws, the Delaware General Corporation Law and the Warrant (as defined below). For a complete description of the terms of our common stock and other securities, please refer to our charter and bylaws and the Warrant.</w:t>
      </w:r>
    </w:p>
    <w:p>
      <w:pPr>
        <w:pStyle w:val="TextBody"/>
        <w:bidi w:val="0"/>
        <w:spacing w:before="8"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Authorized Capital Stock</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Our authorized capital stock consists of (i) 150,000,000 shares of Class A common stock, $0.0001 par value per share, of which 60,000,000 are available only for issuance as dividends on outstanding Class A common stock, (ii) 5,307,816 shares of Class B common stock, $0.0001 par value per share, all of which are available only for issuance as dividends on outstanding Class B common stock, and (iii) 10,000,000 shares of preferred stock, $0.0001 par value per share. Class A common stock and Class B common stock are referred to collectively as common stock. Authorized but unissued shares of Class B Common Stock are not available for reissuance.</w:t>
      </w:r>
    </w:p>
    <w:p>
      <w:pPr>
        <w:pStyle w:val="TextBody"/>
        <w:bidi w:val="0"/>
        <w:spacing w:before="8"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Common Stock</w:t>
      </w:r>
    </w:p>
    <w:p>
      <w:pPr>
        <w:pStyle w:val="TextBody"/>
        <w:bidi w:val="0"/>
        <w:spacing w:before="3" w:after="283"/>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Voting Rights</w:t>
      </w:r>
    </w:p>
    <w:p>
      <w:pPr>
        <w:pStyle w:val="TextBody"/>
        <w:bidi w:val="0"/>
        <w:spacing w:before="7" w:after="283"/>
        <w:jc w:val="left"/>
        <w:rPr/>
      </w:pPr>
      <w:r>
        <w:rPr/>
      </w:r>
    </w:p>
    <w:p>
      <w:pPr>
        <w:pStyle w:val="TextBody"/>
        <w:bidi w:val="0"/>
        <w:spacing w:lineRule="auto" w:line="247" w:before="1" w:after="283"/>
        <w:jc w:val="both"/>
        <w:rPr>
          <w:rFonts w:ascii="Times New Roman;serif" w:hAnsi="Times New Roman;serif"/>
          <w:b w:val="false"/>
          <w:color w:val="000000"/>
          <w:sz w:val="16"/>
        </w:rPr>
      </w:pPr>
      <w:r>
        <w:rPr>
          <w:rFonts w:ascii="Times New Roman;serif" w:hAnsi="Times New Roman;serif"/>
          <w:b w:val="false"/>
          <w:color w:val="000000"/>
          <w:sz w:val="16"/>
        </w:rPr>
        <w:t>Except as otherwise required by Delaware law, at every annual or special meeting of stockholders, holders of Class B common stock are entitled to twenty votes per share and holders of Class A common stock are entitled to one vote per share. The holders of Class A common stock and Class B common stock vote together as a single class, unless otherwise required by law.</w:t>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Dividends</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Liquidation</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7" w:after="283"/>
        <w:jc w:val="left"/>
        <w:rPr/>
      </w:pPr>
      <w:r>
        <w:rPr/>
      </w:r>
    </w:p>
    <w:p>
      <w:pPr>
        <w:pStyle w:val="TextBody"/>
        <w:bidi w:val="0"/>
        <w:spacing w:lineRule="auto" w:line="288" w:before="1" w:after="283"/>
        <w:jc w:val="left"/>
        <w:rPr>
          <w:rFonts w:ascii="Times New Roman;serif" w:hAnsi="Times New Roman;serif"/>
          <w:b w:val="false"/>
          <w:i/>
          <w:color w:val="000000"/>
          <w:sz w:val="16"/>
        </w:rPr>
      </w:pPr>
      <w:r>
        <w:rPr>
          <w:rFonts w:ascii="Times New Roman;serif" w:hAnsi="Times New Roman;serif"/>
          <w:b w:val="false"/>
          <w:i/>
          <w:color w:val="000000"/>
          <w:sz w:val="16"/>
        </w:rPr>
        <w:t>Conversion</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shares of Class B common stock will not be reissued.</w:t>
      </w:r>
    </w:p>
    <w:p>
      <w:pPr>
        <w:pStyle w:val="TextBody"/>
        <w:bidi w:val="0"/>
        <w:spacing w:before="2" w:after="283"/>
        <w:jc w:val="left"/>
        <w:rPr/>
      </w:pPr>
      <w:r>
        <w:rPr/>
        <w:drawing>
          <wp:inline distT="0" distB="0" distL="0" distR="0">
            <wp:extent cx="5000625" cy="14605"/>
            <wp:effectExtent l="0" t="0" r="0" b="0"/>
            <wp:docPr id="1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 descr=""/>
                    <pic:cNvPicPr>
                      <a:picLocks noChangeAspect="1" noChangeArrowheads="1"/>
                    </pic:cNvPicPr>
                  </pic:nvPicPr>
                  <pic:blipFill>
                    <a:blip r:embed="rId61"/>
                    <a:stretch>
                      <a:fillRect/>
                    </a:stretch>
                  </pic:blipFill>
                  <pic:spPr bwMode="auto">
                    <a:xfrm>
                      <a:off x="0" y="0"/>
                      <a:ext cx="5000625"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drawing>
          <wp:inline distT="0" distB="0" distL="0" distR="0">
            <wp:extent cx="6276975" cy="14605"/>
            <wp:effectExtent l="0" t="0" r="0" b="0"/>
            <wp:docPr id="1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 descr=""/>
                    <pic:cNvPicPr>
                      <a:picLocks noChangeAspect="1" noChangeArrowheads="1"/>
                    </pic:cNvPicPr>
                  </pic:nvPicPr>
                  <pic:blipFill>
                    <a:blip r:embed="rId62"/>
                    <a:stretch>
                      <a:fillRect/>
                    </a:stretch>
                  </pic:blipFill>
                  <pic:spPr bwMode="auto">
                    <a:xfrm>
                      <a:off x="0" y="0"/>
                      <a:ext cx="6276975" cy="1460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7"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97" w:after="283"/>
        <w:jc w:val="left"/>
        <w:rPr>
          <w:rFonts w:ascii="Times New Roman;serif" w:hAnsi="Times New Roman;serif"/>
          <w:b w:val="false"/>
          <w:i/>
          <w:color w:val="000000"/>
          <w:sz w:val="16"/>
        </w:rPr>
      </w:pPr>
      <w:r>
        <w:rPr>
          <w:rFonts w:ascii="Times New Roman;serif" w:hAnsi="Times New Roman;serif"/>
          <w:b w:val="false"/>
          <w:i/>
          <w:color w:val="000000"/>
          <w:sz w:val="16"/>
        </w:rPr>
        <w:t>Other Rights and Preferences</w:t>
      </w:r>
    </w:p>
    <w:p>
      <w:pPr>
        <w:pStyle w:val="TextBody"/>
        <w:bidi w:val="0"/>
        <w:spacing w:before="8"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Preferred Stock</w:t>
      </w:r>
    </w:p>
    <w:p>
      <w:pPr>
        <w:pStyle w:val="TextBody"/>
        <w:bidi w:val="0"/>
        <w:spacing w:before="7" w:after="283"/>
        <w:jc w:val="left"/>
        <w:rPr/>
      </w:pPr>
      <w:r>
        <w:rPr/>
      </w:r>
    </w:p>
    <w:p>
      <w:pPr>
        <w:pStyle w:val="TextBody"/>
        <w:bidi w:val="0"/>
        <w:spacing w:lineRule="auto" w:line="247" w:before="1" w:after="283"/>
        <w:jc w:val="both"/>
        <w:rPr>
          <w:rFonts w:ascii="Times New Roman;serif" w:hAnsi="Times New Roman;serif"/>
          <w:b w:val="false"/>
          <w:color w:val="000000"/>
          <w:sz w:val="16"/>
        </w:rPr>
      </w:pPr>
      <w:r>
        <w:rPr>
          <w:rFonts w:ascii="Times New Roman;serif" w:hAnsi="Times New Roman;serif"/>
          <w:b w:val="false"/>
          <w:color w:val="000000"/>
          <w:sz w:val="16"/>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pStyle w:val="TextBody"/>
        <w:bidi w:val="0"/>
        <w:spacing w:before="9"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Anti-Takeover Provisions</w:t>
      </w:r>
    </w:p>
    <w:p>
      <w:pPr>
        <w:pStyle w:val="TextBody"/>
        <w:bidi w:val="0"/>
        <w:spacing w:before="7"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pStyle w:val="TextBody"/>
        <w:bidi w:val="0"/>
        <w:spacing w:before="1"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Delaware Law</w:t>
      </w:r>
    </w:p>
    <w:p>
      <w:pPr>
        <w:pStyle w:val="TextBody"/>
        <w:bidi w:val="0"/>
        <w:spacing w:before="8"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bidi w:val="0"/>
        <w:spacing w:before="11" w:after="283"/>
        <w:jc w:val="left"/>
        <w:rPr/>
      </w:pPr>
      <w:r>
        <w:rPr/>
      </w:r>
    </w:p>
    <w:p>
      <w:pPr>
        <w:pStyle w:val="TextBody"/>
        <w:bidi w:val="0"/>
        <w:spacing w:lineRule="auto" w:line="288" w:before="0" w:after="0"/>
        <w:ind w:left="0" w:right="0" w:hanging="380"/>
        <w:jc w:val="left"/>
        <w:rPr/>
      </w:pPr>
      <w:r>
        <w:rPr>
          <w:color w:val="000000"/>
        </w:rPr>
        <w:t>•</w:t>
      </w:r>
      <w:r>
        <w:rPr>
          <w:rFonts w:ascii="Times New Roman;serif" w:hAnsi="Times New Roman;serif"/>
          <w:b w:val="false"/>
          <w:color w:val="000000"/>
          <w:sz w:val="16"/>
        </w:rPr>
        <w:t>the transaction is approved by the board of directors prior to the time that the interested stockholder became an interested stockholder;</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color w:val="000000"/>
          <w:sz w:val="16"/>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color w:val="000000"/>
          <w:sz w:val="16"/>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pStyle w:val="TextBody"/>
        <w:bidi w:val="0"/>
        <w:spacing w:before="0" w:after="0"/>
        <w:jc w:val="left"/>
        <w:rPr/>
      </w:pPr>
      <w:r>
        <w:rPr/>
      </w:r>
    </w:p>
    <w:p>
      <w:pPr>
        <w:pStyle w:val="TextBody"/>
        <w:bidi w:val="0"/>
        <w:spacing w:lineRule="auto" w:line="247" w:before="148" w:after="283"/>
        <w:jc w:val="both"/>
        <w:rPr/>
      </w:pPr>
      <w:r>
        <w:rPr>
          <w:rFonts w:ascii="Times New Roman;serif" w:hAnsi="Times New Roman;serif"/>
          <w:b w:val="false"/>
          <w:color w:val="000000"/>
          <w:sz w:val="16"/>
        </w:rPr>
        <w:t xml:space="preserve">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w:t>
      </w:r>
      <w:r>
        <w:rPr>
          <w:rFonts w:ascii="Times New Roman;serif" w:hAnsi="Times New Roman;serif"/>
          <w:b w:val="false"/>
          <w:color w:val="000000"/>
          <w:sz w:val="16"/>
          <w:u w:val="single"/>
        </w:rPr>
        <w:t>provisions. As a result, mergers or other takeover or change in control attempts of us may be discouraged or prevente</w:t>
      </w:r>
      <w:r>
        <w:rPr>
          <w:rFonts w:ascii="Times New Roman;serif" w:hAnsi="Times New Roman;serif"/>
          <w:b w:val="false"/>
          <w:color w:val="000000"/>
          <w:sz w:val="16"/>
        </w:rPr>
        <w:t>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8"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97" w:after="283"/>
        <w:jc w:val="both"/>
        <w:rPr>
          <w:rFonts w:ascii="Times New Roman;serif" w:hAnsi="Times New Roman;serif"/>
          <w:b/>
          <w:color w:val="000000"/>
          <w:sz w:val="16"/>
        </w:rPr>
      </w:pPr>
      <w:r>
        <w:rPr>
          <w:rFonts w:ascii="Times New Roman;serif" w:hAnsi="Times New Roman;serif"/>
          <w:b/>
          <w:color w:val="000000"/>
          <w:sz w:val="16"/>
        </w:rPr>
        <w:t>Charter and Bylaw Provisions</w:t>
      </w:r>
    </w:p>
    <w:p>
      <w:pPr>
        <w:pStyle w:val="TextBody"/>
        <w:bidi w:val="0"/>
        <w:spacing w:before="8"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pStyle w:val="TextBody"/>
        <w:bidi w:val="0"/>
        <w:spacing w:before="4"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Separate Class B Vote for Certain Transactions</w:t>
      </w:r>
      <w:r>
        <w:rPr>
          <w:rFonts w:ascii="Times New Roman;serif" w:hAnsi="Times New Roman;serif"/>
          <w:b w:val="false"/>
          <w:color w:val="000000"/>
          <w:sz w:val="16"/>
        </w:rPr>
        <w:t>. Until the first date on which the outstanding shares of Class B common 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Dual Class Stock</w:t>
      </w:r>
      <w:r>
        <w:rPr>
          <w:rFonts w:ascii="Times New Roman;serif" w:hAnsi="Times New Roman;serif"/>
          <w:b w:val="false"/>
          <w:color w:val="000000"/>
          <w:sz w:val="16"/>
        </w:rPr>
        <w:t>. As described above in “-Common Stock-Voting Rights” above, our charter provides for a dual class 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Supermajority Approvals</w:t>
      </w:r>
      <w:r>
        <w:rPr>
          <w:rFonts w:ascii="Times New Roman;serif" w:hAnsi="Times New Roman;serif"/>
          <w:b w:val="false"/>
          <w:color w:val="000000"/>
          <w:sz w:val="16"/>
        </w:rPr>
        <w:t>. Our charter and bylaws provide that when the outstanding shares of Class B common stock 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Board of Directors Vacancies</w:t>
      </w:r>
      <w:r>
        <w:rPr>
          <w:rFonts w:ascii="Times New Roman;serif" w:hAnsi="Times New Roman;serif"/>
          <w:b w:val="false"/>
          <w:color w:val="000000"/>
          <w:sz w:val="16"/>
        </w:rPr>
        <w:t>. Our charter and bylaws provide that stockholders may fill vacant directorships. When the 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Classified Board</w:t>
      </w:r>
      <w:r>
        <w:rPr>
          <w:rFonts w:ascii="Times New Roman;serif" w:hAnsi="Times New Roman;serif"/>
          <w:b w:val="false"/>
          <w:color w:val="000000"/>
          <w:sz w:val="16"/>
        </w:rPr>
        <w:t>. The board of directors is not currently classified. Our charter and bylaws provide that when outstanding 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 outstanding shares of Class A and Class B common stock. The existence of a classified board could delay a successful tender offeror from obtaining majority control of the board, and the prospect of that delay might deter a potential offeror.</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Stockholder Action; Special Meeting of Stockholders</w:t>
      </w:r>
      <w:r>
        <w:rPr>
          <w:rFonts w:ascii="Times New Roman;serif" w:hAnsi="Times New Roman;serif"/>
          <w:b w:val="false"/>
          <w:color w:val="000000"/>
          <w:sz w:val="16"/>
        </w:rPr>
        <w:t>. Our charter provides that stockholders will be able to take action by 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pStyle w:val="TextBody"/>
        <w:bidi w:val="0"/>
        <w:spacing w:before="1" w:after="283"/>
        <w:jc w:val="left"/>
        <w:rPr/>
      </w:pPr>
      <w:r>
        <w:rPr/>
        <w:drawing>
          <wp:inline distT="0" distB="0" distL="0" distR="0">
            <wp:extent cx="5000625" cy="14605"/>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63"/>
                    <a:stretch>
                      <a:fillRect/>
                    </a:stretch>
                  </pic:blipFill>
                  <pic:spPr bwMode="auto">
                    <a:xfrm>
                      <a:off x="0" y="0"/>
                      <a:ext cx="5000625"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drawing>
          <wp:inline distT="0" distB="0" distL="0" distR="0">
            <wp:extent cx="6276975" cy="1460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64"/>
                    <a:stretch>
                      <a:fillRect/>
                    </a:stretch>
                  </pic:blipFill>
                  <pic:spPr bwMode="auto">
                    <a:xfrm>
                      <a:off x="0" y="0"/>
                      <a:ext cx="6276975" cy="1460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1"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114" w:after="283"/>
        <w:ind w:left="0" w:right="0" w:hanging="379"/>
        <w:jc w:val="both"/>
        <w:rPr/>
      </w:pPr>
      <w:r>
        <w:rPr>
          <w:color w:val="000000"/>
        </w:rPr>
        <w:t>•</w:t>
      </w:r>
      <w:r>
        <w:rPr>
          <w:rFonts w:ascii="Times New Roman;serif" w:hAnsi="Times New Roman;serif"/>
          <w:b w:val="false"/>
          <w:i/>
          <w:color w:val="000000"/>
          <w:sz w:val="16"/>
        </w:rPr>
        <w:t>Advance Notice Requirements for Stockholder Proposals and Director Nominations</w:t>
      </w:r>
      <w:r>
        <w:rPr>
          <w:rFonts w:ascii="Times New Roman;serif" w:hAnsi="Times New Roman;serif"/>
          <w:b w:val="false"/>
          <w:color w:val="000000"/>
          <w:sz w:val="16"/>
        </w:rPr>
        <w:t>. Our bylaws provide 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7" w:before="0" w:after="0"/>
        <w:ind w:left="0" w:right="0" w:hanging="379"/>
        <w:jc w:val="both"/>
        <w:rPr/>
      </w:pPr>
      <w:r>
        <w:rPr>
          <w:color w:val="000000"/>
        </w:rPr>
        <w:t>•</w:t>
      </w:r>
      <w:r>
        <w:rPr>
          <w:rFonts w:ascii="Times New Roman;serif" w:hAnsi="Times New Roman;serif"/>
          <w:b w:val="false"/>
          <w:i/>
          <w:color w:val="000000"/>
          <w:sz w:val="16"/>
        </w:rPr>
        <w:t>Issuance of Undesignated Preferred Stock</w:t>
      </w:r>
      <w:r>
        <w:rPr>
          <w:rFonts w:ascii="Times New Roman;serif" w:hAnsi="Times New Roman;serif"/>
          <w:b w:val="false"/>
          <w:color w:val="000000"/>
          <w:sz w:val="16"/>
        </w:rPr>
        <w:t>. The board of directors has the authority, without further action by the 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pStyle w:val="TextBody"/>
        <w:bidi w:val="0"/>
        <w:spacing w:before="0" w:after="0"/>
        <w:jc w:val="left"/>
        <w:rPr/>
      </w:pPr>
      <w:r>
        <w:rPr/>
      </w:r>
    </w:p>
    <w:p>
      <w:pPr>
        <w:pStyle w:val="TextBody"/>
        <w:bidi w:val="0"/>
        <w:spacing w:lineRule="auto" w:line="288" w:before="131" w:after="283"/>
        <w:jc w:val="left"/>
        <w:rPr>
          <w:rFonts w:ascii="Times New Roman;serif" w:hAnsi="Times New Roman;serif"/>
          <w:b/>
          <w:color w:val="000000"/>
          <w:sz w:val="16"/>
        </w:rPr>
      </w:pPr>
      <w:r>
        <w:rPr>
          <w:rFonts w:ascii="Times New Roman;serif" w:hAnsi="Times New Roman;serif"/>
          <w:b/>
          <w:color w:val="000000"/>
          <w:sz w:val="16"/>
        </w:rPr>
        <w:t>Choice of Forum</w:t>
      </w:r>
    </w:p>
    <w:p>
      <w:pPr>
        <w:pStyle w:val="TextBody"/>
        <w:bidi w:val="0"/>
        <w:spacing w:before="8" w:after="283"/>
        <w:jc w:val="left"/>
        <w:rPr/>
      </w:pPr>
      <w:r>
        <w:rPr/>
      </w:r>
    </w:p>
    <w:p>
      <w:pPr>
        <w:pStyle w:val="TextBody"/>
        <w:bidi w:val="0"/>
        <w:spacing w:lineRule="auto" w:line="247" w:before="0" w:after="0"/>
        <w:jc w:val="both"/>
        <w:rPr>
          <w:rFonts w:ascii="Times New Roman;serif" w:hAnsi="Times New Roman;serif"/>
          <w:b w:val="false"/>
          <w:color w:val="000000"/>
          <w:sz w:val="16"/>
        </w:rPr>
      </w:pPr>
      <w:r>
        <w:rPr>
          <w:rFonts w:ascii="Times New Roman;serif" w:hAnsi="Times New Roman;serif"/>
          <w:b w:val="false"/>
          <w:color w:val="000000"/>
          <w:sz w:val="16"/>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The choice of forum provision summarized above is not intended to, and would not, apply to suits brought to enforce any liability or duty created by (i) the Securities Act of 1933 or the rules and regulations thereunder, jurisdiction over which is vested in concurrently vested in federal and state courts, or (ii) the Securities Exchange Act of 1934 or the rules and regulations thereunder, jurisdiction over which is exclusively vested by statute in the U.S. federal courts.</w:t>
      </w:r>
    </w:p>
    <w:p>
      <w:pPr>
        <w:pStyle w:val="TextBody"/>
        <w:bidi w:val="0"/>
        <w:spacing w:before="9" w:after="283"/>
        <w:jc w:val="left"/>
        <w:rPr/>
      </w:pPr>
      <w:r>
        <w:rPr/>
      </w:r>
    </w:p>
    <w:p>
      <w:pPr>
        <w:pStyle w:val="TextBody"/>
        <w:bidi w:val="0"/>
        <w:spacing w:lineRule="auto" w:line="288" w:before="1" w:after="283"/>
        <w:jc w:val="left"/>
        <w:rPr>
          <w:rFonts w:ascii="Times New Roman;serif" w:hAnsi="Times New Roman;serif"/>
          <w:b/>
          <w:color w:val="000000"/>
          <w:sz w:val="16"/>
        </w:rPr>
      </w:pPr>
      <w:r>
        <w:rPr>
          <w:rFonts w:ascii="Times New Roman;serif" w:hAnsi="Times New Roman;serif"/>
          <w:b/>
          <w:color w:val="000000"/>
          <w:sz w:val="16"/>
        </w:rPr>
        <w:t>Transfer Agent and Registrar</w:t>
      </w:r>
    </w:p>
    <w:p>
      <w:pPr>
        <w:pStyle w:val="TextBody"/>
        <w:bidi w:val="0"/>
        <w:spacing w:before="2"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transfer agent and registrar for our common stock is Computershare Trust Company, N.A.</w:t>
      </w:r>
    </w:p>
    <w:p>
      <w:pPr>
        <w:pStyle w:val="TextBody"/>
        <w:bidi w:val="0"/>
        <w:spacing w:before="3" w:after="283"/>
        <w:jc w:val="left"/>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Nasdaq Global Market</w:t>
      </w:r>
    </w:p>
    <w:p>
      <w:pPr>
        <w:pStyle w:val="TextBody"/>
        <w:bidi w:val="0"/>
        <w:spacing w:before="2"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The Class A common stock is listed on the Nasdaq Global Market under the symbol “ACMR.”</w:t>
      </w:r>
    </w:p>
    <w:p>
      <w:pPr>
        <w:pStyle w:val="TextBody"/>
        <w:bidi w:val="0"/>
        <w:spacing w:before="0" w:after="0"/>
        <w:jc w:val="left"/>
        <w:rPr/>
      </w:pPr>
      <w:r>
        <w:rPr/>
      </w:r>
    </w:p>
    <w:p>
      <w:pPr>
        <w:pStyle w:val="TextBody"/>
        <w:bidi w:val="0"/>
        <w:spacing w:before="7" w:after="283"/>
        <w:jc w:val="left"/>
        <w:rPr/>
      </w:pPr>
      <w:r>
        <w:rPr/>
        <w:drawing>
          <wp:inline distT="0" distB="0" distL="0" distR="0">
            <wp:extent cx="5000625" cy="14605"/>
            <wp:effectExtent l="0" t="0" r="0" b="0"/>
            <wp:docPr id="1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 descr=""/>
                    <pic:cNvPicPr>
                      <a:picLocks noChangeAspect="1" noChangeArrowheads="1"/>
                    </pic:cNvPicPr>
                  </pic:nvPicPr>
                  <pic:blipFill>
                    <a:blip r:embed="rId65"/>
                    <a:stretch>
                      <a:fillRect/>
                    </a:stretch>
                  </pic:blipFill>
                  <pic:spPr bwMode="auto">
                    <a:xfrm>
                      <a:off x="0" y="0"/>
                      <a:ext cx="5000625" cy="14605"/>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21.01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LIST OF SUBSIDIARIES</w:t>
      </w:r>
    </w:p>
    <w:p>
      <w:pPr>
        <w:pStyle w:val="TextBody"/>
        <w:bidi w:val="0"/>
        <w:spacing w:before="0" w:after="0"/>
        <w:jc w:val="left"/>
        <w:rPr/>
      </w:pPr>
      <w:r>
        <w:rPr/>
      </w:r>
    </w:p>
    <w:tbl>
      <w:tblPr>
        <w:tblW w:w="8756" w:type="dxa"/>
        <w:jc w:val="left"/>
        <w:tblInd w:w="0" w:type="dxa"/>
        <w:tblLayout w:type="fixed"/>
        <w:tblCellMar>
          <w:top w:w="28" w:type="dxa"/>
          <w:left w:w="28" w:type="dxa"/>
          <w:bottom w:w="28" w:type="dxa"/>
          <w:right w:w="28" w:type="dxa"/>
        </w:tblCellMar>
      </w:tblPr>
      <w:tblGrid>
        <w:gridCol w:w="1587"/>
        <w:gridCol w:w="1394"/>
        <w:gridCol w:w="1398"/>
        <w:gridCol w:w="109"/>
        <w:gridCol w:w="109"/>
        <w:gridCol w:w="109"/>
        <w:gridCol w:w="1184"/>
        <w:gridCol w:w="1184"/>
        <w:gridCol w:w="1682"/>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 or Organization</w:t>
            </w:r>
          </w:p>
        </w:tc>
      </w:tr>
      <w:tr>
        <w:trPr/>
        <w:tc>
          <w:tcPr>
            <w:tcW w:w="43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(Shanghai),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CleanChip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(Wuxi),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Korea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Shengwei Research (Shanghai), Inc.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(CA),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(Cayman),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(Beijing), Inc.</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Hanguk ACM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Yusheng Micro Semiconductor (Shanghai), Co., Ltd.</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ACM-Wooil Microelectronics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ACM Research (Chengdu), Inc. ("ACM Chengdu")</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Shengyi Micro Semiconductor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People’s Republic of China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shd w:fill="FFFFFF" w:val="clear"/>
        </w:rPr>
      </w:pPr>
      <w:r>
        <w:rPr>
          <w:shd w:fill="FFFFFF" w:val="clear"/>
        </w:rPr>
        <w:drawing>
          <wp:inline distT="0" distB="0" distL="0" distR="0">
            <wp:extent cx="5943600" cy="19050"/>
            <wp:effectExtent l="0" t="0" r="0" b="0"/>
            <wp:docPr id="1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 descr=""/>
                    <pic:cNvPicPr>
                      <a:picLocks noChangeAspect="1" noChangeArrowheads="1"/>
                    </pic:cNvPicPr>
                  </pic:nvPicPr>
                  <pic:blipFill>
                    <a:blip r:embed="rId66"/>
                    <a:stretch>
                      <a:fillRect/>
                    </a:stretch>
                  </pic:blipFill>
                  <pic:spPr bwMode="auto">
                    <a:xfrm>
                      <a:off x="0" y="0"/>
                      <a:ext cx="5943600" cy="190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ACM Research (Lingang) Inc. is the English name referred to by its Chinese language name Shengwei Research (Shanghai), Inc. ACM Research (Lingang), Inc. and Shengwei Research (Shanghai), Inc. refer to the same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br/>
        <w:t>Consent of Independent Registered Public Accounting Firm</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following Registration Statements:</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(1) Registration Statement (Form S-8 No. 333-222702) pertaining to 1998 Stock Option Plan and 2016 Omnibus Incentive Plan of ACM Research, Inc.;</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(2) Registration Statement (Form S-8 No. 333-232780) pertaining to 2016 Omnibus Incentive Plan of ACM Research, Inc.;</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(3) Registration Statement (Form S-8 No. 333-254150) pertaining to 2016 Omnibus Incentive Plan of ACM Research, Inc.;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(4) Registration Statement (Form S-8 No. 333-271931) pertaining to 2016 Omnibus Incentive Plan of ACM Research, Inc.; </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(5) Registration Statement (Form S-8 No. 333-278039) pertaining to 2016 Omnibus Incentive Plan of ACM Research, Inc.;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(6) Registration Statement (Form S-8 No. 333-285496) pertaining to 2016 Omnibus Incentive Plan of ACM Research, Inc.; and </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(7) Registration Statement (Form S-3 No. 333-278041) of ACM Research, Inc. </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of our reports dated March 2, 2026, with respect to the consolidated financial statements of ACM Research, Inc. and the effectiveness of internal control over financial reporting of ACM Research, Inc. included in this Annual Report (Form 10-K) of ACM Research, Inc. for the year ended December 31, 2025.</w:t>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/s/ Ernst &amp; Young Hua Ming LLP</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Shanghai, the People’s Republic of China</w:t>
      </w:r>
    </w:p>
    <w:p>
      <w:pPr>
        <w:pStyle w:val="TextBody"/>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March 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H. Wang,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ACM Research,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3" w:type="dxa"/>
        <w:jc w:val="left"/>
        <w:tblInd w:w="0" w:type="dxa"/>
        <w:tblLayout w:type="fixed"/>
        <w:tblCellMar>
          <w:top w:w="28" w:type="dxa"/>
          <w:left w:w="28" w:type="dxa"/>
          <w:bottom w:w="28" w:type="dxa"/>
          <w:right w:w="28" w:type="dxa"/>
        </w:tblCellMar>
      </w:tblPr>
      <w:tblGrid>
        <w:gridCol w:w="645"/>
        <w:gridCol w:w="568"/>
        <w:gridCol w:w="571"/>
        <w:gridCol w:w="936"/>
        <w:gridCol w:w="936"/>
        <w:gridCol w:w="133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A. McKechnie,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064" w:type="dxa"/>
        <w:jc w:val="left"/>
        <w:tblInd w:w="0" w:type="dxa"/>
        <w:tblLayout w:type="fixed"/>
        <w:tblCellMar>
          <w:top w:w="28" w:type="dxa"/>
          <w:left w:w="28" w:type="dxa"/>
          <w:bottom w:w="28" w:type="dxa"/>
          <w:right w:w="28" w:type="dxa"/>
        </w:tblCellMar>
      </w:tblPr>
      <w:tblGrid>
        <w:gridCol w:w="645"/>
        <w:gridCol w:w="568"/>
        <w:gridCol w:w="571"/>
        <w:gridCol w:w="1546"/>
        <w:gridCol w:w="1546"/>
        <w:gridCol w:w="218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/s/ 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ACM Research, Inc. for the year ended December 31, 2025,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ACM Research, Inc. for the period presented therein.</w:t>
      </w:r>
    </w:p>
    <w:tbl>
      <w:tblPr>
        <w:tblW w:w="4993" w:type="dxa"/>
        <w:jc w:val="left"/>
        <w:tblInd w:w="0" w:type="dxa"/>
        <w:tblLayout w:type="fixed"/>
        <w:tblCellMar>
          <w:top w:w="28" w:type="dxa"/>
          <w:left w:w="28" w:type="dxa"/>
          <w:bottom w:w="28" w:type="dxa"/>
          <w:right w:w="28" w:type="dxa"/>
        </w:tblCellMar>
      </w:tblPr>
      <w:tblGrid>
        <w:gridCol w:w="645"/>
        <w:gridCol w:w="568"/>
        <w:gridCol w:w="571"/>
        <w:gridCol w:w="936"/>
        <w:gridCol w:w="936"/>
        <w:gridCol w:w="133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320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/s/ 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40" w:after="283"/>
        <w:jc w:val="left"/>
        <w:rPr/>
      </w:pPr>
      <w:r>
        <w:rPr/>
      </w:r>
    </w:p>
    <w:tbl>
      <w:tblPr>
        <w:tblW w:w="7064" w:type="dxa"/>
        <w:jc w:val="left"/>
        <w:tblInd w:w="0" w:type="dxa"/>
        <w:tblLayout w:type="fixed"/>
        <w:tblCellMar>
          <w:top w:w="28" w:type="dxa"/>
          <w:left w:w="28" w:type="dxa"/>
          <w:bottom w:w="28" w:type="dxa"/>
          <w:right w:w="28" w:type="dxa"/>
        </w:tblCellMar>
      </w:tblPr>
      <w:tblGrid>
        <w:gridCol w:w="645"/>
        <w:gridCol w:w="568"/>
        <w:gridCol w:w="571"/>
        <w:gridCol w:w="1546"/>
        <w:gridCol w:w="1546"/>
        <w:gridCol w:w="218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March 2, 2026</w:t>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/s/ 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A. McKechnie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2"/>
        </w:rPr>
      </w:pPr>
      <w:r>
        <w:rPr>
          <w:rFonts w:ascii="Times New Roman;serif" w:hAnsi="Times New Roman;serif"/>
          <w:b/>
          <w:color w:val="000000"/>
          <w:sz w:val="22"/>
        </w:rPr>
        <w:t>ACM RESEARCH, INC.</w:t>
      </w:r>
    </w:p>
    <w:p>
      <w:pPr>
        <w:pStyle w:val="TextBody"/>
        <w:bidi w:val="0"/>
        <w:spacing w:lineRule="auto" w:line="556" w:before="0" w:after="0"/>
        <w:jc w:val="center"/>
        <w:rPr>
          <w:rFonts w:ascii="Times New Roman;serif" w:hAnsi="Times New Roman;serif"/>
          <w:b/>
          <w:color w:val="000000"/>
          <w:sz w:val="22"/>
        </w:rPr>
      </w:pPr>
      <w:r>
        <w:rPr>
          <w:rFonts w:ascii="Times New Roman;serif" w:hAnsi="Times New Roman;serif"/>
          <w:b/>
          <w:color w:val="000000"/>
          <w:sz w:val="22"/>
        </w:rPr>
        <w:t>INCENTIVE-BASED COMPENSATION RECOVERY POLICY</w:t>
      </w:r>
    </w:p>
    <w:p>
      <w:pPr>
        <w:pStyle w:val="TextBody"/>
        <w:bidi w:val="0"/>
        <w:spacing w:lineRule="auto" w:line="240"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Policy Purpose</w:t>
      </w:r>
      <w:r>
        <w:rPr>
          <w:rFonts w:ascii="Times New Roman;serif" w:hAnsi="Times New Roman;serif"/>
          <w:b w:val="false"/>
          <w:color w:val="000000"/>
          <w:sz w:val="22"/>
        </w:rPr>
        <w:t>. The purpose of this ACM Research,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Incentive-Based Compensation Recovery Policy (this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serif" w:hAnsi="Times New Roman;serif"/>
          <w:b w:val="false"/>
          <w:color w:val="000000"/>
          <w:sz w:val="22"/>
          <w:u w:val="single"/>
        </w:rPr>
        <w:t>Listing Rule</w:t>
      </w:r>
      <w:r>
        <w:rPr>
          <w:color w:val="000000"/>
        </w:rPr>
        <w:t>”</w:t>
      </w:r>
      <w:r>
        <w:rPr>
          <w:rFonts w:ascii="Times New Roman;serif" w:hAnsi="Times New Roman;serif"/>
          <w:b w:val="false"/>
          <w:color w:val="000000"/>
          <w:sz w:val="22"/>
        </w:rPr>
        <w:t xml:space="preserve">) and shall be construed and interpreted in accordance with such intent. Unless otherwise defined in this Policy, capitalized terms shall have the meaning ascribed to such terms in </w:t>
      </w:r>
      <w:r>
        <w:rPr>
          <w:rFonts w:ascii="Times New Roman;serif" w:hAnsi="Times New Roman;serif"/>
          <w:b w:val="false"/>
          <w:color w:val="000000"/>
          <w:sz w:val="22"/>
          <w:u w:val="single"/>
        </w:rPr>
        <w:t>Section 7</w:t>
      </w:r>
      <w:r>
        <w:rPr>
          <w:rFonts w:ascii="Times New Roman;serif" w:hAnsi="Times New Roman;serif"/>
          <w:b w:val="false"/>
          <w:color w:val="000000"/>
          <w:sz w:val="22"/>
        </w:rPr>
        <w:t>. This Policy shall become effective on December 1, 2023. Where the context requires, reference to the Company shall include the Company’s subsidiaries and affiliates (as determined by the Committee in its discretion).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Policy Administration</w:t>
      </w:r>
      <w:r>
        <w:rPr>
          <w:rFonts w:ascii="Times New Roman;serif" w:hAnsi="Times New Roman;serif"/>
          <w:b w:val="false"/>
          <w:color w:val="000000"/>
          <w:sz w:val="22"/>
        </w:rPr>
        <w:t>. This Policy shall be administered by the Compensation Committee of the Board (the “</w:t>
      </w:r>
      <w:r>
        <w:rPr>
          <w:rFonts w:ascii="Times New Roman;serif" w:hAnsi="Times New Roman;serif"/>
          <w:b w:val="false"/>
          <w:color w:val="000000"/>
          <w:sz w:val="22"/>
          <w:u w:val="single"/>
        </w:rPr>
        <w:t>Committee</w:t>
      </w:r>
      <w:r>
        <w:rPr>
          <w:color w:val="000000"/>
        </w:rPr>
        <w:t>”</w:t>
      </w:r>
      <w:r>
        <w:rPr>
          <w:rFonts w:ascii="Times New Roman;serif" w:hAnsi="Times New Roman;serif"/>
          <w:b w:val="false"/>
          <w:color w:val="000000"/>
          <w:sz w:val="22"/>
        </w:rPr>
        <w:t xml:space="preserve">)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Policy Application</w:t>
      </w:r>
      <w:r>
        <w:rPr>
          <w:rFonts w:ascii="Times New Roman;serif" w:hAnsi="Times New Roman;serif"/>
          <w:b w:val="false"/>
          <w:color w:val="000000"/>
          <w:sz w:val="22"/>
        </w:rPr>
        <w:t xml:space="preserve">. This Policy applies to all Incentive-Based Compensation received by a person: (a) on or after October 2, 2023, and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serif" w:hAnsi="Times New Roman;serif"/>
          <w:b w:val="false"/>
          <w:color w:val="000000"/>
          <w:sz w:val="22"/>
          <w:u w:val="single"/>
        </w:rPr>
        <w:t>Section 3</w:t>
      </w:r>
      <w:r>
        <w:rPr>
          <w:rFonts w:ascii="Times New Roman;serif" w:hAnsi="Times New Roman;serif"/>
          <w:b w:val="false"/>
          <w:color w:val="000000"/>
          <w:sz w:val="22"/>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Policy Recovery Requirement</w:t>
      </w:r>
      <w:r>
        <w:rPr>
          <w:rFonts w:ascii="Times New Roman;serif" w:hAnsi="Times New Roman;serif"/>
          <w:b w:val="false"/>
          <w:color w:val="000000"/>
          <w:sz w:val="22"/>
        </w:rPr>
        <w:t xml:space="preserve">.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shall not apply to the extent that the Committee, or in the absence of the Committee, a majority of the independent directors serving on the Board, determines that such recovery would be impracticable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a.The direct expense paid to a third party to assist in enforcing this Policy would exceed the amount to be recovered. Before concluding that it would be impracticable to recover any amount of Erroneously Awarded Compensation based on expense of enforcement,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41045"/>
                <wp:effectExtent l="0" t="0" r="0" b="0"/>
                <wp:wrapNone/>
                <wp:docPr id="141" name="Frame130"/>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r>
                                    <w:br w:type="page"/>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Company must make a reasonable attempt to recover such Erroneously Awarded Compensation, document such reasonable attempt(s) to recover, and provide that documentation to the Stock Exchange; or</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b.Recovery would likely cause an otherwise tax-qualified retirement plan, under which benefits are broadly available to employees of the registrant, to fail to meet the requirements of Section 401(a)(13) or Section 411(a) of the Code.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Policy Prohibition on Indemnification and Insurance Reimbursement</w:t>
      </w:r>
      <w:r>
        <w:rPr>
          <w:rFonts w:ascii="Times New Roman;serif" w:hAnsi="Times New Roman;serif"/>
          <w:b w:val="false"/>
          <w:color w:val="000000"/>
          <w:sz w:val="22"/>
        </w:rPr>
        <w:t xml:space="preserve">. The Company is prohibited from indemnifying any Executive Officer or former Executive Officer against the loss of Erroneously Awarded Compensation. Further, the Company is prohibited from paying or reimbursing an Executive Officer for purchasing insurance to cover any such loss.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Required Policy-Related Filings</w:t>
      </w:r>
      <w:r>
        <w:rPr>
          <w:rFonts w:ascii="Times New Roman;serif" w:hAnsi="Times New Roman;serif"/>
          <w:b w:val="false"/>
          <w:color w:val="000000"/>
          <w:sz w:val="22"/>
        </w:rPr>
        <w:t>. The Company shall file all disclosures with respect to this Policy in accordance with the requirements of the Federal securities laws, including disclosures required by U.S. Securities and Exchange Commission filings.</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Definitions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Accounting Restatement</w:t>
      </w:r>
      <w:r>
        <w:rPr>
          <w:color w:val="000000"/>
        </w:rPr>
        <w:t xml:space="preserve">” </w:t>
      </w:r>
      <w:r>
        <w:rPr>
          <w:rFonts w:ascii="Times New Roman;serif" w:hAnsi="Times New Roman;serif"/>
          <w:b w:val="false"/>
          <w:color w:val="000000"/>
          <w:sz w:val="22"/>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Accounting Restatement Date</w:t>
      </w:r>
      <w:r>
        <w:rPr>
          <w:color w:val="000000"/>
        </w:rPr>
        <w:t xml:space="preserve">” </w:t>
      </w:r>
      <w:r>
        <w:rPr>
          <w:rFonts w:ascii="Times New Roman;serif" w:hAnsi="Times New Roman;serif"/>
          <w:b w:val="false"/>
          <w:color w:val="000000"/>
          <w:sz w:val="22"/>
        </w:rPr>
        <w:t>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Erroneously Awarded Compensation</w:t>
      </w:r>
      <w:r>
        <w:rPr>
          <w:color w:val="000000"/>
        </w:rPr>
        <w:t xml:space="preserve">” </w:t>
      </w:r>
      <w:r>
        <w:rPr>
          <w:rFonts w:ascii="Times New Roman;serif" w:hAnsi="Times New Roman;serif"/>
          <w:b w:val="false"/>
          <w:color w:val="000000"/>
          <w:sz w:val="22"/>
        </w:rPr>
        <w:t xml:space="preserve">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Executive Officer</w:t>
      </w:r>
      <w:r>
        <w:rPr>
          <w:color w:val="000000"/>
        </w:rPr>
        <w:t xml:space="preserve">” </w:t>
      </w:r>
      <w:r>
        <w:rPr>
          <w:rFonts w:ascii="Times New Roman;serif" w:hAnsi="Times New Roman;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8260"/>
                <wp:effectExtent l="0" t="0" r="0" b="0"/>
                <wp:wrapNone/>
                <wp:docPr id="142" name="Frame131"/>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Financial Reporting Measure</w:t>
      </w:r>
      <w:r>
        <w:rPr>
          <w:color w:val="000000"/>
        </w:rPr>
        <w:t xml:space="preserve">” </w:t>
      </w:r>
      <w:r>
        <w:rPr>
          <w:rFonts w:ascii="Times New Roman;serif" w:hAnsi="Times New Roman;serif"/>
          <w:b w:val="false"/>
          <w:color w:val="000000"/>
          <w:sz w:val="22"/>
        </w:rPr>
        <w:t xml:space="preserve">means any measure that is determined and presented in accordance with the accounting principles used in preparing the Company’s financial statements, and any measure that is derived wholly or in part from such measure;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Incentive-Based Compensation</w:t>
      </w:r>
      <w:r>
        <w:rPr>
          <w:color w:val="000000"/>
        </w:rPr>
        <w:t xml:space="preserve">” </w:t>
      </w:r>
      <w:r>
        <w:rPr>
          <w:rFonts w:ascii="Times New Roman;serif" w:hAnsi="Times New Roman;serif"/>
          <w:b w:val="false"/>
          <w:color w:val="000000"/>
          <w:sz w:val="22"/>
        </w:rPr>
        <w:t>means any compensation that is granted, earned, or vested based wholly or in part upon the attainment of a Financial Reporting Measure.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u w:val="single"/>
        </w:rPr>
        <w:t>Stock Exchange</w:t>
      </w:r>
      <w:r>
        <w:rPr>
          <w:color w:val="000000"/>
        </w:rPr>
        <w:t xml:space="preserve">” </w:t>
      </w:r>
      <w:r>
        <w:rPr>
          <w:rFonts w:ascii="Times New Roman;serif" w:hAnsi="Times New Roman;serif"/>
          <w:b w:val="false"/>
          <w:color w:val="000000"/>
          <w:sz w:val="22"/>
        </w:rPr>
        <w:t>means the national stock exchange on which the Company’s common stock is listed.</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Acknowledgement</w:t>
      </w:r>
      <w:r>
        <w:rPr>
          <w:rFonts w:ascii="Times New Roman;serif" w:hAnsi="Times New Roman;serif"/>
          <w:b w:val="false"/>
          <w:color w:val="000000"/>
          <w:sz w:val="22"/>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pursuant to which the Executive Officer agrees to be bound by, and to comply with, the terms and conditions of this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4"/>
          <w:u w:val="single"/>
        </w:rPr>
        <w:t>Committee Indemnification</w:t>
      </w:r>
      <w:r>
        <w:rPr>
          <w:rFonts w:ascii="Times New Roman;serif" w:hAnsi="Times New Roman;serif"/>
          <w:b w:val="false"/>
          <w:color w:val="000000"/>
          <w:sz w:val="24"/>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Severability</w:t>
      </w:r>
      <w:r>
        <w:rPr>
          <w:rFonts w:ascii="Times New Roman;serif" w:hAnsi="Times New Roman;serif"/>
          <w:b w:val="false"/>
          <w:color w:val="000000"/>
          <w:sz w:val="22"/>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Amendment; Termination</w:t>
      </w:r>
      <w:r>
        <w:rPr>
          <w:rFonts w:ascii="Times New Roman;serif" w:hAnsi="Times New Roman;serif"/>
          <w:b w:val="false"/>
          <w:color w:val="000000"/>
          <w:sz w:val="22"/>
        </w:rPr>
        <w:t>. The Board may amend this Policy from time to time in its sole and absolute discretion and shall amend this Policy as it deems necessary to reflect the Listing Rule. The Board may terminate this Policy at any time.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Other Recovery Obligations; General Rights</w:t>
      </w:r>
      <w:r>
        <w:rPr>
          <w:rFonts w:ascii="Times New Roman;serif" w:hAnsi="Times New Roman;serif"/>
          <w:b w:val="false"/>
          <w:color w:val="000000"/>
          <w:sz w:val="22"/>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w:t>
      </w:r>
      <w:r>
        <w:rPr>
          <w:color w:val="000000"/>
          <w:shd w:fill="FFFFFF" w:val="clear"/>
        </w:rPr>
        <w:t xml:space="preserve"> </w:t>
      </w:r>
      <w:r>
        <w:rPr>
          <w:rFonts w:ascii="Times New Roman;serif" w:hAnsi="Times New Roman;serif"/>
          <w:b w:val="false"/>
          <w:color w:val="000000"/>
          <w:sz w:val="22"/>
        </w:rPr>
        <w:t xml:space="preserve">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 </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Successors</w:t>
      </w:r>
      <w:r>
        <w:rPr>
          <w:rFonts w:ascii="Times New Roman;serif" w:hAnsi="Times New Roman;serif"/>
          <w:b w:val="false"/>
          <w:color w:val="000000"/>
          <w:sz w:val="22"/>
        </w:rPr>
        <w:t>. This Policy is binding and enforceable against all Executive Officers and their beneficiaries, heirs, executors, administrators or other legal representatives.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8260"/>
                <wp:effectExtent l="0" t="0" r="0" b="0"/>
                <wp:wrapNone/>
                <wp:docPr id="143" name="Frame132"/>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Governing Law; Venue</w:t>
      </w:r>
      <w:r>
        <w:rPr>
          <w:rFonts w:ascii="Times New Roman;serif" w:hAnsi="Times New Roman;serif"/>
          <w:b w:val="false"/>
          <w:color w:val="000000"/>
          <w:sz w:val="22"/>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8260"/>
                <wp:effectExtent l="0" t="0" r="0" b="0"/>
                <wp:wrapNone/>
                <wp:docPr id="144" name="Frame133"/>
                <a:graphic xmlns:a="http://schemas.openxmlformats.org/drawingml/2006/main">
                  <a:graphicData uri="http://schemas.microsoft.com/office/word/2010/wordprocessingShape">
                    <wps:wsp>
                      <wps:cNvSpPr txBox="1"/>
                      <wps:spPr>
                        <a:xfrm>
                          <a:off x="0" y="0"/>
                          <a:ext cx="6480175" cy="131826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8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ACM RESEARCH,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INCENTIVE-BASED COMPENSATION RECOVERY POLICY</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ACKNOWLEDGEMENT FORM</w:t>
      </w:r>
    </w:p>
    <w:p>
      <w:pPr>
        <w:pStyle w:val="TextBody"/>
        <w:bidi w:val="0"/>
        <w:spacing w:before="0" w:after="0"/>
        <w:jc w:val="center"/>
        <w:rPr/>
      </w:pPr>
      <w:r>
        <w:rPr/>
      </w:r>
    </w:p>
    <w:p>
      <w:pPr>
        <w:pStyle w:val="TextBody"/>
        <w:bidi w:val="0"/>
        <w:spacing w:lineRule="auto" w:line="240" w:before="0" w:after="0"/>
        <w:jc w:val="both"/>
        <w:rPr/>
      </w:pPr>
      <w:r>
        <w:rPr>
          <w:rFonts w:ascii="Times New Roman;serif" w:hAnsi="Times New Roman;serif"/>
          <w:b w:val="false"/>
          <w:color w:val="000000"/>
          <w:sz w:val="22"/>
        </w:rPr>
        <w:t>By signing below, the undersigned acknowledges and confirms that the undersigned has received and reviewed a copy of the ACM Research,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Incentive-Based Compensation Recovery Policy (the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Compensation (as defined in the Policy) to the Company to the extent required by, and in a manner consistent with, the Policy. Further, by signing below, the undersigned agrees that the terms of the Policy shall govern in the event of any inconsistency between the Policy and the terms of any employment agreement to which the undersigned is a party, or the terms of any compensation plan, program or agreement under which any compensation has been granted, awarded, earned or paid.</w:t>
      </w:r>
    </w:p>
    <w:p>
      <w:pPr>
        <w:pStyle w:val="TextBody"/>
        <w:bidi w:val="0"/>
        <w:spacing w:before="0" w:after="0"/>
        <w:jc w:val="both"/>
        <w:rPr/>
      </w:pPr>
      <w:r>
        <w:rPr/>
      </w:r>
    </w:p>
    <w:p>
      <w:pPr>
        <w:pStyle w:val="TextBody"/>
        <w:bidi w:val="0"/>
        <w:spacing w:before="0" w:after="0"/>
        <w:jc w:val="both"/>
        <w:rPr/>
      </w:pPr>
      <w:r>
        <w:rPr/>
      </w:r>
    </w:p>
    <w:tbl>
      <w:tblPr>
        <w:tblW w:w="2595" w:type="dxa"/>
        <w:jc w:val="left"/>
        <w:tblInd w:w="0" w:type="dxa"/>
        <w:tblLayout w:type="fixed"/>
        <w:tblCellMar>
          <w:top w:w="28" w:type="dxa"/>
          <w:left w:w="28" w:type="dxa"/>
          <w:bottom w:w="28" w:type="dxa"/>
          <w:right w:w="28" w:type="dxa"/>
        </w:tblCellMar>
      </w:tblPr>
      <w:tblGrid>
        <w:gridCol w:w="830"/>
        <w:gridCol w:w="729"/>
        <w:gridCol w:w="1036"/>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EXECUTIVE OFFICER</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Print Name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87730"/>
                <wp:effectExtent l="0" t="0" r="0" b="0"/>
                <wp:wrapNone/>
                <wp:docPr id="145" name="Frame134"/>
                <a:graphic xmlns:a="http://schemas.openxmlformats.org/drawingml/2006/main">
                  <a:graphicData uri="http://schemas.microsoft.com/office/word/2010/wordprocessingShape">
                    <wps:wsp>
                      <wps:cNvSpPr txBox="1"/>
                      <wps:spPr>
                        <a:xfrm>
                          <a:off x="0" y="0"/>
                          <a:ext cx="6480175" cy="88773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5"/>
                              </w:rPr>
                            </w:pPr>
                            <w:r>
                              <w:rPr>
                                <w:rFonts w:ascii="Arial;sans-serif" w:hAnsi="Arial;sans-serif"/>
                                <w:b w:val="false"/>
                                <w:color w:val="000000"/>
                                <w:sz w:val="15"/>
                              </w:rPr>
                              <w:t xml:space="preserve">507172572.2 </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99.01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42307 Osgood Road, Suite I</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Fremont, California 94539</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February 28, 2024</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By EDGAR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and Exchange Commission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Division of Corporate Finance</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100 F. Street, N.E.</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Washington, DC 20549</w:t>
      </w:r>
    </w:p>
    <w:p>
      <w:pPr>
        <w:pStyle w:val="TextBody"/>
        <w:bidi w:val="0"/>
        <w:spacing w:before="0" w:after="0"/>
        <w:jc w:val="left"/>
        <w:rPr/>
      </w:pPr>
      <w:r>
        <w:rPr/>
      </w:r>
    </w:p>
    <w:tbl>
      <w:tblPr>
        <w:tblW w:w="2234" w:type="dxa"/>
        <w:jc w:val="left"/>
        <w:tblInd w:w="0" w:type="dxa"/>
        <w:tblLayout w:type="fixed"/>
        <w:tblCellMar>
          <w:top w:w="28" w:type="dxa"/>
          <w:left w:w="28" w:type="dxa"/>
          <w:bottom w:w="28" w:type="dxa"/>
          <w:right w:w="28" w:type="dxa"/>
        </w:tblCellMar>
      </w:tblPr>
      <w:tblGrid>
        <w:gridCol w:w="146"/>
        <w:gridCol w:w="129"/>
        <w:gridCol w:w="130"/>
        <w:gridCol w:w="534"/>
        <w:gridCol w:w="534"/>
        <w:gridCol w:w="761"/>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ACM Research, Inc.</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Submission under Item 9C(a) of Form 10-K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Ladies and Gentlemen:</w:t>
      </w:r>
    </w:p>
    <w:p>
      <w:pPr>
        <w:pStyle w:val="TextBody"/>
        <w:bidi w:val="0"/>
        <w:spacing w:before="0" w:after="0"/>
        <w:jc w:val="left"/>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ACM Research, Inc. (the “</w:t>
      </w:r>
      <w:r>
        <w:rPr>
          <w:rFonts w:ascii="Times New Roman;serif" w:hAnsi="Times New Roman;serif"/>
          <w:b w:val="false"/>
          <w:i/>
          <w:color w:val="000000"/>
          <w:sz w:val="20"/>
          <w:shd w:fill="FFFFFF" w:val="clear"/>
        </w:rPr>
        <w:t>Company</w:t>
      </w:r>
      <w:r>
        <w:rPr>
          <w:color w:val="000000"/>
          <w:shd w:fill="FFFFFF" w:val="clear"/>
        </w:rPr>
        <w:t>”</w:t>
      </w:r>
      <w:r>
        <w:rPr>
          <w:rFonts w:ascii="Times New Roman;serif" w:hAnsi="Times New Roman;serif"/>
          <w:b w:val="false"/>
          <w:color w:val="000000"/>
          <w:sz w:val="20"/>
          <w:shd w:fill="FFFFFF" w:val="clear"/>
        </w:rPr>
        <w:t>) is submitting the following information pursuant to Item 9C(a) of Form 10-K.</w:t>
      </w:r>
    </w:p>
    <w:p>
      <w:pPr>
        <w:pStyle w:val="TextBody"/>
        <w:bidi w:val="0"/>
        <w:spacing w:before="0" w:after="0"/>
        <w:jc w:val="left"/>
        <w:rPr/>
      </w:pPr>
      <w:r>
        <w:rPr/>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The Company was identified by the Securities and Exchange Commission pursuant to Section 104(i)(2)(A) of the Sarbanes-Oxley Act of 2002 (15 U.S.C. 7214(i)(2)(A)) as having retained, for the preparation of the audit report on its financial statements included in its Annual Report on Form 10-K for the year ended December 31, 2021, a registered public accounting firm that has a branch or office that is located in a foreign jurisdiction and that the Public Company Accounting Oversight Board (the “</w:t>
      </w:r>
      <w:r>
        <w:rPr>
          <w:rFonts w:ascii="Times New Roman;serif" w:hAnsi="Times New Roman;serif"/>
          <w:b w:val="false"/>
          <w:i/>
          <w:color w:val="000000"/>
          <w:sz w:val="20"/>
          <w:shd w:fill="FFFFFF" w:val="clear"/>
        </w:rPr>
        <w:t>PCAOB</w:t>
      </w:r>
      <w:r>
        <w:rPr>
          <w:color w:val="000000"/>
          <w:shd w:fill="FFFFFF" w:val="clear"/>
        </w:rPr>
        <w:t>”</w:t>
      </w:r>
      <w:r>
        <w:rPr>
          <w:rFonts w:ascii="Times New Roman;serif" w:hAnsi="Times New Roman;serif"/>
          <w:b w:val="false"/>
          <w:color w:val="000000"/>
          <w:sz w:val="20"/>
          <w:shd w:fill="FFFFFF" w:val="clear"/>
        </w:rPr>
        <w:t>) had then determined it was unable to inspect or investigate completely because of a position taken by an authority in the foreign jurisdiction, which determination was vacated by the PCAOB on December 15, 2022.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Company’s best knowledge, and based on examination of the Company’s stockholder register and public filings made by its stockholders, particularly the Schedule 13G and Schedule 13G/As filed in January and February 2024, the Company herein confirms that it is not owned or controlled by any governmental entity in such foreign jurisdiction as of the date of this submission. In addition, the Company is not aware of any governmental entity that is in possession, directly or indirectly, of the power to direct or cause the direction of the management and policies of the Company, whether through the ownership of voting securities, by contract, or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it has identified and reviewed the appropriate documents in response to the requirement under paragraph (a) of Item 9C in the Form 10-K. Based on its organizational structure and other registrant-specific factors, the appropriate documents include its stockholder register and certain public filings made by its stockholders, particularly the Schedule 13G and Schedule 13G/As filed in January and February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did not rely on any legal opinions or third-party certifications, such as affidavits, as the basis for this submission, as the Company did not consider such third-party materials to be required or necessary to support the conclusion as stated. The Company considered “the terms “owned or controlled,” “owned,” and “controlling financial interest” used in the Holding Foreign Companies Accountable Act are reasonably read to have the same meaning as the term “control” as used in the Exchange Act and the Exchange Act rules”, as set forth in the Holding Foreign Companies Accountable Act Disclosure, Release No. 34-9370.</w:t>
      </w:r>
    </w:p>
    <w:p>
      <w:pPr>
        <w:pStyle w:val="TextBody"/>
        <w:bidi w:val="0"/>
        <w:spacing w:before="0" w:after="0"/>
        <w:jc w:val="left"/>
        <w:rPr/>
      </w:pPr>
      <w:r>
        <w:rPr/>
      </w:r>
    </w:p>
    <w:p>
      <w:pPr>
        <w:pStyle w:val="TextBody"/>
        <w:bidi w:val="0"/>
        <w:spacing w:lineRule="auto" w:line="288"/>
        <w:ind w:left="0" w:right="0" w:firstLine="576"/>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Please do not hesitate to contact the Company’s legal counsel, Michael A. Hedge of K&amp;L Gates LLP, at (949) 623-3519 if you have any questions or would like additional information regarding this matter.</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Mark McKechnie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 McKechnie</w:t>
      </w:r>
    </w:p>
    <w:p>
      <w:pPr>
        <w:pStyle w:val="TextBody"/>
        <w:bidi w:val="0"/>
        <w:spacing w:before="0" w:after="0"/>
        <w:jc w:val="left"/>
        <w:rPr/>
      </w:pPr>
      <w:r>
        <w:rPr/>
      </w:r>
    </w:p>
    <w:tbl>
      <w:tblPr>
        <w:tblW w:w="3465" w:type="dxa"/>
        <w:jc w:val="left"/>
        <w:tblInd w:w="0" w:type="dxa"/>
        <w:tblLayout w:type="fixed"/>
        <w:tblCellMar>
          <w:top w:w="28" w:type="dxa"/>
          <w:left w:w="28" w:type="dxa"/>
          <w:bottom w:w="28" w:type="dxa"/>
          <w:right w:w="28" w:type="dxa"/>
        </w:tblCellMar>
      </w:tblPr>
      <w:tblGrid>
        <w:gridCol w:w="130"/>
        <w:gridCol w:w="115"/>
        <w:gridCol w:w="115"/>
        <w:gridCol w:w="907"/>
        <w:gridCol w:w="907"/>
        <w:gridCol w:w="1291"/>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H. Wang, ACM Research, Inc.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Michael A. Hedge, K&amp;L Gates LLP</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Jason C. Dreibelbis, K&amp;L Gates LLP</w:t>
      </w:r>
    </w:p>
    <w:p>
      <w:pPr>
        <w:pStyle w:val="TextBody"/>
        <w:bidi w:val="0"/>
        <w:spacing w:before="0" w:after="0"/>
        <w:jc w:val="left"/>
        <w:rPr/>
      </w:pPr>
      <w:r>
        <w:rPr/>
      </w:r>
    </w:p>
    <w:p>
      <w:pPr>
        <w:pStyle w:val="TextBody"/>
        <w:bidi w:val="0"/>
        <w:spacing w:before="0" w:after="0"/>
        <w:jc w:val="left"/>
        <w:rPr/>
      </w:pPr>
      <w:r>
        <w:rPr/>
      </w:r>
    </w:p>
    <w:p>
      <w:pPr>
        <w:pStyle w:val="TextBody"/>
        <w:bidi w:val="0"/>
        <w:jc w:val="left"/>
        <w:rPr>
          <w:shd w:fill="FFFFFF" w:val="clear"/>
        </w:rPr>
      </w:pPr>
      <w:r>
        <w:rPr>
          <w:shd w:fill="FFFFFF" w:val="clear"/>
        </w:rPr>
        <w:drawing>
          <wp:inline distT="0" distB="0" distL="0" distR="0">
            <wp:extent cx="5943600" cy="19050"/>
            <wp:effectExtent l="0" t="0" r="0" b="0"/>
            <wp:docPr id="1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 descr=""/>
                    <pic:cNvPicPr>
                      <a:picLocks noChangeAspect="1" noChangeArrowheads="1"/>
                    </pic:cNvPicPr>
                  </pic:nvPicPr>
                  <pic:blipFill>
                    <a:blip r:embed="rId67"/>
                    <a:stretch>
                      <a:fillRect/>
                    </a:stretch>
                  </pic:blipFill>
                  <pic:spPr bwMode="auto">
                    <a:xfrm>
                      <a:off x="0" y="0"/>
                      <a:ext cx="5943600" cy="190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680062/000119312517342650/d407541dex301.htm" TargetMode="External"/><Relationship Id="rId8" Type="http://schemas.openxmlformats.org/officeDocument/2006/relationships/hyperlink" Target="https://www.sec.gov/Archives/edgar/data/0001680062/000114036121024240/brhc10026736_ex3-01.htm" TargetMode="External"/><Relationship Id="rId9" Type="http://schemas.openxmlformats.org/officeDocument/2006/relationships/hyperlink" Target="https://www.sec.gov/Archives/edgar/data/1680062/000119312517342650/d407541dex302.htm" TargetMode="External"/><Relationship Id="rId10" Type="http://schemas.openxmlformats.org/officeDocument/2006/relationships/hyperlink" Target="https://www.sec.gov/Archives/edgar/data/1680062/000165495418005164/acm_ex10-04.htm" TargetMode="External"/><Relationship Id="rId11" Type="http://schemas.openxmlformats.org/officeDocument/2006/relationships/hyperlink" Target="https://www.sec.gov/Archives/edgar/data/1680062/000119312517283955/d311227dex1001.htm" TargetMode="External"/><Relationship Id="rId12" Type="http://schemas.openxmlformats.org/officeDocument/2006/relationships/hyperlink" Target="https://www.sec.gov/Archives/edgar/data/1680062/000165495418011153/acmr_ex1006.htm" TargetMode="External"/><Relationship Id="rId13" Type="http://schemas.openxmlformats.org/officeDocument/2006/relationships/hyperlink" Target="https://www.sec.gov/Archives/edgar/data/1680062/000165495419001232/acm_ex10-1.htm" TargetMode="External"/><Relationship Id="rId14" Type="http://schemas.openxmlformats.org/officeDocument/2006/relationships/hyperlink" Target="https://www.sec.gov/Archives/edgar/data/1680062/000114036122007348/brhc10034322_ex10-01d.htm" TargetMode="External"/><Relationship Id="rId15" Type="http://schemas.openxmlformats.org/officeDocument/2006/relationships/hyperlink" Target="https://www.sec.gov/Archives/edgar/data/1680062/000168006224000008/usfremontofficelease_202.htm" TargetMode="External"/><Relationship Id="rId16" Type="http://schemas.openxmlformats.org/officeDocument/2006/relationships/hyperlink" Target="https://www.sec.gov/Archives/edgar/data/1680062/000165495418011154/acmr_ex1001.htm" TargetMode="External"/><Relationship Id="rId17" Type="http://schemas.openxmlformats.org/officeDocument/2006/relationships/hyperlink" Target="https://www.sec.gov/Archives/edgar/data/1680062/000165495418011153/acmr_ex1005.htm" TargetMode="External"/><Relationship Id="rId18" Type="http://schemas.openxmlformats.org/officeDocument/2006/relationships/hyperlink" Target="https://www.sec.gov/Archives/edgar/data/1680062/000168006224000020/signedoregonpurchaseagre.htm" TargetMode="External"/><Relationship Id="rId19" Type="http://schemas.openxmlformats.org/officeDocument/2006/relationships/hyperlink" Target="https://www.sec.gov/Archives/edgar/data/1680062/000119312517312780/d311227dex1004.htm" TargetMode="External"/><Relationship Id="rId20" Type="http://schemas.openxmlformats.org/officeDocument/2006/relationships/hyperlink" Target="https://www.sec.gov/Archives/edgar/data/1680062/000119312517312780/d311227dex1007.htm" TargetMode="External"/><Relationship Id="rId21" Type="http://schemas.openxmlformats.org/officeDocument/2006/relationships/hyperlink" Target="https://www.sec.gov/Archives/edgar/data/1680062/000165495419009210/acm_ex10-01.htm" TargetMode="External"/><Relationship Id="rId22" Type="http://schemas.openxmlformats.org/officeDocument/2006/relationships/hyperlink" Target="https://www.sec.gov/Archives/edgar/data/1680062/000165495419009210/acm_ex10-01a.htm" TargetMode="External"/><Relationship Id="rId23" Type="http://schemas.openxmlformats.org/officeDocument/2006/relationships/hyperlink" Target="https://www.sec.gov/Archives/edgar/data/1680062/000165495419009210/acm_ex10-02.htm" TargetMode="External"/><Relationship Id="rId24" Type="http://schemas.openxmlformats.org/officeDocument/2006/relationships/hyperlink" Target="https://www.sec.gov/Archives/edgar/data/1680062/000165495419009210/acm_ex10-02a.htm" TargetMode="External"/><Relationship Id="rId25" Type="http://schemas.openxmlformats.org/officeDocument/2006/relationships/hyperlink" Target="https://www.sec.gov/Archives/edgar/data/1680062/000114036119020461/ex10_03.htm" TargetMode="External"/><Relationship Id="rId26" Type="http://schemas.openxmlformats.org/officeDocument/2006/relationships/hyperlink" Target="https://www.sec.gov/Archives/edgar/data/1680062/000119312517364926/d481028dex1001.htm" TargetMode="External"/><Relationship Id="rId27" Type="http://schemas.openxmlformats.org/officeDocument/2006/relationships/hyperlink" Target="https://www.sec.gov/Archives/edgar/data/1680062/000119312517283955/d311227dex1010a.htm" TargetMode="External"/><Relationship Id="rId28" Type="http://schemas.openxmlformats.org/officeDocument/2006/relationships/hyperlink" Target="https://www.sec.gov/Archives/edgar/data/1680062/000119312517283955/d311227dex1010b.htm" TargetMode="External"/><Relationship Id="rId29" Type="http://schemas.openxmlformats.org/officeDocument/2006/relationships/hyperlink" Target="https://www.sec.gov/Archives/edgar/data/1680062/000119312517283955/d311227dex1010c.htm" TargetMode="External"/><Relationship Id="rId30" Type="http://schemas.openxmlformats.org/officeDocument/2006/relationships/hyperlink" Target="https://www.sec.gov/Archives/edgar/data/1680062/000119312517283955/d311227dex1011.htm" TargetMode="External"/><Relationship Id="rId31" Type="http://schemas.openxmlformats.org/officeDocument/2006/relationships/hyperlink" Target="https://www.sec.gov/Archives/edgar/data/1680062/000119312517283955/d311227dex1012.htm" TargetMode="External"/><Relationship Id="rId32" Type="http://schemas.openxmlformats.org/officeDocument/2006/relationships/hyperlink" Target="https://www.sec.gov/Archives/edgar/data/1680062/000119312517283955/d311227dex1012a.htm" TargetMode="External"/><Relationship Id="rId33" Type="http://schemas.openxmlformats.org/officeDocument/2006/relationships/hyperlink" Target="https://www.sec.gov/Archives/edgar/data/1680062/000119312517283955/d311227dex1012b.htm" TargetMode="External"/><Relationship Id="rId34" Type="http://schemas.openxmlformats.org/officeDocument/2006/relationships/hyperlink" Target="https://www.sec.gov/Archives/edgar/data/1680062/000119312517283955/d311227dex1013.htm" TargetMode="External"/><Relationship Id="rId35" Type="http://schemas.openxmlformats.org/officeDocument/2006/relationships/hyperlink" Target="https://www.sec.gov/Archives/edgar/data/1680062/000114036120011506/ex10_01.htm" TargetMode="External"/><Relationship Id="rId36" Type="http://schemas.openxmlformats.org/officeDocument/2006/relationships/hyperlink" Target="https://www.sec.gov/Archives/edgar/data/1680062/000114036120012790/ex10_01.htm" TargetMode="External"/><Relationship Id="rId37" Type="http://schemas.openxmlformats.org/officeDocument/2006/relationships/hyperlink" Target="https://www.sec.gov/Archives/edgar/data/1680062/000114036120012790/ex10_02.htm" TargetMode="External"/><Relationship Id="rId38" Type="http://schemas.openxmlformats.org/officeDocument/2006/relationships/hyperlink" Target="https://www.sec.gov/Archives/edgar/data/1680062/000114036120012790/ex10_03.htm" TargetMode="External"/><Relationship Id="rId39" Type="http://schemas.openxmlformats.org/officeDocument/2006/relationships/hyperlink" Target="https://www.sec.gov/Archives/edgar/data/1680062/000114036120012790/ex10_04.htm" TargetMode="External"/><Relationship Id="rId40" Type="http://schemas.openxmlformats.org/officeDocument/2006/relationships/hyperlink" Target="https://www.sec.gov/Archives/edgar/data/1680062/000114036120012790/ex10_05.htm" TargetMode="External"/><Relationship Id="rId41" Type="http://schemas.openxmlformats.org/officeDocument/2006/relationships/hyperlink" Target="https://www.sec.gov/Archives/edgar/data/1680062/000114036120012790/ex10_06.htm" TargetMode="External"/><Relationship Id="rId42" Type="http://schemas.openxmlformats.org/officeDocument/2006/relationships/hyperlink" Target="https://www.sec.gov/Archives/edgar/data/1680062/000114036120012790/ex10_07.htm" TargetMode="External"/><Relationship Id="rId43" Type="http://schemas.openxmlformats.org/officeDocument/2006/relationships/hyperlink" Target="https://www.sec.gov/Archives/edgar/data/1680062/000114036120012790/ex10_08.htm" TargetMode="External"/><Relationship Id="rId44" Type="http://schemas.openxmlformats.org/officeDocument/2006/relationships/hyperlink" Target="https://www.sec.gov/Archives/edgar/data/1680062/000114036120012790/ex10_09.htm" TargetMode="External"/><Relationship Id="rId45" Type="http://schemas.openxmlformats.org/officeDocument/2006/relationships/hyperlink" Target="https://www.sec.gov/Archives/edgar/data/1680062/000114036120012790/ex10_10.htm" TargetMode="External"/><Relationship Id="rId46" Type="http://schemas.openxmlformats.org/officeDocument/2006/relationships/hyperlink" Target="https://www.sec.gov/Archives/edgar/data/1680062/000114036120012790/ex10_11.htm" TargetMode="External"/><Relationship Id="rId47" Type="http://schemas.openxmlformats.org/officeDocument/2006/relationships/hyperlink" Target="https://www.sec.gov/Archives/edgar/data/1680062/000114036120012790/ex10_12.htm" TargetMode="External"/><Relationship Id="rId48" Type="http://schemas.openxmlformats.org/officeDocument/2006/relationships/hyperlink" Target="https://www.sec.gov/Archives/edgar/data/1680062/000114036120012790/ex10_13.htm" TargetMode="External"/><Relationship Id="rId49" Type="http://schemas.openxmlformats.org/officeDocument/2006/relationships/hyperlink" Target="https://www.sec.gov/Archives/edgar/data/1680062/000114036120012790/ex10_14.htm" TargetMode="External"/><Relationship Id="rId50" Type="http://schemas.openxmlformats.org/officeDocument/2006/relationships/hyperlink" Target="https://www.sec.gov/Archives/edgar/data/1680062/000114036120012790/ex10_15.htm" TargetMode="External"/><Relationship Id="rId51" Type="http://schemas.openxmlformats.org/officeDocument/2006/relationships/hyperlink" Target="https://www.sec.gov/Archives/edgar/data/1680062/000114036120012790/ex10_16.htm" TargetMode="External"/><Relationship Id="rId52" Type="http://schemas.openxmlformats.org/officeDocument/2006/relationships/hyperlink" Target="https://www.sec.gov/Archives/edgar/data/1680062/000114036121006213/brhc10020536_ex10-01.htm" TargetMode="External"/><Relationship Id="rId53" Type="http://schemas.openxmlformats.org/officeDocument/2006/relationships/hyperlink" Target="https://www.sec.gov/Archives/edgar/data/1680062/000114036121006213/brhc10020536_ex10-01a.htm" TargetMode="External"/><Relationship Id="rId54" Type="http://schemas.openxmlformats.org/officeDocument/2006/relationships/hyperlink" Target="https://www.sec.gov/Archives/edgar/data/1680062/000114036121006213/brhc10020536_ex10-02.htm" TargetMode="External"/><Relationship Id="rId55" Type="http://schemas.openxmlformats.org/officeDocument/2006/relationships/hyperlink" Target="https://www.sec.gov/Archives/edgar/data/1680062/000114036121006213/brhc10020536_ex10-03.htm" TargetMode="External"/><Relationship Id="rId56" Type="http://schemas.openxmlformats.org/officeDocument/2006/relationships/hyperlink" Target="https://www.sec.gov/Archives/edgar/data/0001680062/000114036121016476/brhc10023839_ex10-01.htm" TargetMode="External"/><Relationship Id="rId57" Type="http://schemas.openxmlformats.org/officeDocument/2006/relationships/hyperlink" Target="https://www.sec.gov/ix?doc=/Archives/edgar/data/0001680062/000114036123037101/brhc20055674_8k.htm" TargetMode="External"/><Relationship Id="rId58" Type="http://schemas.openxmlformats.org/officeDocument/2006/relationships/hyperlink" Target="https://www.sec.gov/Archives/edgar/data/1680062/000168006223000013/oregonleaseagreementapri.htm" TargetMode="External"/><Relationship Id="rId59" Type="http://schemas.openxmlformats.org/officeDocument/2006/relationships/hyperlink" Target="https://www.sec.gov/Archives/edgar/data/1680062/000168006225000010/loanagreementwithcitican.htm" TargetMode="External"/><Relationship Id="rId60" Type="http://schemas.openxmlformats.org/officeDocument/2006/relationships/hyperlink" Target="https://www.sec.gov/Archives/edgar/data/1680062/000114036125016311/ny20042784x1_def14a.htm" TargetMode="External"/><Relationship Id="rId61" Type="http://schemas.openxmlformats.org/officeDocument/2006/relationships/image" Target="media/image6.png"/><Relationship Id="rId62" Type="http://schemas.openxmlformats.org/officeDocument/2006/relationships/image" Target="media/image7.png"/><Relationship Id="rId63" Type="http://schemas.openxmlformats.org/officeDocument/2006/relationships/image" Target="media/image6.png"/><Relationship Id="rId64" Type="http://schemas.openxmlformats.org/officeDocument/2006/relationships/image" Target="media/image7.png"/><Relationship Id="rId65" Type="http://schemas.openxmlformats.org/officeDocument/2006/relationships/image" Target="media/image6.png"/><Relationship Id="rId66" Type="http://schemas.openxmlformats.org/officeDocument/2006/relationships/image" Target="media/image8.png"/><Relationship Id="rId67" Type="http://schemas.openxmlformats.org/officeDocument/2006/relationships/image" Target="media/image8.pn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76012</Words>
  <Characters>424481</Characters>
  <CharactersWithSpaces>501473</CharactersWithSpaces>
  <Paragraphs>5278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