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 w:lineRule="exact"/>
        <w:rPr>
          <w:sz w:val="24"/>
          <w:szCs w:val="24"/>
          <w:color w:val="auto"/>
        </w:rPr>
      </w:pPr>
    </w:p>
    <w:p>
      <w:pPr>
        <w:ind w:left="340" w:right="2660" w:hanging="332"/>
        <w:spacing w:after="0" w:line="261" w:lineRule="auto"/>
        <w:tabs>
          <w:tab w:leader="none" w:pos="22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24"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340" w:right="2280" w:hanging="332"/>
        <w:spacing w:after="0" w:line="275" w:lineRule="auto"/>
        <w:tabs>
          <w:tab w:leader="none" w:pos="22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203835</wp:posOffset>
            </wp:positionV>
            <wp:extent cx="161226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6000" w:type="dxa"/>
            <w:vAlign w:val="bottom"/>
            <w:gridSpan w:val="2"/>
          </w:tcPr>
          <w:p>
            <w:pPr>
              <w:jc w:val="right"/>
              <w:ind w:right="2192"/>
              <w:spacing w:after="0"/>
              <w:rPr>
                <w:sz w:val="20"/>
                <w:szCs w:val="20"/>
                <w:color w:val="auto"/>
              </w:rPr>
            </w:pPr>
            <w:r>
              <w:rPr>
                <w:rFonts w:ascii="Arial" w:cs="Arial" w:eastAsia="Arial" w:hAnsi="Arial"/>
                <w:sz w:val="18"/>
                <w:szCs w:val="18"/>
                <w:color w:val="auto"/>
              </w:rPr>
              <w:t>94-3290283</w:t>
            </w:r>
          </w:p>
        </w:tc>
      </w:tr>
      <w:tr>
        <w:trPr>
          <w:trHeight w:val="222"/>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580" w:type="dxa"/>
            <w:vAlign w:val="bottom"/>
          </w:tcPr>
          <w:p>
            <w:pPr>
              <w:spacing w:after="0"/>
              <w:rPr>
                <w:sz w:val="19"/>
                <w:szCs w:val="19"/>
                <w:color w:val="auto"/>
              </w:rPr>
            </w:pPr>
          </w:p>
        </w:tc>
        <w:tc>
          <w:tcPr>
            <w:tcW w:w="5420" w:type="dxa"/>
            <w:vAlign w:val="bottom"/>
            <w:tcBorders>
              <w:top w:val="single" w:sz="8" w:color="auto"/>
            </w:tcBorders>
          </w:tcPr>
          <w:p>
            <w:pPr>
              <w:ind w:left="1480"/>
              <w:spacing w:after="0"/>
              <w:rPr>
                <w:sz w:val="20"/>
                <w:szCs w:val="20"/>
                <w:color w:val="auto"/>
              </w:rPr>
            </w:pPr>
            <w:r>
              <w:rPr>
                <w:rFonts w:ascii="Arial" w:cs="Arial" w:eastAsia="Arial" w:hAnsi="Arial"/>
                <w:sz w:val="18"/>
                <w:szCs w:val="18"/>
                <w:i w:val="1"/>
                <w:iCs w:val="1"/>
                <w:color w:val="auto"/>
              </w:rPr>
              <w:t>(I.R.S. Employee Identification No.)</w:t>
            </w:r>
          </w:p>
        </w:tc>
      </w:tr>
      <w:tr>
        <w:trPr>
          <w:trHeight w:val="411"/>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6"/>
              </w:rPr>
              <w:t>42307 Osgood Road, Suite I</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Fremont, California</w:t>
            </w:r>
          </w:p>
        </w:tc>
        <w:tc>
          <w:tcPr>
            <w:tcW w:w="6000" w:type="dxa"/>
            <w:vAlign w:val="bottom"/>
            <w:gridSpan w:val="2"/>
          </w:tcPr>
          <w:p>
            <w:pPr>
              <w:jc w:val="right"/>
              <w:ind w:right="2392"/>
              <w:spacing w:after="0"/>
              <w:rPr>
                <w:sz w:val="20"/>
                <w:szCs w:val="20"/>
                <w:color w:val="auto"/>
              </w:rPr>
            </w:pPr>
            <w:r>
              <w:rPr>
                <w:rFonts w:ascii="Arial" w:cs="Arial" w:eastAsia="Arial" w:hAnsi="Arial"/>
                <w:sz w:val="18"/>
                <w:szCs w:val="18"/>
                <w:b w:val="1"/>
                <w:bCs w:val="1"/>
                <w:color w:val="auto"/>
              </w:rPr>
              <w:t>94539</w:t>
            </w:r>
          </w:p>
        </w:tc>
      </w:tr>
      <w:tr>
        <w:trPr>
          <w:trHeight w:val="222"/>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ind w:left="2320"/>
              <w:spacing w:after="0"/>
              <w:rPr>
                <w:sz w:val="20"/>
                <w:szCs w:val="20"/>
                <w:color w:val="auto"/>
              </w:rPr>
            </w:pPr>
            <w:r>
              <w:rPr>
                <w:rFonts w:ascii="Arial" w:cs="Arial" w:eastAsia="Arial" w:hAnsi="Arial"/>
                <w:sz w:val="18"/>
                <w:szCs w:val="18"/>
                <w:i w:val="1"/>
                <w:iCs w:val="1"/>
                <w:color w:val="auto"/>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ind w:left="2020"/>
              <w:spacing w:after="0"/>
              <w:rPr>
                <w:sz w:val="20"/>
                <w:szCs w:val="20"/>
                <w:color w:val="auto"/>
              </w:rPr>
            </w:pPr>
            <w:r>
              <w:rPr>
                <w:rFonts w:ascii="Arial" w:cs="Arial" w:eastAsia="Arial" w:hAnsi="Arial"/>
                <w:sz w:val="18"/>
                <w:szCs w:val="18"/>
                <w:color w:val="auto"/>
              </w:rPr>
              <w:t>Title of each class</w:t>
            </w:r>
          </w:p>
        </w:tc>
        <w:tc>
          <w:tcPr>
            <w:tcW w:w="580" w:type="dxa"/>
            <w:vAlign w:val="bottom"/>
          </w:tcPr>
          <w:p>
            <w:pPr>
              <w:spacing w:after="0"/>
              <w:rPr>
                <w:sz w:val="19"/>
                <w:szCs w:val="19"/>
                <w:color w:val="auto"/>
              </w:rPr>
            </w:pPr>
          </w:p>
        </w:tc>
        <w:tc>
          <w:tcPr>
            <w:tcW w:w="5420" w:type="dxa"/>
            <w:vAlign w:val="bottom"/>
          </w:tcPr>
          <w:p>
            <w:pPr>
              <w:ind w:left="1100"/>
              <w:spacing w:after="0"/>
              <w:rPr>
                <w:sz w:val="20"/>
                <w:szCs w:val="20"/>
                <w:color w:val="auto"/>
              </w:rPr>
            </w:pPr>
            <w:r>
              <w:rPr>
                <w:rFonts w:ascii="Arial" w:cs="Arial" w:eastAsia="Arial" w:hAnsi="Arial"/>
                <w:sz w:val="18"/>
                <w:szCs w:val="18"/>
                <w:color w:val="auto"/>
              </w:rPr>
              <w:t>Name of each exchange on which registered</w:t>
            </w:r>
          </w:p>
        </w:tc>
      </w:tr>
      <w:tr>
        <w:trPr>
          <w:trHeight w:val="36"/>
        </w:trPr>
        <w:tc>
          <w:tcPr>
            <w:tcW w:w="54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r>
      <w:tr>
        <w:trPr>
          <w:trHeight w:val="228"/>
        </w:trPr>
        <w:tc>
          <w:tcPr>
            <w:tcW w:w="5420" w:type="dxa"/>
            <w:vAlign w:val="bottom"/>
          </w:tcPr>
          <w:p>
            <w:pPr>
              <w:ind w:left="740"/>
              <w:spacing w:after="0"/>
              <w:rPr>
                <w:sz w:val="20"/>
                <w:szCs w:val="20"/>
                <w:color w:val="auto"/>
              </w:rPr>
            </w:pPr>
            <w:r>
              <w:rPr>
                <w:rFonts w:ascii="Arial" w:cs="Arial" w:eastAsia="Arial" w:hAnsi="Arial"/>
                <w:sz w:val="18"/>
                <w:szCs w:val="18"/>
                <w:b w:val="1"/>
                <w:bCs w:val="1"/>
                <w:color w:val="auto"/>
              </w:rPr>
              <w:t>Class A Common Stock, $0.0001 par value per share</w:t>
            </w:r>
          </w:p>
        </w:tc>
        <w:tc>
          <w:tcPr>
            <w:tcW w:w="580" w:type="dxa"/>
            <w:vAlign w:val="bottom"/>
          </w:tcPr>
          <w:p>
            <w:pPr>
              <w:spacing w:after="0"/>
              <w:rPr>
                <w:sz w:val="19"/>
                <w:szCs w:val="19"/>
                <w:color w:val="auto"/>
              </w:rPr>
            </w:pPr>
          </w:p>
        </w:tc>
        <w:tc>
          <w:tcPr>
            <w:tcW w:w="5420" w:type="dxa"/>
            <w:vAlign w:val="bottom"/>
          </w:tcPr>
          <w:p>
            <w:pPr>
              <w:ind w:left="1840"/>
              <w:spacing w:after="0"/>
              <w:rPr>
                <w:sz w:val="20"/>
                <w:szCs w:val="20"/>
                <w:color w:val="auto"/>
              </w:rPr>
            </w:pPr>
            <w:r>
              <w:rPr>
                <w:rFonts w:ascii="Arial" w:cs="Arial" w:eastAsia="Arial" w:hAnsi="Arial"/>
                <w:sz w:val="18"/>
                <w:szCs w:val="18"/>
                <w:b w:val="1"/>
                <w:bCs w:val="1"/>
                <w:color w:val="auto"/>
              </w:rPr>
              <w:t>Nasdaq Global Market</w:t>
            </w:r>
          </w:p>
        </w:tc>
      </w:tr>
    </w:tbl>
    <w:p>
      <w:pPr>
        <w:spacing w:after="0" w:line="122"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06" w:right="239" w:bottom="0" w:gutter="0" w:footer="0" w:header="0"/>
        </w:sectPr>
      </w:pPr>
    </w:p>
    <w:p>
      <w:pPr>
        <w:spacing w:after="0" w:line="72" w:lineRule="exact"/>
        <w:rPr>
          <w:sz w:val="24"/>
          <w:szCs w:val="24"/>
          <w:color w:val="auto"/>
        </w:rPr>
      </w:pPr>
    </w:p>
    <w:p>
      <w:pPr>
        <w:ind w:right="580"/>
        <w:spacing w:after="0" w:line="370" w:lineRule="auto"/>
        <w:rPr>
          <w:sz w:val="20"/>
          <w:szCs w:val="20"/>
          <w:color w:val="auto"/>
        </w:rPr>
      </w:pPr>
      <w:r>
        <w:rPr>
          <w:rFonts w:ascii="Arial" w:cs="Arial" w:eastAsia="Arial" w:hAnsi="Arial"/>
          <w:sz w:val="15"/>
          <w:szCs w:val="15"/>
          <w:color w:val="auto"/>
        </w:rPr>
        <w:t>Large accelerated filer Non-accelerated file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2160" w:space="720"/>
            <w:col w:w="4400" w:space="720"/>
            <w:col w:w="3420"/>
          </w:cols>
          <w:pgMar w:left="240" w:top="706" w:right="239" w:bottom="0" w:gutter="0" w:footer="0" w:header="0"/>
          <w:type w:val="continuous"/>
        </w:sectPr>
      </w:pPr>
    </w:p>
    <w:p>
      <w:pPr>
        <w:spacing w:after="0" w:line="3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The aggregate market value on June 39, 2018 (the last business day of the registrant’s most recently completed second quarter), of the voting common equity held by non-affiliates of the registrant, computed by reference to the closing price of the stock on that date, was $10.78. The registrant does not have non-voting common equity outstanding.</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ind w:left="2520"/>
        <w:spacing w:after="0"/>
        <w:tabs>
          <w:tab w:leader="none" w:pos="7600" w:val="left"/>
        </w:tabs>
        <w:rPr>
          <w:sz w:val="20"/>
          <w:szCs w:val="20"/>
          <w:color w:val="auto"/>
        </w:rPr>
      </w:pPr>
      <w:r>
        <w:rPr>
          <w:rFonts w:ascii="Arial" w:cs="Arial" w:eastAsia="Arial" w:hAnsi="Arial"/>
          <w:sz w:val="18"/>
          <w:szCs w:val="18"/>
          <w:color w:val="auto"/>
        </w:rPr>
        <w:t>Class</w:t>
      </w:r>
      <w:r>
        <w:rPr>
          <w:sz w:val="20"/>
          <w:szCs w:val="20"/>
          <w:color w:val="auto"/>
        </w:rPr>
        <w:tab/>
      </w:r>
      <w:r>
        <w:rPr>
          <w:rFonts w:ascii="Arial" w:cs="Arial" w:eastAsia="Arial" w:hAnsi="Arial"/>
          <w:sz w:val="18"/>
          <w:szCs w:val="18"/>
          <w:color w:val="auto"/>
        </w:rPr>
        <w:t>Number of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9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9065"/>
                    </a:xfrm>
                    <a:prstGeom prst="rect">
                      <a:avLst/>
                    </a:prstGeom>
                    <a:noFill/>
                  </pic:spPr>
                </pic:pic>
              </a:graphicData>
            </a:graphic>
          </wp:anchor>
        </w:drawing>
      </w:r>
    </w:p>
    <w:p>
      <w:pPr>
        <w:sectPr>
          <w:pgSz w:w="11900" w:h="16838" w:orient="portrait"/>
          <w:cols w:equalWidth="0" w:num="1">
            <w:col w:w="11420"/>
          </w:cols>
          <w:pgMar w:left="240" w:top="70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$0.0001 par value</w:t>
            </w:r>
          </w:p>
        </w:tc>
        <w:tc>
          <w:tcPr>
            <w:tcW w:w="682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rPr>
              <w:t>14,176,690 shares outstanding as of March 8, 2019</w:t>
            </w:r>
          </w:p>
        </w:tc>
      </w:tr>
      <w:tr>
        <w:trPr>
          <w:trHeight w:val="228"/>
        </w:trPr>
        <w:tc>
          <w:tcPr>
            <w:tcW w:w="4600" w:type="dxa"/>
            <w:vAlign w:val="bottom"/>
          </w:tcPr>
          <w:p>
            <w:pPr>
              <w:spacing w:after="0"/>
              <w:rPr>
                <w:sz w:val="20"/>
                <w:szCs w:val="20"/>
                <w:color w:val="auto"/>
              </w:rPr>
            </w:pPr>
            <w:r>
              <w:rPr>
                <w:rFonts w:ascii="Arial" w:cs="Arial" w:eastAsia="Arial" w:hAnsi="Arial"/>
                <w:sz w:val="18"/>
                <w:szCs w:val="18"/>
                <w:b w:val="1"/>
                <w:bCs w:val="1"/>
                <w:color w:val="auto"/>
              </w:rPr>
              <w:t>Class B Common Stock, $0.0001 par value</w:t>
            </w:r>
          </w:p>
        </w:tc>
        <w:tc>
          <w:tcPr>
            <w:tcW w:w="6820" w:type="dxa"/>
            <w:vAlign w:val="bottom"/>
          </w:tcPr>
          <w:p>
            <w:pPr>
              <w:ind w:left="1400"/>
              <w:spacing w:after="0"/>
              <w:rPr>
                <w:sz w:val="20"/>
                <w:szCs w:val="20"/>
                <w:color w:val="auto"/>
              </w:rPr>
            </w:pPr>
            <w:r>
              <w:rPr>
                <w:rFonts w:ascii="Arial" w:cs="Arial" w:eastAsia="Arial" w:hAnsi="Arial"/>
                <w:sz w:val="18"/>
                <w:szCs w:val="18"/>
                <w:b w:val="1"/>
                <w:bCs w:val="1"/>
                <w:color w:val="auto"/>
              </w:rPr>
              <w:t>1,898,423 shares outstanding as of March 8, 2019</w:t>
            </w: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registrant intends to file a proxy statement pursuant to Regulation 14A within 120 days of the end of the fiscal year ended December 31, 2018. Portions of such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8340" w:type="dxa"/>
            <w:vAlign w:val="bottom"/>
          </w:tcPr>
          <w:p>
            <w:pPr>
              <w:jc w:val="center"/>
              <w:ind w:left="1212"/>
              <w:spacing w:after="0"/>
              <w:rPr>
                <w:sz w:val="20"/>
                <w:szCs w:val="20"/>
                <w:color w:val="auto"/>
              </w:rPr>
            </w:pPr>
            <w:r>
              <w:rPr>
                <w:rFonts w:ascii="Arial" w:cs="Arial" w:eastAsia="Arial" w:hAnsi="Arial"/>
                <w:sz w:val="18"/>
                <w:szCs w:val="18"/>
                <w:b w:val="1"/>
                <w:bCs w:val="1"/>
                <w:color w:val="auto"/>
                <w:w w:val="96"/>
              </w:rPr>
              <w:t>TABLE OF CONTENTS</w:t>
            </w:r>
          </w:p>
        </w:tc>
        <w:tc>
          <w:tcPr>
            <w:tcW w:w="2180" w:type="dxa"/>
            <w:vAlign w:val="bottom"/>
          </w:tcPr>
          <w:p>
            <w:pPr>
              <w:spacing w:after="0"/>
              <w:rPr>
                <w:sz w:val="19"/>
                <w:szCs w:val="19"/>
                <w:color w:val="auto"/>
              </w:rPr>
            </w:pPr>
          </w:p>
        </w:tc>
      </w:tr>
      <w:tr>
        <w:trPr>
          <w:trHeight w:val="151"/>
        </w:trPr>
        <w:tc>
          <w:tcPr>
            <w:tcW w:w="90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16"/>
        </w:trPr>
        <w:tc>
          <w:tcPr>
            <w:tcW w:w="90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1192"/>
              <w:spacing w:after="0"/>
              <w:rPr>
                <w:sz w:val="20"/>
                <w:szCs w:val="20"/>
                <w:color w:val="auto"/>
              </w:rPr>
            </w:pPr>
            <w:r>
              <w:rPr>
                <w:rFonts w:ascii="Arial" w:cs="Arial" w:eastAsia="Arial" w:hAnsi="Arial"/>
                <w:sz w:val="18"/>
                <w:szCs w:val="18"/>
                <w:b w:val="1"/>
                <w:bCs w:val="1"/>
                <w:color w:val="auto"/>
                <w:w w:val="98"/>
              </w:rPr>
              <w:t>PART I</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34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4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 w:type="dxa"/>
            <w:vAlign w:val="bottom"/>
          </w:tcPr>
          <w:p>
            <w:pPr>
              <w:spacing w:after="0"/>
              <w:rPr>
                <w:sz w:val="18"/>
                <w:szCs w:val="18"/>
                <w:color w:val="auto"/>
              </w:rPr>
            </w:pPr>
          </w:p>
        </w:tc>
        <w:tc>
          <w:tcPr>
            <w:tcW w:w="8340" w:type="dxa"/>
            <w:vAlign w:val="bottom"/>
          </w:tcPr>
          <w:p>
            <w:pPr>
              <w:jc w:val="center"/>
              <w:ind w:left="1212"/>
              <w:spacing w:after="0"/>
              <w:rPr>
                <w:sz w:val="20"/>
                <w:szCs w:val="20"/>
                <w:color w:val="auto"/>
              </w:rPr>
            </w:pPr>
            <w:r>
              <w:rPr>
                <w:rFonts w:ascii="Arial" w:cs="Arial" w:eastAsia="Arial" w:hAnsi="Arial"/>
                <w:sz w:val="18"/>
                <w:szCs w:val="18"/>
                <w:b w:val="1"/>
                <w:bCs w:val="1"/>
                <w:color w:val="auto"/>
                <w:w w:val="99"/>
              </w:rPr>
              <w:t>PART II</w:t>
            </w:r>
          </w:p>
        </w:tc>
        <w:tc>
          <w:tcPr>
            <w:tcW w:w="21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Issuer Purchases of Equity Securities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834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2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00" w:type="dxa"/>
            <w:vAlign w:val="bottom"/>
          </w:tcPr>
          <w:p>
            <w:pPr>
              <w:spacing w:after="0"/>
              <w:rPr>
                <w:sz w:val="18"/>
                <w:szCs w:val="18"/>
                <w:color w:val="auto"/>
              </w:rPr>
            </w:pPr>
          </w:p>
        </w:tc>
        <w:tc>
          <w:tcPr>
            <w:tcW w:w="8340" w:type="dxa"/>
            <w:vAlign w:val="bottom"/>
          </w:tcPr>
          <w:p>
            <w:pPr>
              <w:jc w:val="center"/>
              <w:ind w:left="1192"/>
              <w:spacing w:after="0"/>
              <w:rPr>
                <w:sz w:val="20"/>
                <w:szCs w:val="20"/>
                <w:color w:val="auto"/>
              </w:rPr>
            </w:pPr>
            <w:r>
              <w:rPr>
                <w:rFonts w:ascii="Arial" w:cs="Arial" w:eastAsia="Arial" w:hAnsi="Arial"/>
                <w:sz w:val="18"/>
                <w:szCs w:val="18"/>
                <w:b w:val="1"/>
                <w:bCs w:val="1"/>
                <w:color w:val="auto"/>
              </w:rPr>
              <w:t>PART III</w:t>
            </w:r>
          </w:p>
        </w:tc>
        <w:tc>
          <w:tcPr>
            <w:tcW w:w="21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834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2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Related Stockholder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834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2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1192"/>
              <w:spacing w:after="0"/>
              <w:rPr>
                <w:sz w:val="20"/>
                <w:szCs w:val="20"/>
                <w:color w:val="auto"/>
              </w:rPr>
            </w:pPr>
            <w:r>
              <w:rPr>
                <w:rFonts w:ascii="Arial" w:cs="Arial" w:eastAsia="Arial" w:hAnsi="Arial"/>
                <w:sz w:val="18"/>
                <w:szCs w:val="18"/>
                <w:b w:val="1"/>
                <w:bCs w:val="1"/>
                <w:color w:val="auto"/>
                <w:w w:val="98"/>
              </w:rPr>
              <w:t>PART IV</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834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2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83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16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report contains statements reflecting our views about our future performance that constitute “forward-looking statements” within the meaning of the Private Securities Litigation Reform Act of 1995. These forward-looking statements are generally identified through the inclusion of words such as “anticipate,” “believe,” “contemplate,” “estimate,” “expect,” “forecast,” “intend,” “may,” “objective,” “outlook,” “plan,” “potential,” “project,” “seek,” “should,” “strategy,” “target” or “will” or variations of such words or similar expressions. All statements addressing our future operating performance, and statements addressing events and developments that we expect or anticipate will occur in the future, are forward-looking statements within the meaning of the Private Securities Litigation Reform Act of 1995. Forward-looking statements are based upon currently available information, operating plans, and projections about future events and trends. This report also contains statistical data and estimates based on independent industry publications or other publicly available information, as well as other information based on our internal sources. Forward-looking statements and statistical estimates inherently involve risks and uncertainties that could cause actual results to differ materially from those predicted or expressed in this report. These risks and uncertainties include those described below in “Item 1A. Risk Factors.” Investors are cautioned not to place undue reliance on any forward-looking statements or statistical estimates, which speak only as of the date they are made. We undertake no obligation to update any forward-looking statement or statistical estimate, whether as a result of new information, future events or otherwise.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prices for our single-wafer wet-cleaning tools range from $2 million to more than $5 million. Revenue from single-wafer wet-cleaning tools totaled $68.5 million, or 92% of total revenue, in 2018 and $27.1 million, or 74% of total revenue, in 2017. Our customers for single-wafer wet-cleaning tools include Semiconductor Manufacturing International Corporation, Shanghai Huali Microelectronics Corporation, SK Hynix Inc. and Yangtze Memory Technologies Co., Ltd.</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55 single-wafer wet cleaning tools, more than 50 of which have been accepted by customers and thereby generated revenue to us and the balance of which are awaiting customer acceptance should contractual conditions be met.</w:t>
      </w:r>
    </w:p>
    <w:p>
      <w:pPr>
        <w:spacing w:after="0" w:line="10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186" w:lineRule="exact"/>
        <w:rPr>
          <w:sz w:val="20"/>
          <w:szCs w:val="20"/>
          <w:color w:val="auto"/>
        </w:rPr>
      </w:pPr>
    </w:p>
    <w:p>
      <w:pPr>
        <w:ind w:left="340" w:right="40" w:hanging="332"/>
        <w:spacing w:after="0" w:line="25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Space Alternated Phase Shift, or SAPS, technology for flat and patterned wafer surfaces. </w:t>
      </w:r>
      <w:r>
        <w:rPr>
          <w:rFonts w:ascii="Arial" w:cs="Arial" w:eastAsia="Arial" w:hAnsi="Arial"/>
          <w:sz w:val="18"/>
          <w:szCs w:val="18"/>
          <w:color w:val="auto"/>
        </w:rPr>
        <w:t>Introduced in 2009, SAPS technology employs alternating phases</w:t>
      </w:r>
      <w:r>
        <w:rPr>
          <w:rFonts w:ascii="Arial" w:cs="Arial" w:eastAsia="Arial" w:hAnsi="Arial"/>
          <w:sz w:val="18"/>
          <w:szCs w:val="18"/>
          <w:i w:val="1"/>
          <w:iCs w:val="1"/>
          <w:color w:val="auto"/>
        </w:rPr>
        <w:t xml:space="preserve"> </w:t>
      </w:r>
      <w:r>
        <w:rPr>
          <w:rFonts w:ascii="Arial" w:cs="Arial" w:eastAsia="Arial" w:hAnsi="Arial"/>
          <w:sz w:val="18"/>
          <w:szCs w:val="18"/>
          <w:color w:val="auto"/>
        </w:rPr>
        <w:t>of megasonic waves to deliver megasonic energy in a highly uniform manner on a microscopic level. We have shown SAPS technology to be more effective than conventional megasonic and jet spray technologies in removing random defects across an entire wafer as node sizes shrink from 300nm to 20nm and lower.</w:t>
      </w:r>
    </w:p>
    <w:p>
      <w:pPr>
        <w:spacing w:after="0" w:line="1"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Introduced in March 2016, TEBO</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has been developed to provide effective, damage-free cleaning for 2D and 3D patterned wafers with fine feature sizes. We have demonstrated the damage-free cleaning capabilities of TEBO technology on patterned wafers for feature nodes as small as 1xnm (16nm to 19nm), and we have shown TEBO technology can be applied in manufacturing processes for patterned chips with 3D architectures having aspect ratios as high as 60-to-1.</w:t>
      </w:r>
    </w:p>
    <w:p>
      <w:pPr>
        <w:spacing w:after="0" w:line="2" w:lineRule="exact"/>
        <w:rPr>
          <w:rFonts w:ascii="Arial" w:cs="Arial" w:eastAsia="Arial" w:hAnsi="Arial"/>
          <w:sz w:val="16"/>
          <w:szCs w:val="16"/>
          <w:color w:val="auto"/>
        </w:rPr>
      </w:pPr>
    </w:p>
    <w:p>
      <w:pPr>
        <w:ind w:left="340" w:right="100" w:hanging="332"/>
        <w:spacing w:after="0" w:line="32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Tahoe technology for cost and environmental savings</w:t>
      </w:r>
      <w:r>
        <w:rPr>
          <w:rFonts w:ascii="Arial" w:cs="Arial" w:eastAsia="Arial" w:hAnsi="Arial"/>
          <w:sz w:val="16"/>
          <w:szCs w:val="16"/>
          <w:color w:val="auto"/>
        </w:rPr>
        <w:t>. Introduced in August 2018, Tahoe technology delivers high cleaning performance using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less sulfuric acid and hydrogen peroxide than is typically consumed by conventional high-temperature single-wafer cleaning tools.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220 patents in the United States, the People’s Republic of China or PRC, Japan, Korea, Singapore and Taiwan.</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Technology and Product Offerings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Single Wafer Wet Cleaning Equipment for Front End Production Processes</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Chip fabricators can use our single-wafer wet-cleaning tools in numerous steps to improve product yield during the front-end production process, during which individual devices are patterned in the chip prior to being interconnected on the wafer. Based on our review of third-party reports and other information, we estimate that the global market for single wafer wet cleaning tools will increase from $3.1 billion in 2018 to $4.3 billion in 2023, representing a compound annual growth rate of 6.8%. We estimate our Ultra-C SAPS, TEBO and Tahoe product offerings address approximately 50% of this market.</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wet-cleaning equipment has been developed using our proprietary SAPS, TEBO and Tahoe technologies, which allow our tools to remove random defects from a wafer surface effectively, without damaging a wafer or its features, even at an increasingly advanced process nodes (the minimum line widths on a chip) of 22 nanometers, or nm, or less. We use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compound semiconductor, quartz, sapphire, glass, and plastics.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SAPS Technology, Applications and Equipment</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SAPS Technology</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SAPS Applications</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SAPS megasonic cleaning technology can be applied during the chip fabrication process to clean wafer surfaces and interconnects. It also can be used to clean, and lengthen the lifetime of recycled test wafers.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Wafer Surfaces. </w:t>
      </w:r>
      <w:r>
        <w:rPr>
          <w:rFonts w:ascii="Arial" w:cs="Arial" w:eastAsia="Arial" w:hAnsi="Arial"/>
          <w:sz w:val="18"/>
          <w:szCs w:val="18"/>
          <w:color w:val="auto"/>
        </w:rPr>
        <w:t>SAPS technology can enhance removal of random defects following planarization and deposition, which are among the most important, and most</w:t>
      </w:r>
      <w:r>
        <w:rPr>
          <w:rFonts w:ascii="Arial" w:cs="Arial" w:eastAsia="Arial" w:hAnsi="Arial"/>
          <w:sz w:val="18"/>
          <w:szCs w:val="18"/>
          <w:i w:val="1"/>
          <w:iCs w:val="1"/>
          <w:color w:val="auto"/>
        </w:rPr>
        <w:t xml:space="preserve"> </w:t>
      </w:r>
      <w:r>
        <w:rPr>
          <w:rFonts w:ascii="Arial" w:cs="Arial" w:eastAsia="Arial" w:hAnsi="Arial"/>
          <w:sz w:val="18"/>
          <w:szCs w:val="18"/>
          <w:color w:val="auto"/>
        </w:rPr>
        <w:t>repeated, steps in the fabrication process:</w:t>
      </w:r>
    </w:p>
    <w:p>
      <w:pPr>
        <w:spacing w:after="0" w:line="186" w:lineRule="exact"/>
        <w:rPr>
          <w:sz w:val="20"/>
          <w:szCs w:val="20"/>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Post CMP</w:t>
      </w:r>
      <w:r>
        <w:rPr>
          <w:rFonts w:ascii="Arial" w:cs="Arial" w:eastAsia="Arial" w:hAnsi="Arial"/>
          <w:sz w:val="18"/>
          <w:szCs w:val="18"/>
          <w:color w:val="auto"/>
        </w:rPr>
        <w:t>: Chemical mechanical planarization, or CMP, uses an abrasive chemical slurry following other fabrication processes, such as deposition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etching, in order to achieve a smooth wafer surface in preparation for subsequent processing steps. SAPS technology can be applied following each CMP process to remove residual random defects deposited or formed during CMP.</w:t>
      </w: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Post Hard Mask Deposition: </w:t>
      </w:r>
      <w:r>
        <w:rPr>
          <w:rFonts w:ascii="Arial" w:cs="Arial" w:eastAsia="Arial" w:hAnsi="Arial"/>
          <w:sz w:val="18"/>
          <w:szCs w:val="18"/>
          <w:color w:val="auto"/>
        </w:rPr>
        <w:t>As part of the photolithographical patterning process, a mask is applied with each deposition of a material layer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40"/>
        <w:spacing w:after="0" w:line="290" w:lineRule="auto"/>
        <w:rPr>
          <w:sz w:val="20"/>
          <w:szCs w:val="20"/>
          <w:color w:val="auto"/>
        </w:rPr>
      </w:pPr>
      <w:r>
        <w:rPr>
          <w:rFonts w:ascii="Arial" w:cs="Arial" w:eastAsia="Arial" w:hAnsi="Arial"/>
          <w:sz w:val="16"/>
          <w:szCs w:val="16"/>
          <w:color w:val="auto"/>
        </w:rPr>
        <w:t>For these purposes, SAPS technology uses environmentally-friendly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0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Interconnects and Barrier Metals</w:t>
      </w:r>
      <w:r>
        <w:rPr>
          <w:rFonts w:ascii="Arial" w:cs="Arial" w:eastAsia="Arial" w:hAnsi="Arial"/>
          <w:sz w:val="16"/>
          <w:szCs w:val="16"/>
          <w:color w:val="auto"/>
        </w:rPr>
        <w:t>. Each successive advanced process node has led to finer feature sizes of interconnects such as contacts, which form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167" w:lineRule="exact"/>
        <w:rPr>
          <w:sz w:val="20"/>
          <w:szCs w:val="20"/>
          <w:color w:val="auto"/>
        </w:rPr>
      </w:pPr>
    </w:p>
    <w:p>
      <w:pPr>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Post Contact/Via Etch: </w:t>
      </w:r>
      <w:r>
        <w:rPr>
          <w:rFonts w:ascii="Arial" w:cs="Arial" w:eastAsia="Arial" w:hAnsi="Arial"/>
          <w:sz w:val="18"/>
          <w:szCs w:val="18"/>
          <w:color w:val="auto"/>
        </w:rPr>
        <w:t>Wet etching processes are commonly used to create patterns of high-density contacts and vias. SAPS technology can be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each such etching process to remove random defects that could otherwise lead to electrical shorts.</w:t>
      </w:r>
    </w:p>
    <w:p>
      <w:pPr>
        <w:jc w:val="both"/>
        <w:ind w:left="66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Pre Barrier Metal Deposition</w:t>
      </w:r>
      <w:r>
        <w:rPr>
          <w:rFonts w:ascii="Arial" w:cs="Arial" w:eastAsia="Arial" w:hAnsi="Arial"/>
          <w:sz w:val="18"/>
          <w:szCs w:val="18"/>
          <w:color w:val="auto"/>
        </w:rPr>
        <w:t>: Copper wiring requires metal diffusion barriers at the top of via holes to prevent electrical leakage. SAPS technology can</w:t>
      </w:r>
      <w:r>
        <w:rPr>
          <w:rFonts w:ascii="Arial" w:cs="Arial" w:eastAsia="Arial" w:hAnsi="Arial"/>
          <w:sz w:val="18"/>
          <w:szCs w:val="18"/>
          <w:i w:val="1"/>
          <w:iCs w:val="1"/>
          <w:color w:val="auto"/>
        </w:rPr>
        <w:t xml:space="preserve"> </w:t>
      </w:r>
      <w:r>
        <w:rPr>
          <w:rFonts w:ascii="Arial" w:cs="Arial" w:eastAsia="Arial" w:hAnsi="Arial"/>
          <w:sz w:val="18"/>
          <w:szCs w:val="18"/>
          <w:color w:val="auto"/>
        </w:rPr>
        <w:t>be applied prior to deposition of barrier metal to remove residual oxidized copper, which otherwise would adhere poorly to the barrier and impair performance.</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Recycled Test Wafers. </w:t>
      </w:r>
      <w:r>
        <w:rPr>
          <w:rFonts w:ascii="Arial" w:cs="Arial" w:eastAsia="Arial" w:hAnsi="Arial"/>
          <w:sz w:val="16"/>
          <w:szCs w:val="16"/>
          <w:color w:val="auto"/>
        </w:rPr>
        <w:t>In addition to using silicon wafers for chip production, chip manufacturers routinely process wafers through a limited portion of the 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SAPS Equipment</w:t>
      </w:r>
    </w:p>
    <w:p>
      <w:pPr>
        <w:spacing w:after="0" w:line="158" w:lineRule="exact"/>
        <w:rPr>
          <w:sz w:val="20"/>
          <w:szCs w:val="20"/>
          <w:color w:val="auto"/>
        </w:rPr>
      </w:pPr>
    </w:p>
    <w:p>
      <w:pPr>
        <w:ind w:left="2720" w:right="20"/>
        <w:spacing w:after="0" w:line="288" w:lineRule="auto"/>
        <w:rPr>
          <w:sz w:val="20"/>
          <w:szCs w:val="20"/>
          <w:color w:val="auto"/>
        </w:rPr>
      </w:pPr>
      <w:r>
        <w:rPr>
          <w:rFonts w:ascii="Arial" w:cs="Arial" w:eastAsia="Arial" w:hAnsi="Arial"/>
          <w:sz w:val="16"/>
          <w:szCs w:val="16"/>
          <w:color w:val="auto"/>
        </w:rPr>
        <w:t>We currently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The sales prices of our SAPS tools generally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1620520" cy="1620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05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 xml:space="preserve">SAPS II (released in 2011). </w:t>
      </w:r>
      <w:r>
        <w:rPr>
          <w:rFonts w:ascii="Arial" w:cs="Arial" w:eastAsia="Arial" w:hAnsi="Arial"/>
          <w:sz w:val="18"/>
          <w:szCs w:val="18"/>
          <w:color w:val="auto"/>
        </w:rPr>
        <w:t>Highlights of our SAPS II equipment include:</w:t>
      </w:r>
    </w:p>
    <w:p>
      <w:pPr>
        <w:spacing w:after="0" w:line="225" w:lineRule="exact"/>
        <w:rPr>
          <w:sz w:val="20"/>
          <w:szCs w:val="20"/>
          <w:color w:val="auto"/>
        </w:rPr>
      </w:pPr>
    </w:p>
    <w:p>
      <w:pPr>
        <w:ind w:left="3040" w:hanging="317"/>
        <w:spacing w:after="0"/>
        <w:tabs>
          <w:tab w:leader="none" w:pos="3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80" w:lineRule="exact"/>
        <w:rPr>
          <w:rFonts w:ascii="Arial" w:cs="Arial" w:eastAsia="Arial" w:hAnsi="Arial"/>
          <w:sz w:val="16"/>
          <w:szCs w:val="16"/>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8 chambers, providing throughput of up to 225 wafers per hour;</w:t>
      </w:r>
    </w:p>
    <w:p>
      <w:pPr>
        <w:spacing w:after="0" w:line="157" w:lineRule="exact"/>
        <w:rPr>
          <w:rFonts w:ascii="Arial" w:cs="Arial" w:eastAsia="Arial" w:hAnsi="Arial"/>
          <w:sz w:val="18"/>
          <w:szCs w:val="18"/>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double-sided cleaning capability, with up to 5 cleaning chemicals for process flexibility;</w:t>
      </w:r>
    </w:p>
    <w:p>
      <w:pPr>
        <w:spacing w:after="0" w:line="157" w:lineRule="exact"/>
        <w:rPr>
          <w:rFonts w:ascii="Arial" w:cs="Arial" w:eastAsia="Arial" w:hAnsi="Arial"/>
          <w:sz w:val="18"/>
          <w:szCs w:val="18"/>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2-chemical recycling capability for reduced chemical consumption;</w:t>
      </w:r>
    </w:p>
    <w:p>
      <w:pPr>
        <w:spacing w:after="0" w:line="157" w:lineRule="exact"/>
        <w:rPr>
          <w:rFonts w:ascii="Arial" w:cs="Arial" w:eastAsia="Arial" w:hAnsi="Arial"/>
          <w:sz w:val="18"/>
          <w:szCs w:val="18"/>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image wafer detection method for lowering wafer breakage rates; and</w:t>
      </w:r>
    </w:p>
    <w:p>
      <w:pPr>
        <w:spacing w:after="0" w:line="157" w:lineRule="exact"/>
        <w:rPr>
          <w:rFonts w:ascii="Arial" w:cs="Arial" w:eastAsia="Arial" w:hAnsi="Arial"/>
          <w:sz w:val="18"/>
          <w:szCs w:val="18"/>
          <w:color w:val="auto"/>
        </w:rPr>
      </w:pPr>
    </w:p>
    <w:p>
      <w:pPr>
        <w:ind w:left="2720" w:firstLine="3"/>
        <w:spacing w:after="0" w:line="268" w:lineRule="auto"/>
        <w:tabs>
          <w:tab w:leader="none" w:pos="3032"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-1445260</wp:posOffset>
            </wp:positionV>
            <wp:extent cx="1620520" cy="1492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0520" cy="14922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SAPS V (released in 2014)</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SAPS V includes SAPS II features with the following upgrades: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63700" cy="1492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1492250"/>
                    </a:xfrm>
                    <a:prstGeom prst="rect">
                      <a:avLst/>
                    </a:prstGeom>
                    <a:noFill/>
                  </pic:spPr>
                </pic:pic>
              </a:graphicData>
            </a:graphic>
          </wp:anchor>
        </w:drawing>
      </w:r>
    </w:p>
    <w:p>
      <w:pPr>
        <w:spacing w:after="0" w:line="360" w:lineRule="exact"/>
        <w:rPr>
          <w:sz w:val="20"/>
          <w:szCs w:val="20"/>
          <w:color w:val="auto"/>
        </w:rPr>
      </w:pPr>
    </w:p>
    <w:p>
      <w:pPr>
        <w:ind w:left="3100" w:hanging="310"/>
        <w:spacing w:after="0"/>
        <w:tabs>
          <w:tab w:leader="none" w:pos="3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compact design, with footprint of 2.55m x 5.1m x 2.85m (WxDxH);</w:t>
      </w:r>
    </w:p>
    <w:p>
      <w:pPr>
        <w:spacing w:after="0" w:line="15" w:lineRule="exact"/>
        <w:rPr>
          <w:rFonts w:ascii="Arial" w:cs="Arial" w:eastAsia="Arial" w:hAnsi="Arial"/>
          <w:sz w:val="18"/>
          <w:szCs w:val="18"/>
          <w:color w:val="auto"/>
        </w:rPr>
      </w:pPr>
    </w:p>
    <w:p>
      <w:pPr>
        <w:ind w:left="3100" w:hanging="310"/>
        <w:spacing w:after="0"/>
        <w:tabs>
          <w:tab w:leader="none" w:pos="3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12 chambers, providing throughput of up to 375 wafers per hour;</w:t>
      </w:r>
    </w:p>
    <w:p>
      <w:pPr>
        <w:spacing w:after="0" w:line="9" w:lineRule="exact"/>
        <w:rPr>
          <w:rFonts w:ascii="Arial" w:cs="Arial" w:eastAsia="Arial" w:hAnsi="Arial"/>
          <w:sz w:val="18"/>
          <w:szCs w:val="18"/>
          <w:color w:val="auto"/>
        </w:rPr>
      </w:pPr>
    </w:p>
    <w:p>
      <w:pPr>
        <w:ind w:left="3100" w:hanging="310"/>
        <w:spacing w:after="0"/>
        <w:tabs>
          <w:tab w:leader="none" w:pos="3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chemical supply system integrated into mainframe;</w:t>
      </w:r>
    </w:p>
    <w:p>
      <w:pPr>
        <w:spacing w:after="0" w:line="9" w:lineRule="exact"/>
        <w:rPr>
          <w:rFonts w:ascii="Arial" w:cs="Arial" w:eastAsia="Arial" w:hAnsi="Arial"/>
          <w:sz w:val="18"/>
          <w:szCs w:val="18"/>
          <w:color w:val="auto"/>
        </w:rPr>
      </w:pPr>
    </w:p>
    <w:p>
      <w:pPr>
        <w:ind w:left="3100" w:hanging="310"/>
        <w:spacing w:after="0"/>
        <w:tabs>
          <w:tab w:leader="none" w:pos="3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inline mixing method replaces tank auto-changing, reducing process time; and</w:t>
      </w:r>
    </w:p>
    <w:p>
      <w:pPr>
        <w:spacing w:after="0" w:line="9" w:lineRule="exact"/>
        <w:rPr>
          <w:rFonts w:ascii="Arial" w:cs="Arial" w:eastAsia="Arial" w:hAnsi="Arial"/>
          <w:sz w:val="18"/>
          <w:szCs w:val="18"/>
          <w:color w:val="auto"/>
        </w:rPr>
      </w:pPr>
    </w:p>
    <w:p>
      <w:pPr>
        <w:ind w:left="3100" w:hanging="310"/>
        <w:spacing w:after="0"/>
        <w:tabs>
          <w:tab w:leader="none" w:pos="3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improved drying technology using hot isopropyl alcohol and de-ionized 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TEBO Technology, Applications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20520" cy="1449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05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TEBO Technology</w:t>
      </w:r>
    </w:p>
    <w:p>
      <w:pPr>
        <w:spacing w:after="0" w:line="158"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spacing w:after="0" w:line="4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7" w:name="page8"/>
    <w:bookmarkEnd w:id="7"/>
    <w:p>
      <w:pPr>
        <w:ind w:right="80"/>
        <w:spacing w:after="0" w:line="256" w:lineRule="auto"/>
        <w:rPr>
          <w:sz w:val="20"/>
          <w:szCs w:val="20"/>
          <w:color w:val="auto"/>
        </w:rPr>
      </w:pPr>
      <w:r>
        <w:rPr>
          <w:rFonts w:ascii="Arial" w:cs="Arial" w:eastAsia="Arial" w:hAnsi="Arial"/>
          <w:sz w:val="18"/>
          <w:szCs w:val="18"/>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3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TEBO Applications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197" w:lineRule="exact"/>
        <w:rPr>
          <w:sz w:val="20"/>
          <w:szCs w:val="20"/>
          <w:color w:val="auto"/>
        </w:rPr>
      </w:pPr>
    </w:p>
    <w:p>
      <w:pPr>
        <w:ind w:left="660" w:right="380" w:hanging="328"/>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Memory Chips: </w:t>
      </w:r>
      <w:r>
        <w:rPr>
          <w:rFonts w:ascii="Arial" w:cs="Arial" w:eastAsia="Arial" w:hAnsi="Arial"/>
          <w:sz w:val="16"/>
          <w:szCs w:val="16"/>
          <w:color w:val="auto"/>
        </w:rPr>
        <w:t>We estimate that TEBO technology can be applied in as many as 50 steps in the fabrication of a DRAM chip, consisting of up to 10</w:t>
      </w:r>
      <w:r>
        <w:rPr>
          <w:rFonts w:ascii="Arial" w:cs="Arial" w:eastAsia="Arial" w:hAnsi="Arial"/>
          <w:sz w:val="16"/>
          <w:szCs w:val="16"/>
          <w:i w:val="1"/>
          <w:iCs w:val="1"/>
          <w:color w:val="auto"/>
        </w:rPr>
        <w:t xml:space="preserve"> </w:t>
      </w:r>
      <w:r>
        <w:rPr>
          <w:rFonts w:ascii="Arial" w:cs="Arial" w:eastAsia="Arial" w:hAnsi="Arial"/>
          <w:sz w:val="16"/>
          <w:szCs w:val="16"/>
          <w:color w:val="auto"/>
        </w:rPr>
        <w:t>steps in cleaning ISO structures, 20 steps in cleaning buried gates, and 20 steps in cleaning high aspect-ratio storage nodes and stacked films.</w:t>
      </w:r>
    </w:p>
    <w:p>
      <w:pPr>
        <w:ind w:left="660" w:right="14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Logic Chips: </w:t>
      </w:r>
      <w:r>
        <w:rPr>
          <w:rFonts w:ascii="Arial" w:cs="Arial" w:eastAsia="Arial" w:hAnsi="Arial"/>
          <w:sz w:val="18"/>
          <w:szCs w:val="18"/>
          <w:color w:val="auto"/>
        </w:rPr>
        <w:t>In the fabrication process for a logic chip with a FinFET structure, we estimate that TEBO technology can be used in 15 or more cleaning</w:t>
      </w:r>
      <w:r>
        <w:rPr>
          <w:rFonts w:ascii="Arial" w:cs="Arial" w:eastAsia="Arial" w:hAnsi="Arial"/>
          <w:sz w:val="18"/>
          <w:szCs w:val="18"/>
          <w:i w:val="1"/>
          <w:iCs w:val="1"/>
          <w:color w:val="auto"/>
        </w:rPr>
        <w:t xml:space="preserve"> </w:t>
      </w:r>
      <w:r>
        <w:rPr>
          <w:rFonts w:ascii="Arial" w:cs="Arial" w:eastAsia="Arial" w:hAnsi="Arial"/>
          <w:sz w:val="18"/>
          <w:szCs w:val="18"/>
          <w:color w:val="auto"/>
        </w:rPr>
        <w:t>steps.</w:t>
      </w:r>
    </w:p>
    <w:p>
      <w:pPr>
        <w:spacing w:after="0" w:line="19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purposes of solving inside pattern surface conditions for memory or logic chips, TEBO technology uses environmentally friendly dilute chemicals such as RCA SC-1 and hydrogen gas doped functional water.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TEBO Equipment</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 some of which recently have indicated an intent to move to production. The sales prices of our TEBO tools generally range between $3.5 million and $6.5 million, although the sales price of a particular tool will vary depending upon the required specifications.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Each model of TEBO equipment includes:</w:t>
      </w:r>
    </w:p>
    <w:p>
      <w:pPr>
        <w:spacing w:after="0" w:line="158" w:lineRule="exact"/>
        <w:rPr>
          <w:sz w:val="20"/>
          <w:szCs w:val="20"/>
          <w:color w:val="auto"/>
        </w:rPr>
      </w:pPr>
    </w:p>
    <w:p>
      <w:pPr>
        <w:ind w:left="2920" w:hanging="305"/>
        <w:spacing w:after="0"/>
        <w:tabs>
          <w:tab w:leader="none" w:pos="2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equipment front-end module, or EFEM, which moves wafers from chamber to chamber;</w:t>
      </w:r>
    </w:p>
    <w:p>
      <w:pPr>
        <w:spacing w:after="0" w:line="157" w:lineRule="exact"/>
        <w:rPr>
          <w:rFonts w:ascii="Arial" w:cs="Arial" w:eastAsia="Arial" w:hAnsi="Arial"/>
          <w:sz w:val="18"/>
          <w:szCs w:val="18"/>
          <w:color w:val="auto"/>
        </w:rPr>
      </w:pPr>
    </w:p>
    <w:p>
      <w:pPr>
        <w:ind w:left="2920" w:hanging="305"/>
        <w:spacing w:after="0"/>
        <w:tabs>
          <w:tab w:leader="none" w:pos="2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or more chamber modules, each equipped with a TEBO megasonic generator system;</w:t>
      </w:r>
    </w:p>
    <w:p>
      <w:pPr>
        <w:spacing w:after="0" w:line="157" w:lineRule="exact"/>
        <w:rPr>
          <w:rFonts w:ascii="Arial" w:cs="Arial" w:eastAsia="Arial" w:hAnsi="Arial"/>
          <w:sz w:val="18"/>
          <w:szCs w:val="18"/>
          <w:color w:val="auto"/>
        </w:rPr>
      </w:pPr>
    </w:p>
    <w:p>
      <w:pPr>
        <w:ind w:left="2920" w:hanging="305"/>
        <w:spacing w:after="0"/>
        <w:tabs>
          <w:tab w:leader="none" w:pos="2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electrical module to provide power for the tool; and</w:t>
      </w:r>
    </w:p>
    <w:p>
      <w:pPr>
        <w:spacing w:after="0" w:line="157" w:lineRule="exact"/>
        <w:rPr>
          <w:rFonts w:ascii="Arial" w:cs="Arial" w:eastAsia="Arial" w:hAnsi="Arial"/>
          <w:sz w:val="18"/>
          <w:szCs w:val="18"/>
          <w:color w:val="auto"/>
        </w:rPr>
      </w:pPr>
    </w:p>
    <w:p>
      <w:pPr>
        <w:ind w:left="2920" w:hanging="305"/>
        <w:spacing w:after="0"/>
        <w:tabs>
          <w:tab w:leader="none" w:pos="2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1551940" cy="1551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 xml:space="preserve">Ultra C TEBO II (released in 2016). </w:t>
      </w:r>
      <w:r>
        <w:rPr>
          <w:rFonts w:ascii="Arial" w:cs="Arial" w:eastAsia="Arial" w:hAnsi="Arial"/>
          <w:sz w:val="18"/>
          <w:szCs w:val="18"/>
          <w:color w:val="auto"/>
        </w:rPr>
        <w:t>Highlights:</w:t>
      </w:r>
    </w:p>
    <w:p>
      <w:pPr>
        <w:spacing w:after="0" w:line="158" w:lineRule="exact"/>
        <w:rPr>
          <w:sz w:val="20"/>
          <w:szCs w:val="20"/>
          <w:color w:val="auto"/>
        </w:rPr>
      </w:pPr>
    </w:p>
    <w:p>
      <w:pPr>
        <w:ind w:left="2920" w:hanging="157"/>
        <w:spacing w:after="0"/>
        <w:tabs>
          <w:tab w:leader="none" w:pos="2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compact design, with footprint of 2.25m x 2.25m x 2.85m (WxDxH);</w:t>
      </w:r>
    </w:p>
    <w:p>
      <w:pPr>
        <w:spacing w:after="0" w:line="15" w:lineRule="exact"/>
        <w:rPr>
          <w:rFonts w:ascii="Arial" w:cs="Arial" w:eastAsia="Arial" w:hAnsi="Arial"/>
          <w:sz w:val="18"/>
          <w:szCs w:val="18"/>
          <w:color w:val="auto"/>
        </w:rPr>
      </w:pPr>
    </w:p>
    <w:p>
      <w:pPr>
        <w:ind w:left="3080" w:right="20" w:hanging="317"/>
        <w:spacing w:after="0" w:line="250" w:lineRule="auto"/>
        <w:tabs>
          <w:tab w:leader="none" w:pos="29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8 chambers with an upgraded transport system and optimized robotic scheduler, providing throughput of up to 300 wafers per hour;</w:t>
      </w:r>
    </w:p>
    <w:p>
      <w:pPr>
        <w:ind w:left="2920" w:hanging="157"/>
        <w:spacing w:after="0"/>
        <w:tabs>
          <w:tab w:leader="none" w:pos="2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EFEM module consisting of 4 load ports, transfer robot and 1 process robot; and</w:t>
      </w:r>
    </w:p>
    <w:p>
      <w:pPr>
        <w:spacing w:after="0" w:line="9" w:lineRule="exact"/>
        <w:rPr>
          <w:rFonts w:ascii="Arial" w:cs="Arial" w:eastAsia="Arial" w:hAnsi="Arial"/>
          <w:sz w:val="18"/>
          <w:szCs w:val="18"/>
          <w:color w:val="auto"/>
        </w:rPr>
      </w:pPr>
    </w:p>
    <w:p>
      <w:pPr>
        <w:ind w:left="2920" w:hanging="157"/>
        <w:spacing w:after="0"/>
        <w:tabs>
          <w:tab w:leader="none" w:pos="2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on dilute chemicals contributes to environmental sustainability and lower cost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1646555" cy="1466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Ultra C TEBO V (released in 2016). </w:t>
      </w:r>
      <w:r>
        <w:rPr>
          <w:rFonts w:ascii="Arial" w:cs="Arial" w:eastAsia="Arial" w:hAnsi="Arial"/>
          <w:sz w:val="18"/>
          <w:szCs w:val="18"/>
          <w:color w:val="auto"/>
        </w:rPr>
        <w:t>Highlights of our Ultra C TEBO V equipment include:</w:t>
      </w:r>
    </w:p>
    <w:p>
      <w:pPr>
        <w:spacing w:after="0" w:line="225" w:lineRule="exact"/>
        <w:rPr>
          <w:sz w:val="20"/>
          <w:szCs w:val="20"/>
          <w:color w:val="auto"/>
        </w:rPr>
      </w:pPr>
    </w:p>
    <w:p>
      <w:pPr>
        <w:ind w:left="2880" w:hanging="157"/>
        <w:spacing w:after="0"/>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footprint of 2.45m x 5.30m x 2.85m (WxDxH);</w:t>
      </w:r>
    </w:p>
    <w:p>
      <w:pPr>
        <w:spacing w:after="0" w:line="15" w:lineRule="exact"/>
        <w:rPr>
          <w:rFonts w:ascii="Arial" w:cs="Arial" w:eastAsia="Arial" w:hAnsi="Arial"/>
          <w:sz w:val="18"/>
          <w:szCs w:val="18"/>
          <w:color w:val="auto"/>
        </w:rPr>
      </w:pPr>
    </w:p>
    <w:p>
      <w:pPr>
        <w:ind w:left="2880" w:hanging="157"/>
        <w:spacing w:after="0"/>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12 chamber modules, providing throughput of up to 300 wafers per hour;</w:t>
      </w:r>
    </w:p>
    <w:p>
      <w:pPr>
        <w:spacing w:after="0" w:line="9" w:lineRule="exact"/>
        <w:rPr>
          <w:rFonts w:ascii="Arial" w:cs="Arial" w:eastAsia="Arial" w:hAnsi="Arial"/>
          <w:sz w:val="18"/>
          <w:szCs w:val="18"/>
          <w:color w:val="auto"/>
        </w:rPr>
      </w:pPr>
    </w:p>
    <w:p>
      <w:pPr>
        <w:ind w:left="2880" w:hanging="157"/>
        <w:spacing w:after="0"/>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EFEM module consisting of 4 load ports, 1 transfer robot and 1 process robot; and</w:t>
      </w:r>
    </w:p>
    <w:p>
      <w:pPr>
        <w:spacing w:after="0" w:line="9" w:lineRule="exact"/>
        <w:rPr>
          <w:rFonts w:ascii="Arial" w:cs="Arial" w:eastAsia="Arial" w:hAnsi="Arial"/>
          <w:sz w:val="18"/>
          <w:szCs w:val="18"/>
          <w:color w:val="auto"/>
        </w:rPr>
      </w:pPr>
    </w:p>
    <w:p>
      <w:pPr>
        <w:ind w:left="3040" w:right="80" w:hanging="317"/>
        <w:spacing w:after="0" w:line="261" w:lineRule="auto"/>
        <w:tabs>
          <w:tab w:leader="none" w:pos="28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chemical delivery module for delivery of isopropyl alcohol,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1620520" cy="1337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052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Tahoe Overview</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cannot be recycled. In addition to providing cost savings resulting from vastly reduced acid consumption, Ultra-C Tahoe meets the needs of customers who face increased environmental regulations and demand new, more environmentally-friendly tools. We announced our first purchase order for an Ultra C Tahoe tool in August 2018, and we delivered the tool to a strategic customer in January of 2019.</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Single-Wafer Tools for Back-End Assembly and Packaging</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 Selling prices for these tools range from approximately $500,000 to more than $2 million.</w:t>
      </w:r>
    </w:p>
    <w:p>
      <w:pPr>
        <w:spacing w:after="0" w:line="130" w:lineRule="exact"/>
        <w:rPr>
          <w:sz w:val="20"/>
          <w:szCs w:val="20"/>
          <w:color w:val="auto"/>
        </w:rPr>
      </w:pPr>
    </w:p>
    <w:p>
      <w:pPr>
        <w:ind w:left="2720" w:right="40"/>
        <w:spacing w:after="0" w:line="291" w:lineRule="auto"/>
        <w:rPr>
          <w:sz w:val="20"/>
          <w:szCs w:val="20"/>
          <w:color w:val="auto"/>
        </w:rPr>
      </w:pPr>
      <w:r>
        <w:rPr>
          <w:rFonts w:ascii="Arial" w:cs="Arial" w:eastAsia="Arial" w:hAnsi="Arial"/>
          <w:sz w:val="16"/>
          <w:szCs w:val="16"/>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-843915</wp:posOffset>
            </wp:positionV>
            <wp:extent cx="1620520" cy="1492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052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9" w:name="page10"/>
    <w:bookmarkEnd w:id="9"/>
    <w:p>
      <w:pPr>
        <w:ind w:right="20"/>
        <w:spacing w:after="0" w:line="256" w:lineRule="auto"/>
        <w:rPr>
          <w:sz w:val="20"/>
          <w:szCs w:val="20"/>
          <w:color w:val="auto"/>
        </w:rPr>
      </w:pPr>
      <w:r>
        <w:rPr>
          <w:rFonts w:ascii="Arial" w:cs="Arial" w:eastAsia="Arial" w:hAnsi="Arial"/>
          <w:sz w:val="18"/>
          <w:szCs w:val="18"/>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6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As of December 31, 2018, chip fabricators had purchased and deployed more than 55 of our single-wafer wet cleaning tools. To date, all of our sales of single-wafer wet cleaning equipment for front-end manufacturing have been to customers located in Asia, and we anticipate that a substantial majority of our revenue from these products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99"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generate most of our revenue from a limited number of customers as the result of our strategy of initially placing single-wafer wet cleaning equipment with a small number of leading chip manufacturers that are driving technology trends and key capability implementation. In 2018, 85.7% of our revenue was derived from three customers: Yangtze Memory Technologies Co., Ltd., a leading PRC memory chip company, together with one of its subsidiaries, accounted for 38.8% of our revenue; Shanghai Huali Microelectronics Corporation, a leading PRC foundry, accounted for 23.6% of our revenue; and SK Hynix Inc., a leading Korean memory chip company, accounted for 23.3% of our revenue. In 2017, 55.2% of our revenue was derived from four customers: SK Hynix Inc. accounted for</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18.1% of our revenue; Shanghai Integrated Circuit Research and Development Center Ltd., a public research consortia for the Chinese semiconductor industry, accounted for 14.1% of our revenue; JiangYin ChangDian Advanced Packaging Co. Ltd., a leading PRC foundry, accounted for 12.8% of our revenue; and Yangtze Memory Technologies Co., Ltd., together with one of its subsidiaries, accounted for 10.2% of our revenue.</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Based on our market experience, we believe that implementation of our single-wafer wet cleaning equipment by one of our selected chip manufacturers will attract and encourage other manufacturers to evaluate our equipment, because the leading company’s implementation will serve as validation of our equipment and could enable the other manufacturers to shorten their evaluation processes. We placed our first SAPS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 tools following the customer’s completion of its qualification process. We believe that the period from new product introduction to high volume manufacturing could range from one to several years.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our back-end wafer assembly and packaging customers, we focus on providing custom-made, differentiated single wafer wet cleaning equipment that incorporates a customer’s requested features at a competitive price. Our primary customers of these products in 2018 included: Deca Technologies, a wafer-level interconnect foundry with headquarters in Arizona and manufacturing in the Phillipines that is a majority-owned, independent subsidiary of Cypress Semiconductor Corp.; JiangYin ChangDian Advanced Packaging Co. Ltd., a leading PRC foundry that is also one of the largest customers of our front end of line equipment; Nantong Tongfu Microelectronics Co., Ltd., a PRC-based chip assembly and testing company that is a subsidiary of Nantong Fujitsu Microelectronics Co., Ltd.; and Wafer Works Corporation, a leading wafer supplier based in the PRC.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0" w:name="page11"/>
    <w:bookmarkEnd w:id="10"/>
    <w:p>
      <w:pPr>
        <w:ind w:right="620"/>
        <w:spacing w:after="0" w:line="306" w:lineRule="auto"/>
        <w:rPr>
          <w:sz w:val="20"/>
          <w:szCs w:val="20"/>
          <w:color w:val="auto"/>
        </w:rPr>
      </w:pPr>
      <w:r>
        <w:rPr>
          <w:rFonts w:ascii="Arial" w:cs="Arial" w:eastAsia="Arial" w:hAnsi="Arial"/>
          <w:sz w:val="16"/>
          <w:szCs w:val="16"/>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9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sales have historically been made using purchase orders with agreed technical specifications. Our sales terms and conditions are generally consistent with industry practice, but may vary from customer to customer. We seek to obtain a purchase order two to four months ahead of the customer’s desired delivery date. For some customers, we receive a letter of intent three weeks ahead, followed by the corresponding purchase order five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All of our products are built to order at our Shanghai facilities. Our first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2018, we began production at our second factory, located ten miles from our Shanghai headquarters. The new facility provides an additional 50,000 square feet of floor space for production capacity. We plan to shift an increasing portion of our future production to this factory based on its modernized capabilities.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To supplement our internal expertise, we also collaborated with external research and development entities such as International SEMATECH, a global consortium of computer chip manufacturers, on specific areas of interests and retain, as technical advisors, several experts in semiconductor technology.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p>
      <w:pPr>
        <w:ind w:right="180"/>
        <w:spacing w:after="0" w:line="332" w:lineRule="auto"/>
        <w:rPr>
          <w:sz w:val="20"/>
          <w:szCs w:val="20"/>
          <w:color w:val="auto"/>
        </w:rPr>
      </w:pPr>
      <w:r>
        <w:rPr>
          <w:rFonts w:ascii="Arial" w:cs="Arial" w:eastAsia="Arial" w:hAnsi="Arial"/>
          <w:sz w:val="16"/>
          <w:szCs w:val="16"/>
          <w:color w:val="auto"/>
        </w:rPr>
        <w:t>For the foreseeable future we are focusing on enhancing our Ultra C SAPS, TEBO and Tahoe tools and integrating additional capabilities to meet and anticipate requirements from our existing and potential customers. Our particular areas of focus include development of the following:</w:t>
      </w:r>
    </w:p>
    <w:p>
      <w:pPr>
        <w:spacing w:after="0" w:line="1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38"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cleaning steps for Ultra C TEBO cleaners for FinFET in logic chips, gates in DRAM, and deep vias in both 3D NAND and 3D cross point memory technologies;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hardware, including new system platforms, new and additional chamber structures and new chemical blending systems;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software to integrate new functionalities to improve tool performance.</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Longer term, we are working on new proprietary process capabilities based on our existing tool hardware platforms. We are also working to integrate our tools with third-party tools in adjacent process areas in the chip manufacturing flow. Our research and development expense totaled $10.4 million, or 13.9% of revenue in 2018 and $5.1 million, or 14.1% of revenue in 2017. We intend to continue to invest in research and development to support and enhance our existing cleaning products and to develop future product offerings to build and maintain our technology leadership position.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3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As of December 31, 2018, we had 20 issued patents, and 20 patents pending, in the United States. These patents carry expiration dates from 2022 through 2038. Many of the US patents and applications have also been filed internationally, in one or more of the European Union, PRC, Japan, Korea, Singapore and Taiwan. Specifically, we own patents in wafer cleaning, electro-polishing and plating, wafer preparation, and other semiconductor processing technologies. We have been issued more than 220 patents in the United States, the People’s Republic of China or PRC, Japan, Korea, Singapore and Taiwan.</w:t>
      </w:r>
    </w:p>
    <w:p>
      <w:pPr>
        <w:spacing w:after="0" w:line="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currently manufacture advanced single-wafer cleaning systems equipped with our SAPS, TEBO and Tahoe technologies. Our wafer cleaning technologies are protected by US Patent Numbers 8580042, 8671961, 9070723 and 9281177, as well as their corresponding international patents. We have 31 patents granted internationally protecting our SAPS technologies. We also have filed 9 international patent applications for key TEBO technologies, and 2 for Tahoe, in accordance with the Patent Cooperation Treaty, in anticipation of filing in the U.S. national phase.</w:t>
      </w:r>
    </w:p>
    <w:p>
      <w:pPr>
        <w:spacing w:after="0" w:line="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to the above core technologies, we have technologies for stress-free polishing, or SFP, and electrochemical plating, or ECP, that are used in certain of our tools. SFP is an integral part of the electro polishing process. Our technology was a breakthrough in electro-chemical-copper-planarization technology when it was first introduced, because it can polish, stress-free, copper layers used in copper low-K interconnects. Our innovations in SFP and ECP are reflected in US Patent Numbers 6638863 and 8518224, and their corresponding international counterparts.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ind w:right="380"/>
        <w:spacing w:after="0" w:line="259" w:lineRule="auto"/>
        <w:rPr>
          <w:sz w:val="20"/>
          <w:szCs w:val="20"/>
          <w:color w:val="auto"/>
        </w:rPr>
      </w:pPr>
      <w:r>
        <w:rPr>
          <w:rFonts w:ascii="Arial" w:cs="Arial" w:eastAsia="Arial" w:hAnsi="Arial"/>
          <w:sz w:val="18"/>
          <w:szCs w:val="18"/>
          <w:color w:val="auto"/>
        </w:rPr>
        <w:t>We also have technologies in other semiconductor processing areas, such as wafer preparation and some specific processing steps. The wafer preparation technology is covered by US Patent Numbers 8383429 and 9295167. The specific processing steps includes US Patent Number 8598039 titled “Barrier layer removal method and apparatus.”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18"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3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0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Additional information about the risks relating to our intellectual property is provided under “Item 1A. Risk Factors—Risks Relating to Our Intellectual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jc w:val="both"/>
        <w:ind w:right="520"/>
        <w:spacing w:after="0" w:line="298"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Beijing Sevenstar Science &amp; Technology Co., Ltd., DNS Electronics LLC, Lam Research Corp., Mujin Electronics Co., Ltd., SEMES Co. Ltd. and Tokyo Electron Ltd.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Compared to our company, our current and potential competitors may have: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better established credibility and market reputations, longer operating histories, and broader product offerings;</w:t>
      </w:r>
    </w:p>
    <w:p>
      <w:pPr>
        <w:spacing w:after="0" w:line="15"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greater financial, technical, marketing and other resources, which may allow them to pursue design, development, manufacturing, sales, marketing, distribution and service support of their products;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extensive customer and partner relationships, which may position them to identify and respond more successfully to market developments and changes in customer demands; and</w:t>
      </w: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product offerings, which may enable them to offer bundled discounts for customers purchasing multiple products or other incentives that we cannot match or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in our market include:</w:t>
      </w:r>
    </w:p>
    <w:p>
      <w:pPr>
        <w:spacing w:after="0" w:line="225" w:lineRule="exact"/>
        <w:rPr>
          <w:sz w:val="20"/>
          <w:szCs w:val="20"/>
          <w:color w:val="auto"/>
        </w:rPr>
      </w:pPr>
    </w:p>
    <w:p>
      <w:pPr>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products, including particle removal efficiency, rate of damage to wafer structures, high temperature chemistry, throughput, tool uptime and reliability, safety, chemical waste treatment, and environmental impact;</w:t>
      </w:r>
    </w:p>
    <w:p>
      <w:pPr>
        <w:ind w:left="660" w:right="2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service support capability and spare parts delivery time; innovation and development of functionality and features that are must-haves for advanced fabrication nodes;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anticipate customer requirements, especially for advanced process nodes of less than 45nm; ability to identify new process applications;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recognition and reputation;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17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semiconductor manufacturers must make a substantial investment to qualify and integrate new equipment into semiconductor production lines. Some manufacturers began fabricating chips for the 10nm node in 2017 and the 7nm node in 2018, and we have one customer that currently is evaluating implementation of our equipment at these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TEBO and Tahoe technologies, which we believe offer better performance, much less chemical consumption, and lower cost of consumables, including at advanced process nodes of 22nm or less.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As of December 31, 2018, we had 273 full-time equivalent employees, of whom 22 were in administration, 84 were in manufacturing, 96 were in research and development, and 71 were in sales and marketing and customer services. Of these employees, 253 were located in the mainland China and Taiwan, 17 were located in Korea and 3 were based in the United States. We have never had a work stoppage, and none of our employees are represented by a labor organization or subject to any collective bargaining arrangements. We consider our employee relations to be good.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are required to file annual, quarterly and current reports, proxy statements and other information with the SEC. The SEC maintains a website at www.sec.gov that contains reports, proxy and information statements, and other information regarding issuers that file electronically with the SEC.</w:t>
      </w:r>
    </w:p>
    <w:p>
      <w:pPr>
        <w:spacing w:after="0" w:line="7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 www.americanrenal.com as soon as reasonably practicable after such reports are electronically filed with or furnished to the SEC.</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Investors should note that we currently announce material information to our investors and others using filings with the SEC, press releases, public conference calls, webcasts or our website (www.acmrcsh.com),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www.acmrcsh.com. The information on our website is not, and shall not be deemed to be, a part hereof or incorporated into this or any of our other filings with the SEC.</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1. Financial Statements” of Part I above,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we are uncertain about our future profitability.</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incurred significant losses since our inception in 1998, and as of December 31, 2018 we had an accumulated deficit of $3.4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including continued investments in our research and development team;</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goods being manufactured and sold for our installed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field service;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and administrative expenses, including legal and accounting expenses related to being a public company.</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limited revenue and may not be able to regain or maintain profitability.</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To date we have only generated limited revenue from sales of our products. Our revenue totaled $74.6 million in 2018 and $36.5 million in 2017. In 2018 we generated net income of $6.6 million, as compared to an operating loss of $872,000 in 2017. Our ability to generate significant revenue and operate profitably depends upon our ability to commercialize our Ultra C single-wafer wet cleaning equipment. Our ability to generate significant product revenue from our current tools or future tool candidates also depends on a number of additional factors, including our ability to:</w:t>
      </w:r>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of Ultra C equipment based on SAPS, TEBO and Tahoe technology;</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customer base, including the establishment of relationships with companies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expand our supplier relationships with third parties; and</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our reputation for providing efficient on-time delivery of high quality products.</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If we fail to regain and sustain profitability on a continuing basis, we may be unable to continue our operations at planned levels and be forced to reduce our operations or even shut down.</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5" w:name="page16"/>
    <w:bookmarkEnd w:id="15"/>
    <w:p>
      <w:pPr>
        <w:ind w:right="80"/>
        <w:spacing w:after="0" w:line="332" w:lineRule="auto"/>
        <w:rPr>
          <w:sz w:val="20"/>
          <w:szCs w:val="20"/>
          <w:color w:val="auto"/>
        </w:rPr>
      </w:pPr>
      <w:r>
        <w:rPr>
          <w:rFonts w:ascii="Arial" w:cs="Arial" w:eastAsia="Arial" w:hAnsi="Arial"/>
          <w:sz w:val="16"/>
          <w:szCs w:val="16"/>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may need to raise funds in the future, depending on many factors,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applying our existing technologies to new or enhanced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developing new technologies and introducing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our expansion, including capital expenditures, increasing our sales and marketing and service and support efforts, and expanding our geographic operations;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obtain governmental subsidies for developmental projects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debt repayment obligations;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timing of any future acquisitions.</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3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2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can be difficult to predict and can fluctuate substantially, which could result in volatility in the price of Class A common stock.</w:t>
      </w:r>
    </w:p>
    <w:p>
      <w:pPr>
        <w:spacing w:after="0" w:line="11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161" w:lineRule="exact"/>
        <w:rPr>
          <w:sz w:val="20"/>
          <w:szCs w:val="20"/>
          <w:color w:val="auto"/>
        </w:rPr>
      </w:pPr>
    </w:p>
    <w:p>
      <w:pPr>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cyclicality of the semiconductor industry and the related impact on the purchase of equipment used in the manufacture of integrated circuits, or chips;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purchases of our tools by chip fabricators, which order types of tools based on multi-year capital plans under which the number and dollar amount of tool purchases can vary significantly from year to year;</w:t>
      </w:r>
    </w:p>
    <w:p>
      <w:pPr>
        <w:ind w:left="660" w:hanging="328"/>
        <w:spacing w:after="0" w:line="300"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significant expenditures required to customize our products often exceed the deposits received from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lead time required to manufacture our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recognizing revenue due to the timing of shipment and acceptance of our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sell additional tools to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changes in customer specifications or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our product sales cycle;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product mix, including the mix of systems, upgrades, spare parts and service;</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product releases or upgrades or announcements of product releases or upgrades by us or our competitors, including changes in customer orders in anticipation of new products or product enhancements;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enhance our tools with new and better functionality that meet customer requirements and changing industry trends;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constraints on our suppliers’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investments in research and development related to releasing new applications of our technologies and new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development and manufacture of our new products and upgraded versions of our products and the market acceptance of these products when introduced;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control costs, including operating expenses and the costs of the components and subassemblies used in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related to the acquisition and integration of product lines, technologies or businesses;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1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3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118"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9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ind w:right="200"/>
        <w:spacing w:after="0" w:line="298" w:lineRule="auto"/>
        <w:rPr>
          <w:sz w:val="20"/>
          <w:szCs w:val="20"/>
          <w:color w:val="auto"/>
        </w:rPr>
      </w:pPr>
      <w:r>
        <w:rPr>
          <w:rFonts w:ascii="Arial" w:cs="Arial" w:eastAsia="Arial" w:hAnsi="Arial"/>
          <w:sz w:val="16"/>
          <w:szCs w:val="16"/>
          <w:color w:val="auto"/>
        </w:rPr>
        <w:t>The PRC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industry chip manufacturers adopting our SAPS, TEBO and Tahoe technologies.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and Tahoe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SAPS, TEBO and Tahoe technologies do not achieve widespread market acceptance, we will not be able to compete effectively.</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commercial success of our tools will depend, in part, on gaining substantial market acceptance by chip manufacturers. Our ability to gain acceptance for our products will depend upon a number of factors, including:</w:t>
      </w:r>
    </w:p>
    <w:p>
      <w:pPr>
        <w:spacing w:after="0" w:line="186" w:lineRule="exact"/>
        <w:rPr>
          <w:sz w:val="20"/>
          <w:szCs w:val="20"/>
          <w:color w:val="auto"/>
        </w:rPr>
      </w:pPr>
    </w:p>
    <w:p>
      <w:pPr>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demonstrate the differentiated, innovative nature of our SAPS, TEBO and Tahoe technologies and the advantages of our tools over those of our competitors;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compatibility of our tools with existing or potential customers’ manufacturing processes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customer service available to support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experiences our customers have with our products.</w:t>
      </w:r>
    </w:p>
    <w:p>
      <w:pPr>
        <w:spacing w:after="0" w:line="15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19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and Tahoe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15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accurate anticipation of market requirements, changes in technology and evolving standards;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and availability of suppliers and third-party manufacturers to manufacture and deliver the critical components and subassemblies of our tools in a timely manner;</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lifecycle of those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deliver products in a timely manner within our customers’ product planning and deployment cycle.</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identify and enter new product markets.</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10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9" w:name="page20"/>
    <w:bookmarkEnd w:id="19"/>
    <w:p>
      <w:pPr>
        <w:ind w:right="40"/>
        <w:spacing w:after="0" w:line="268" w:lineRule="auto"/>
        <w:rPr>
          <w:sz w:val="20"/>
          <w:szCs w:val="20"/>
          <w:color w:val="auto"/>
        </w:rPr>
      </w:pPr>
      <w:r>
        <w:rPr>
          <w:rFonts w:ascii="Arial" w:cs="Arial" w:eastAsia="Arial" w:hAnsi="Arial"/>
          <w:sz w:val="18"/>
          <w:szCs w:val="18"/>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chip equipment industry is highly competitive, and we face substantial competition throughout the world in each of the markets we serve. Many of our current and potential competitors have, among other things:</w:t>
      </w:r>
    </w:p>
    <w:p>
      <w:pPr>
        <w:spacing w:after="0" w:line="18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financial, technical, sales and marketing, manufacturing, distribution and other resources;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credibility and market reputations;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more extensive service offerings, including the ability to have large inventories of spare parts available near, or even at, customer locations;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sales forces;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extensive geographic coverage.</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chip manufacturing industry is highly concentrated, and we derive most of our revenue from a limited number of customers. In 2018, 85.7% of our revenue was derived from three customers: Yangtze Memory Technologies Co., Ltd., a leading PRC memory chip company, together with one of its subsidiaries, accounted for 38.8% of our revenue; Shanghai Huali Microelectronics Corporation, a leading PRC foundry, accounted for 23.6% of our revenue; and SK Hynix Inc., a leading Korean memory chip company, accounted for 23.3% of our revenue. In 2017, 55.2% of our revenue was derived from four customers: SK Hynix Inc. accounted for 18.1% of our revenue; Shanghai Integrated Circuit Research and Development Center Ltd., a public research consortia for the Chinese semiconductor industry, accounted for 14.1% of our revenue; JiangYin ChangDian Advanced Packaging Co. Ltd., a leading PRC foundry, accounted for 12.8% of our revenue; and Yangtze Memory Technologies Co., Ltd., together with one of its subsidiaries, accounted for 10.2% of our revenue.</w:t>
      </w:r>
    </w:p>
    <w:p>
      <w:pPr>
        <w:spacing w:after="0" w:line="1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2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$1.0 to $4.0 million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1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duration or ultimate success of our sales cycle depends on factors such as: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by our sales force;</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complexity of our customers’ manufacturing processes and the compatibility of our tools with those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internal technical capabilities and sophistication; and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ind w:left="660" w:hanging="328"/>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customers’ capital spending plans and processes, including budgetary constraints, internal approvals, extended negotiations or administrative delays.</w:t>
      </w:r>
    </w:p>
    <w:p>
      <w:pPr>
        <w:spacing w:after="0" w:line="192"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in forecasting demand for our tools may lead to periodic inventory shortages or excess spending on inventory items that may not be used.</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 failure to prevent inventory shortages or accurately predict customers’ needs could result in decreased revenue and gross margins and harm our business.</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0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tools contain defects or do not meet customer specifications, we could lose customers and revenue.</w:t>
      </w:r>
    </w:p>
    <w:p>
      <w:pPr>
        <w:spacing w:after="0" w:line="158"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16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customers may delay or reject acceptance of our tools that contain defects or fail to meet their specifications;</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suffer customer dissatisfaction, negative publicity and reputational damage, resulting in reduced orders or otherwise damaging our ability to retain existing customers and attract new customers;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incur substantial costs as a result of warranty claims or service obligations or in order to enhance the reliability of our tools;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attention of our technical and management resources may be diverted;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replace defective systems or invest significant capital to resolve these problems;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write off inventory and other assets related to our tools.</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claims in excess of our estimates could adversely affect our business.</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As of December 31, 2018, we had accrued $1.7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price increases;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capacity shortages or other inability to meet any increase in demand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over manufacturing process for components and subassemblies and delivery schedules;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ability of some suppliers to manufacture and sell subassemblies or parts in the volumes we require and at acceptable quality levels and prices, due to the suppliers’ relatively small operations and limited manufacturing resources;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exposure to potential misappropriation of our intellectual property;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warranties on subassemblies and components supplied to us.</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9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10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99"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86"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received subsidies from local and central governmental authorities in the PRC in 2008, 2009, 2014 and 2018.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SAPS, TEBO and Tahoe. To the extent that we receive a lower level of, or no, governmental subsidies in the future, we may need to raise additional funds through public or private financings, strategic relationships, or other arrangements.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The success of our business will depend on our ability to manage any future growth.</w:t>
      </w:r>
    </w:p>
    <w:p>
      <w:pPr>
        <w:spacing w:after="0" w:line="15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experienced rapid growth in our business recently due, in part, to an expansion of our product offerings and an increase in the number of customers that we serve. For example, our headcount grew by 28% during 2017 and by an additional 35% during 2018.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172" w:lineRule="exact"/>
        <w:rPr>
          <w:sz w:val="20"/>
          <w:szCs w:val="20"/>
          <w:color w:val="auto"/>
        </w:rPr>
      </w:pPr>
    </w:p>
    <w:p>
      <w:pPr>
        <w:ind w:left="66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train, integrate and manage additional qualified engineers for research and development activities, sales and marketing personnel, service and support personnel and financial and information technology personnel;</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multiple relationships with our customers, suppliers and other third parties;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enhance our information technology infrastructure, systems and controls.</w:t>
      </w:r>
    </w:p>
    <w:p>
      <w:pPr>
        <w:spacing w:after="0" w:line="15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9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are highly dependent on our Chief Executive Officer and President and other senior management and key employees, and we currently do not have a permanent Chief Financial Officer.</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 Dr. David H. Wang, our Chair of the Board, Chief Executive Officer, President and founder. In January 2018 we notified our former Chief Financial Officer of the termination of his employment effective January 24, 2018. Our Chief Accounting Officer, who joined us effective January 24, 2018, currently is serving as our interim Chief Financial Officer. We are uncertain as to when we will be able to identify and hire a successor Chief Financial Officer, and we may incur significant expense in recruiting and hiring such a successor. If one or more of our other senior management were unable or unwilling to continue their 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their employment at any time. The loss of Dr. Wang or other key management personnel, including our former Chief Financial Officer, could significantly delay or prevent the achievement of our business objectives.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ability to utilize certain U.S. and state net operating loss carryforwards may be limited under applicable tax laws.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had net operating loss carryforward amounts, or NOLs, of $17 million for U.S. federal income tax purposes and $714,000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 income tax purposes. The federal and state NOLs will expire at various dates beginning in 2019.</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that we pursue in the future, whether or not consummated, could result in other operating and financial difficulties.</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29"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19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acquired product lines, technologies or businesses may not improve our financial and strategic position as planned;</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determine we have overpaid for the product lines, technologies or businesses, or that the economic conditions underlying our acquisition have changed;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integrating the operations and personnel of the acquired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retaining the employees with the technical skills needed to enhance and provide services with respect to the acquired product lines or technologies;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acquisition may be viewed negatively by customers, employees, suppliers, financial markets or investors;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incorporating the acquired product lines or technologies with our existing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a competitive response, including price competition or intellectual property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incur one-time write-offs, such as acquired in-process research and development costs, and restructuring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acquire goodwill and other intangible assets that are subject to impairment tests, which could result in future impairment charges;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ongoing business and management’s attention may be disrupted or diverted by transition or integration issues and the complexity of managing geographically or culturally diverse enterprises;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existing issues with the target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2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17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demand for our products;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reserves on accounts receivable due to our customers’ inability to pay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reserves on inventory balances due to excess or obsolete inventory as a result of our inability to sell such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impairments including the potential impairment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the value of our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the value of certain facilities we lease to less than our residual value guarantee with the lessor;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maintaining reliable and uninterrupted sources of supply.</w:t>
      </w:r>
    </w:p>
    <w:p>
      <w:pPr>
        <w:spacing w:after="0" w:line="15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of our sales in 2017 and 2018 were made to customers outside the United States. Our manufacturing center has been located in Shanghai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19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or adverse changes in, foreign laws or regulatory requirements;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comply with the import laws and regulations of various foreign jurisdictions, including a range of U.S. import laws;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potentially adverse tax consequences, including withholding tax rules that may limit the repatriation of our earnings, and higher effective income tax rates in foreign countries where we conduct business;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from local suppliers with which potential customers may prefer to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seasonal reduction in business activity, such as during Chinese, or Lunar, New Year in parts of Asia and in other periods in various individual countries;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intellectual property;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7" w:name="page28"/>
    <w:bookmarkEnd w:id="27"/>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sales cycles and reliance on indirect sales in certain regions;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length of time for shipping and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difficulty in responding to customer requests for maintenance and spare parts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the increased travel, infrastructure and legal and compliance costs associated with multiple international locations;</w:t>
      </w:r>
    </w:p>
    <w:p>
      <w:pPr>
        <w:ind w:left="660" w:right="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ind w:left="660" w:right="2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particular, the Asian market is extremely competitive, and chip manufacturers may be aggressive in seeking price concessions from suppliers, including chip equipment manufacturers.</w:t>
      </w:r>
    </w:p>
    <w:p>
      <w:pPr>
        <w:spacing w:after="0" w:line="11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foreign currency exchange rates may adversely affect our results of operations and financial position.</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government trade policies could limit the demand for our tools and increase the cost of our tools or adversely impact our supply chain.</w:t>
      </w:r>
    </w:p>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General trade tensions between the U.S. and PRC escalated in 2018. In each of July, August and September 2018, the U.S. government imposed a round of new or higher tariffs on specified imported products originating from the PRC in response to what the U.S. government characterizes as unfair trade practices. The PRC government responded to each of these three rounds of U.S. tariff changes by imposing new or higher tariffs on specified products imported from the United States. Higher duties on existing tariffs and further rounds of tariffs have been announced or threatened by U.S. and PRC leaders.</w:t>
      </w:r>
    </w:p>
    <w:p>
      <w:pPr>
        <w:spacing w:after="0" w:line="9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8" w:name="page29"/>
    <w:bookmarkEnd w:id="28"/>
    <w:p>
      <w:pPr>
        <w:ind w:right="500"/>
        <w:spacing w:after="0" w:line="268" w:lineRule="auto"/>
        <w:rPr>
          <w:sz w:val="20"/>
          <w:szCs w:val="20"/>
          <w:color w:val="auto"/>
        </w:rPr>
      </w:pPr>
      <w:r>
        <w:rPr>
          <w:rFonts w:ascii="Arial" w:cs="Arial" w:eastAsia="Arial" w:hAnsi="Arial"/>
          <w:sz w:val="18"/>
          <w:szCs w:val="18"/>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11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7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0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12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9" w:name="page30"/>
    <w:bookmarkEnd w:id="29"/>
    <w:p>
      <w:pPr>
        <w:ind w:right="20"/>
        <w:spacing w:after="0" w:line="298" w:lineRule="auto"/>
        <w:rPr>
          <w:sz w:val="20"/>
          <w:szCs w:val="20"/>
          <w:color w:val="auto"/>
        </w:rPr>
      </w:pPr>
      <w:r>
        <w:rPr>
          <w:rFonts w:ascii="Arial" w:cs="Arial" w:eastAsia="Arial" w:hAnsi="Arial"/>
          <w:sz w:val="16"/>
          <w:szCs w:val="16"/>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9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facilities could be damaged or disrupted by a natural disaster, war, terrorist attacks or other catastrophic events.</w:t>
      </w:r>
    </w:p>
    <w:p>
      <w:pPr>
        <w:spacing w:after="0" w:line="15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1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consolidated financial statements for 2017, our management and auditors identified a material weakness in our internal control over financial reporting that, even after remediation, could cause investors to lose confidence in our reported financial information and have a negative effect on the trading price of our stock.</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ind w:right="280"/>
        <w:spacing w:after="0" w:line="290" w:lineRule="auto"/>
        <w:rPr>
          <w:sz w:val="20"/>
          <w:szCs w:val="20"/>
          <w:color w:val="auto"/>
        </w:rPr>
      </w:pPr>
      <w:r>
        <w:rPr>
          <w:rFonts w:ascii="Arial" w:cs="Arial" w:eastAsia="Arial" w:hAnsi="Arial"/>
          <w:sz w:val="16"/>
          <w:szCs w:val="16"/>
          <w:color w:val="auto"/>
        </w:rPr>
        <w:t>In connection with its audit of our consolidated financial statements as of, and for the year ended, December 31, 2016,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 financial reporting requirements. During the nine months ended September 30, 2018, we took remedial measures to improve the effectiveness of our controls, including by hiring additional accounting and finance personnel and by engaging outside consulting firms, which our management considered, as of September 30, 2018, to have fully remediated the identified material weakness.</w:t>
      </w:r>
    </w:p>
    <w:p>
      <w:pPr>
        <w:spacing w:after="0" w:line="10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we will implement and maintain adequate controls over our financial processes and reporting in the future in order to avoid additional material weaknesses or controlled deficiencies in our internal control over financing reporting. If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10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BDO China is the independent registered public accounting firm that issued the audit report included in this report in connection with our consolidated financial statements as of, and for the years ended, December 31, 2018 and 2017.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May 2013 the PCAOB announced that it had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3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including our SAPS, TEBO and Tahoe technologies.</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TEBO and Tahoe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0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139" w:lineRule="exact"/>
        <w:rPr>
          <w:sz w:val="20"/>
          <w:szCs w:val="20"/>
          <w:color w:val="auto"/>
        </w:rPr>
      </w:pPr>
    </w:p>
    <w:p>
      <w:pPr>
        <w:jc w:val="both"/>
        <w:ind w:left="660" w:hanging="328"/>
        <w:spacing w:after="0" w:line="25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Patents that may be issued may be challenged, invalidated, modified, revoked, circumvented, found to be unenforceable or otherwise may not provide any competitive advantage.</w:t>
      </w: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may seek or may have already obtained patents that will limit, interfere with, or eliminate our ability to make, use and sell our potential product candidates.</w:t>
      </w:r>
    </w:p>
    <w:p>
      <w:pPr>
        <w:ind w:left="6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24"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materially, negatively affect our business.</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Any potential intellectual property claims or litigation commenced against us could:</w:t>
      </w:r>
    </w:p>
    <w:p>
      <w:pPr>
        <w:spacing w:after="0" w:line="225" w:lineRule="exact"/>
        <w:rPr>
          <w:sz w:val="20"/>
          <w:szCs w:val="20"/>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time consuming and expensive to defend, whether or not meritorious;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force us to stop selling products or using technology that allegedly infringes the third party’s intellectual property rights;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shipments of our products;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pay damages or settlement fees to the party claiming infringement;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attempt to obtain a license to the relevant intellectual property, which may not be available on reasonable terms or at all;</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32" w:lineRule="exact"/>
        <w:rPr>
          <w:rFonts w:ascii="Arial" w:cs="Arial" w:eastAsia="Arial" w:hAnsi="Arial"/>
          <w:sz w:val="16"/>
          <w:szCs w:val="16"/>
          <w:color w:val="auto"/>
        </w:rPr>
      </w:pPr>
    </w:p>
    <w:p>
      <w:pPr>
        <w:ind w:left="820" w:hanging="164"/>
        <w:spacing w:after="0" w:line="250"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indemnify our customers, suppliers or other third parties for any loss caused by their use of our technology that allegedly infringes the third party’s intellectual property rights; or</w:t>
      </w: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divert the attention of our technical and managerial resources.</w:t>
      </w:r>
    </w:p>
    <w:p>
      <w:pPr>
        <w:spacing w:after="0" w:line="1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Ownership of Class A Common Stock</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market price of Class A common stock has been and may continue to be volatile, which could result in substantial losses for investors purchasing our shares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Class A common stock only commenced trading on the Nasdaq Global Market, or Nasdaq, on November 3, 2017, and the market price of Class A common stock has been, and could continue to be, subject to significant fluctuations. The market price of Class A common stock may fluctuate significantly in response to numerous factors, many of which are beyond our control, including:</w:t>
      </w:r>
    </w:p>
    <w:p>
      <w:pPr>
        <w:spacing w:after="0" w:line="19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projections for the chips or chip equipment industries or in the operating performance or expectations and stock market valuations of chip companies, chip equipment companies or technology companies in general;</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operating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changes in the financial projections we may provide to the public, our failure to meet these projections, or changes in recommendations by any securities analysts that elect to follow Class A common stock;</w:t>
      </w: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additional shares of Class A common stock being sold into the market by us or our existing stockholders or the anticipation of such sales;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32"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trends, including changes in the demand for electronics or information technology or geopolitical events such as war or acts of terrorism, or any responses to such events.</w:t>
      </w:r>
    </w:p>
    <w:p>
      <w:pPr>
        <w:spacing w:after="0" w:line="12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w:t>
      </w:r>
    </w:p>
    <w:p>
      <w:pPr>
        <w:spacing w:after="0" w:line="7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2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Class A common stock may not be sustained.</w:t>
      </w:r>
    </w:p>
    <w:p>
      <w:pPr>
        <w:spacing w:after="0" w:line="15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Class A common stock has been listed on Nasdaq only since November 3, 2017, and we cannot assure you that an active trading market for Class A common stock will be sustained or maintained.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or maintain a liquid market for Class A common stock.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240"/>
        <w:spacing w:after="0" w:line="33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2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Requirements associated with being a public reporting company involve significant ongoing costs and can divert significant company resources and management attention.</w:t>
      </w:r>
    </w:p>
    <w:p>
      <w:pPr>
        <w:spacing w:after="0" w:line="11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are subject to the reporting requirements of the Securities Exchange Act, the Sarbanes-Oxley Act, the Dodd-Frank Wall Street Reform and Consumer Protection Act, the listing requirements of Nasdaq, and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134"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11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5" w:name="page36"/>
    <w:bookmarkEnd w:id="35"/>
    <w:p>
      <w:pPr>
        <w:ind w:right="40"/>
        <w:spacing w:after="0" w:line="268" w:lineRule="auto"/>
        <w:rPr>
          <w:sz w:val="20"/>
          <w:szCs w:val="20"/>
          <w:color w:val="auto"/>
        </w:rPr>
      </w:pPr>
      <w:r>
        <w:rPr>
          <w:rFonts w:ascii="Arial" w:cs="Arial" w:eastAsia="Arial" w:hAnsi="Arial"/>
          <w:sz w:val="18"/>
          <w:szCs w:val="18"/>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Class B common stock has twenty votes per share and Class A common stock has one vote per share. As of March 8, 2019, stockholders who hold shares of Class B common stock, who consist principally of our executive officers, employees, directors and their respective affiliates, collectively held 72.8%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Delaware law and provisions in our charter and bylaws could make a merger, tender offer or proxy contest difficult, thereby depressing the trading price of Class A common stock.</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spacing w:after="0" w:line="197" w:lineRule="exact"/>
        <w:rPr>
          <w:sz w:val="20"/>
          <w:szCs w:val="20"/>
          <w:color w:val="auto"/>
        </w:rPr>
      </w:pPr>
    </w:p>
    <w:p>
      <w:pPr>
        <w:jc w:val="both"/>
        <w:ind w:left="660" w:hanging="328"/>
        <w:spacing w:after="0" w:line="25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combined voting power of common stock;</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amendments to our charter or bylaws will require the approval of two-thirds of the combined vote of our then-outstanding shares of Class A and Class B common stock;</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vacancies on the board of directors will be able to be filled only by the board and not by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which currently is not staggered, will be automatically separated into three classes with staggered three-year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directors will only be able to be removed from office for cause;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and not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only our chair, our chief executive officer or a majority of our directors is authorized to call a special meeting of stockholders;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charter authorizes undesignated preferred stock, the terms of which may be established, and shares of which may be issued, without stockholder approval; and</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cumulative voting in the election of directors is prohibited.</w:t>
      </w:r>
    </w:p>
    <w:p>
      <w:pPr>
        <w:spacing w:after="0" w:line="15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6" w:name="page37"/>
    <w:bookmarkEnd w:id="36"/>
    <w:p>
      <w:pPr>
        <w:ind w:right="280"/>
        <w:spacing w:after="0" w:line="370" w:lineRule="auto"/>
        <w:rPr>
          <w:sz w:val="20"/>
          <w:szCs w:val="20"/>
          <w:color w:val="auto"/>
        </w:rPr>
      </w:pPr>
      <w:r>
        <w:rPr>
          <w:rFonts w:ascii="Arial" w:cs="Arial" w:eastAsia="Arial" w:hAnsi="Arial"/>
          <w:sz w:val="15"/>
          <w:szCs w:val="15"/>
          <w:b w:val="1"/>
          <w:bCs w:val="1"/>
          <w:i w:val="1"/>
          <w:iCs w:val="1"/>
          <w:color w:val="auto"/>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Our charter provides that the Court of Chancery of the State of Delaware will, to the fullest extent permitted by law, be the sole and exclusive forum for:</w:t>
      </w:r>
    </w:p>
    <w:p>
      <w:pPr>
        <w:spacing w:after="0" w:line="24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to us, our stockholders, creditors or other constituents by any of our directors, officers, other employees, agents or stockholders;</w:t>
      </w: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arising under the Delaware General Corporation Law, our charter or bylaws, or as to which the Delaware General Corporation Law confers jurisdiction on the Court of Chancery of the State of Delaware; or</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w:t>
      </w:r>
    </w:p>
    <w:p>
      <w:pPr>
        <w:spacing w:after="0" w:line="151"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experience of the current members of our management team in managing a publicly traded company, interacting with public company investors and complying with the increasingly complex laws pertaining to public companies is limited to their experience with our company since our initial public offering in November 2017.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day-to-day management of our business, which could materially adversely affect our business, financial condition and operating results.</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11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ind w:right="40"/>
        <w:spacing w:after="0" w:line="370"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0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3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9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have occupied our current corporate headquarters in Fremont, California, since February 2008, under a lease that, as amended in February 2019, extends through March 2021.</w:t>
      </w:r>
    </w:p>
    <w:p>
      <w:pPr>
        <w:spacing w:after="0" w:line="11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conduct research and development, service support operations, and a portion of manufacturing in our ACM Shanghai headquarters. This facility consists of 60,000 square feet, of which 36,000 square feet are allocated for manufacturing, and is located in the Zhangjiang Hi Tech Park in Shanghai. We have leased this facility since 2007. The lease terms and its payment terms are subject to modification and extension with Zhangjiang Group from time to time. We extended the lease for a 60-month term from January 1, 2018 until January 1, 2022.</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8" w:name="page39"/>
    <w:bookmarkEnd w:id="38"/>
    <w:p>
      <w:pPr>
        <w:spacing w:after="0" w:line="370" w:lineRule="auto"/>
        <w:rPr>
          <w:sz w:val="20"/>
          <w:szCs w:val="20"/>
          <w:color w:val="auto"/>
        </w:rPr>
      </w:pPr>
      <w:r>
        <w:rPr>
          <w:rFonts w:ascii="Arial" w:cs="Arial" w:eastAsia="Arial" w:hAnsi="Arial"/>
          <w:sz w:val="15"/>
          <w:szCs w:val="15"/>
          <w:color w:val="auto"/>
        </w:rPr>
        <w:t>In January 2018, ACM Shanghai entered into an operating lease for a second manufacturing space located in Shanghai, ten miles from its headquarters. The lease covers a total of 103,318 square feet, of which 50,000 square feet are allocated for production. The lease term is five years and expires on January 15, 2022.</w:t>
      </w:r>
    </w:p>
    <w:p>
      <w:pPr>
        <w:spacing w:after="0" w:line="49" w:lineRule="exact"/>
        <w:rPr>
          <w:sz w:val="20"/>
          <w:szCs w:val="20"/>
          <w:color w:val="auto"/>
        </w:rPr>
      </w:pPr>
    </w:p>
    <w:p>
      <w:pPr>
        <w:ind w:right="700"/>
        <w:spacing w:after="0" w:line="422" w:lineRule="auto"/>
        <w:rPr>
          <w:sz w:val="20"/>
          <w:szCs w:val="20"/>
          <w:color w:val="auto"/>
        </w:rPr>
      </w:pPr>
      <w:r>
        <w:rPr>
          <w:rFonts w:ascii="Arial" w:cs="Arial" w:eastAsia="Arial" w:hAnsi="Arial"/>
          <w:sz w:val="18"/>
          <w:szCs w:val="18"/>
          <w:color w:val="auto"/>
        </w:rPr>
        <w:t xml:space="preserve">In addition, we provide sales support and customer service operations from leased office space in Jiangying and Wuxi in the PRC, and Icheon in Korea.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39" w:name="page40"/>
    <w:bookmarkEnd w:id="39"/>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Trading of Common Stock</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Class A common stock has traded on NASDAQ Global Market under the symbol “ACMR” since November 3, 2017. Prior to that time, there was no public market for the Class A common stock. The Class B common stock is not listed or traded on any stock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March 8, 2019, there were 14,176,690 holders of record of shares of Class A common stock and 1,898,423 holders of record of shares of Class B common stock. The actual number of holders of Class A common stock is substantially greater and includes stockholders who are beneficial owners and whose shares are held of record by banks, brokers, and other financial institutions.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required by this item will be set forth in the definitive proxy statement we will file in connection with our 2019 Annual Meeting of Stockholders and is incorporated by reference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regarding shares of capital stock we issued in 2018 that were not registered under the Securities Act of 1933:</w:t>
      </w:r>
    </w:p>
    <w:p>
      <w:pPr>
        <w:spacing w:after="0" w:line="225" w:lineRule="exact"/>
        <w:rPr>
          <w:sz w:val="20"/>
          <w:szCs w:val="20"/>
          <w:color w:val="auto"/>
        </w:rPr>
      </w:pPr>
    </w:p>
    <w:p>
      <w:pPr>
        <w:ind w:left="66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issued an aggregate of 94,694 shares of Class A common stock pursuant to the exercise of stock options at per share exercise prices ranging from $0.75 to $3.00 per share.</w:t>
      </w:r>
    </w:p>
    <w:p>
      <w:pPr>
        <w:ind w:left="66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2018 we issued 397,502 shares of Class A common stock pursuant to an exercise of a warrant issued in March 2017 in exchange for a senior secured promissory note in the principal amount of approximately $3 million.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offer, sale and issuance of the securities described in paragraph (1) were exempt from registration under the Securities Act of 1933 by virtue of Section 4(a)</w:t>
      </w:r>
    </w:p>
    <w:p>
      <w:pPr>
        <w:spacing w:after="0" w:line="38" w:lineRule="exact"/>
        <w:rPr>
          <w:sz w:val="20"/>
          <w:szCs w:val="20"/>
          <w:color w:val="auto"/>
        </w:rPr>
      </w:pPr>
    </w:p>
    <w:p>
      <w:pPr>
        <w:ind w:right="20" w:firstLine="8"/>
        <w:spacing w:after="0" w:line="312" w:lineRule="auto"/>
        <w:tabs>
          <w:tab w:leader="none" w:pos="249"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thereof (or Regulation D promulgated thereunder) because the issuance of securities to the recipients did not involve a public offering, or in reliance on Rule 701 because the transaction was pursuant to a contract relating to compensation as provided under such rule. The offer, sale and issuance of the security described in paragraph (2) was deemed to be exempt from registration under the Securities Act in reliance on Section 4(a)(2) of the Securities Act in that the issuance of the securities to the accredited investors did not involve a public offering. The recipients of the securities in the transactions under paragraphs (1) and (2)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the Class A common stock and the Class B common stock is Computershare Trust Company, N.A.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2 of this report. Please read “Item1A. Risk Factors” for a discussion of factors that could cause our actual results to differ materially from our expectations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prices for our single-wafer wet-cleaning tools range from $2 million to more than $5 million. Revenue from single-wafer wet-cleaning tools totaled $68.5 million, or 92% of total revenue, in 2018 and $27.1 million, or 74% of total revenue, in 2017. Our customers for single-wafer wet-cleaning tools include Semiconductor Manufacturing International Corporation, Shanghai Huali Microelectronics Corporation, SK Hynix Inc. and Yangtze Memory Technologies Co., Ltd.</w:t>
      </w:r>
    </w:p>
    <w:p>
      <w:pPr>
        <w:spacing w:after="0" w:line="1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55 single-wafer wet cleaning tools, more than 50 of which have been accepted by customers and thereby generated revenue to us and the balance of which are awaiting customer acceptance should contractual conditions be met.</w:t>
      </w:r>
    </w:p>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186" w:lineRule="exact"/>
        <w:rPr>
          <w:sz w:val="20"/>
          <w:szCs w:val="20"/>
          <w:color w:val="auto"/>
        </w:rPr>
      </w:pPr>
    </w:p>
    <w:p>
      <w:pPr>
        <w:ind w:left="340" w:right="20" w:hanging="332"/>
        <w:spacing w:after="0" w:line="25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Space Alternated Phase Shift, or SAPS, technology for flat and patterned wafer surfaces, which employs alternating phases of megasonic waves to deliver megasonic energy in a highly uniform manner on a microscopic level;</w:t>
      </w:r>
    </w:p>
    <w:p>
      <w:pPr>
        <w:ind w:left="34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Timely Energized Bubble Oscillation, or TEBO, technology for patterned wafer surfaces at advanced process nodes, which provides effective, damage-free cleaning for 2D and 3D patterned wafers with fine feature sizes; and</w:t>
      </w:r>
    </w:p>
    <w:p>
      <w:pPr>
        <w:ind w:left="340" w:hanging="332"/>
        <w:spacing w:after="0" w:line="261"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Tahoe technology for cost and environmental savings, which delivers high cleaning performance using significantly less sulfuric acid and hydrogen peroxide than is typically consumed by conventional high-temperature single-wafer cleaning tools.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220 patents in the United States, the People’s Republic of China or PRC, Japan, Korea, Singapore and Taiwan.</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Corporate Background</w:t>
      </w:r>
    </w:p>
    <w:p>
      <w:pPr>
        <w:spacing w:after="0" w:line="16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ACM Research was incorporated in California in 1998 and redomesticated in Delaware in 2016. We perform strategic planning, marketing, and financial activities at our global corporate headquarters in Fremont, California.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Initially we focused on developing tools for chip manufacturing process steps involving the integration of ultra-low-K materials and copper. In the early 2000s we sold tools based on stress-free copper polishing technology.</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help us establish and build relationships with chip manufacturers in the PRC, in 2006 we moved our operational center to Shanghai and began to conduct our business through our subsidiary ACM Shanghai. In 2007 we began to focus our development efforts on single-wafer wet-cleaning solutions for the front-end chip fabrication process.</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 In August 2018, we introduced the Ultra-C Tahoe wafer cleaning tool, which delivers high cleaning performance with significantly less sulfuric acid than typically consumed by conventional high temperature single-wafer cleaning tools.</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December 2017 we formed a wholly owned subsidiary in the Republic of Korea, ACM Research Korea CO., LTD., to serve our customers based in the Republic of Korea and perform sales, marketing, and research and development activities. We currently conduct the majority of our product development, support and services, and substantially all of our manufacturing at ACM Shanghai. Our Shanghai operations position us to be near many of our current and potential new customers in the PR (including Taiwan), Korea and throughout Asia, providing convenient access and reduced shipping and manufacturing costs.</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September 2018, we announced the opening of a second factory in the Pudong region of Shanghai. The new facility has a total of 50,000 square feet of available floor space for production capacity. This is in addition to our first factory in the Pudong Region of Shanghai, which has a total of 36,000 square feet of available floor space.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Equity Transactions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 and Subsequent Exercise of Warrant</w:t>
      </w:r>
    </w:p>
    <w:p>
      <w:pPr>
        <w:spacing w:after="0" w:line="15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In December 2016 Shengxin (Shanghai) Management Consulting Limited Partnership, or SMC, paid 20,123,500 RMB ($3.0 million as of the date of funding) to ACM Shanghai for investment pursuant to terms to be subsequently negotiated. SMC is a PRC limited partnership owned by Jian Wang and other employees of our subsidiary ACM Shanghai. Jian Wang, who is the general partner of SMC, is our Vice President, Research and Development and the brother of David H.</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Wang, who is our Chief Executive Officer, President and Chair of the Board. In connection with that investment, we issued to SMC in March 2017 a warrant exercisable to purchase 397,502 shares of Class A common stock at a price of $7.50 per share, for a total exercise price of $3.0 million. The warrant was exercisable for cash or on a cashless basis, at the option of SMC, at any time on or before May 17, 2023 to acquire all, but not less than all, of the shares of Class A common stock subject to the warrant. In March 2018 we entered into a warrant exercise agreement with ACM Shanghai and SMC pursuant to which SMC exercised the SMC warrant in full by issuance to us of a senior secured promissory note in the principal amount of $3.0 million. We transferred the SMC note to ACM Shanghai, in exchange for an intercompany promissory note issued by ACM Shanghai to us in the principal amount of $3.0 million.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b w:val="1"/>
          <w:bCs w:val="1"/>
          <w:i w:val="1"/>
          <w:iCs w:val="1"/>
          <w:color w:val="auto"/>
        </w:rPr>
        <w:t>Strategic Investment in Key Supplier</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Ninebell Co., Ltd., or Ninebell, which is located in Seoul, Korea, is the principal supplier of robotic delivery system subassemblies used in our single-wafer cleaning equipment. On September 6, 2017 we and Ninebell entered into:</w:t>
      </w:r>
    </w:p>
    <w:p>
      <w:pPr>
        <w:spacing w:after="0" w:line="186" w:lineRule="exact"/>
        <w:rPr>
          <w:sz w:val="20"/>
          <w:szCs w:val="20"/>
          <w:color w:val="auto"/>
        </w:rPr>
      </w:pPr>
    </w:p>
    <w:p>
      <w:pPr>
        <w:ind w:left="66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ind w:left="660" w:right="40" w:hanging="328"/>
        <w:spacing w:after="0" w:line="32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IPO and Concurrent Private Placements</w:t>
      </w:r>
    </w:p>
    <w:p>
      <w:pPr>
        <w:spacing w:after="0" w:line="15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November 2017 we issued 2,233,000 shares of Class A common stock and received net proceeds of $11.7 million from our initial public offering, or the IPO, and concurrently we issued an additional 1,333,334 shares of Class A common stock through a private placement for net proceeds of $7.1 million.</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of Outstanding Minority Interests in ACM Shanghai</w:t>
      </w:r>
    </w:p>
    <w:p>
      <w:pPr>
        <w:spacing w:after="0" w:line="158"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Until August 31, 2017, ACM Research owned 62.87% of the outstanding equity interests in ACM Shanghai and three PRC-based third-party investors held the remaining 37.13% of equity interests, which were reflected as “non-controlling interests” in our consolidated balance sheets and related notes. In 2017 we took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167" w:lineRule="exact"/>
        <w:rPr>
          <w:sz w:val="20"/>
          <w:szCs w:val="20"/>
          <w:color w:val="auto"/>
        </w:rPr>
      </w:pPr>
    </w:p>
    <w:p>
      <w:pPr>
        <w:ind w:left="660" w:right="20" w:hanging="328"/>
        <w:spacing w:after="0" w:line="302"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has converted, upon the closing of the IPO, into 1,666,170 shares of Class A common stock, at an effective purchase price of $3.48 per share.</w:t>
      </w:r>
    </w:p>
    <w:p>
      <w:pPr>
        <w:spacing w:after="0" w:line="2" w:lineRule="exact"/>
        <w:rPr>
          <w:rFonts w:ascii="Arial" w:cs="Arial" w:eastAsia="Arial" w:hAnsi="Arial"/>
          <w:sz w:val="15"/>
          <w:szCs w:val="15"/>
          <w:color w:val="auto"/>
        </w:rPr>
      </w:pPr>
    </w:p>
    <w:p>
      <w:pPr>
        <w:ind w:left="660" w:right="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which we completed on November 8, 2017, and (b) issued to PST, on September 8, 2017, 1,119,576 shares of Class A common stock for a purchase price of $7.50 per share, representing an aggregate purchase price of $8.4 million.</w:t>
      </w:r>
    </w:p>
    <w:p>
      <w:pPr>
        <w:spacing w:after="0" w:line="2" w:lineRule="exact"/>
        <w:rPr>
          <w:rFonts w:ascii="Arial" w:cs="Arial" w:eastAsia="Arial" w:hAnsi="Arial"/>
          <w:sz w:val="18"/>
          <w:szCs w:val="18"/>
          <w:color w:val="auto"/>
        </w:rPr>
      </w:pPr>
    </w:p>
    <w:p>
      <w:pPr>
        <w:ind w:left="660" w:right="20" w:hanging="328"/>
        <w:spacing w:after="0" w:line="320"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which we completed on November 8, 2017, and (b) issued to ZJAJ, on September 8, 2017, 787,098 shares of Class A common stock for a purchase price of $7.50 per share, or an aggregate purchase price of $5.9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 November 8, 2017, ACM Research has owned all of the outstanding equity interests in ACM Shanghai.</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develop, manufacture and sell single-wafer wet cleaning equipment and custom-made wafer assembly and packaging equipment. Because we currently sell tools to a small number of customers and we customize those tools to fulfill the customers’ specific requirements, our revenue generation fluctuates, depending on the length of the sales, development and evaluation phases:</w:t>
      </w:r>
    </w:p>
    <w:p>
      <w:pPr>
        <w:spacing w:after="0" w:line="194" w:lineRule="exact"/>
        <w:rPr>
          <w:sz w:val="20"/>
          <w:szCs w:val="20"/>
          <w:color w:val="auto"/>
        </w:rPr>
      </w:pPr>
    </w:p>
    <w:p>
      <w:pPr>
        <w:ind w:left="660" w:right="60" w:hanging="328"/>
        <w:spacing w:after="0" w:line="28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Sales and Development. </w:t>
      </w:r>
      <w:r>
        <w:rPr>
          <w:rFonts w:ascii="Arial" w:cs="Arial" w:eastAsia="Arial" w:hAnsi="Arial"/>
          <w:sz w:val="16"/>
          <w:szCs w:val="16"/>
          <w:color w:val="auto"/>
        </w:rPr>
        <w:t>During the sale process we may, depending on a prospective customer’s specifications and requirements, need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ind w:left="660" w:right="80" w:hanging="328"/>
        <w:spacing w:after="0" w:line="28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Evaluation Periods. </w:t>
      </w:r>
      <w:r>
        <w:rPr>
          <w:rFonts w:ascii="Arial" w:cs="Arial" w:eastAsia="Arial" w:hAnsi="Arial"/>
          <w:sz w:val="16"/>
          <w:szCs w:val="16"/>
          <w:color w:val="auto"/>
        </w:rPr>
        <w:t>When a chip manufacturer proposes to purchase a particular type of tool from us for the first time, we offer the manufacturer an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4"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In accordance with industry practice, sales of our tools are made pursuant to purchase orders. Each purchase order from a customer for</w:t>
      </w:r>
      <w:r>
        <w:rPr>
          <w:rFonts w:ascii="Arial" w:cs="Arial" w:eastAsia="Arial" w:hAnsi="Arial"/>
          <w:sz w:val="16"/>
          <w:szCs w:val="16"/>
          <w:i w:val="1"/>
          <w:iCs w:val="1"/>
          <w:color w:val="auto"/>
        </w:rPr>
        <w:t xml:space="preserve"> </w:t>
      </w:r>
      <w:r>
        <w:rPr>
          <w:rFonts w:ascii="Arial" w:cs="Arial" w:eastAsia="Arial" w:hAnsi="Arial"/>
          <w:sz w:val="16"/>
          <w:szCs w:val="16"/>
          <w:color w:val="auto"/>
        </w:rPr>
        <w:t>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3" w:lineRule="exact"/>
        <w:rPr>
          <w:rFonts w:ascii="Arial" w:cs="Arial" w:eastAsia="Arial" w:hAnsi="Arial"/>
          <w:sz w:val="16"/>
          <w:szCs w:val="16"/>
          <w:i w:val="1"/>
          <w:iCs w:val="1"/>
          <w:color w:val="auto"/>
        </w:rPr>
      </w:pPr>
    </w:p>
    <w:p>
      <w:pPr>
        <w:ind w:left="660" w:right="20" w:hanging="328"/>
        <w:spacing w:after="0" w:line="254" w:lineRule="auto"/>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Fulfillment. </w:t>
      </w:r>
      <w:r>
        <w:rPr>
          <w:rFonts w:ascii="Arial" w:cs="Arial" w:eastAsia="Arial" w:hAnsi="Arial"/>
          <w:sz w:val="18"/>
          <w:szCs w:val="18"/>
          <w:color w:val="auto"/>
        </w:rPr>
        <w:t>We seek to obtain a purchase order for a tool from three to four months in advance of the expected delivery date. Depending upon the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9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expect our sales prices generally to range from $2 million to more than $5 million for our single-wafer wet cleaning tools. The sales price of a particular tool will vary depending upon the required specifications. We have designed equipment models using a modular configuration that we customize to meet customers’ technical specifications. For example, our Ultra C models for SAPS, TEBO and Tahoe solutions use common modular configurations that enable us to create a wet-cleaning tool meeting a customer’s specific requirements, while using pre-existing designs for chamber, electrical, chemical delivery and other modules.</w:t>
      </w:r>
    </w:p>
    <w:p>
      <w:pPr>
        <w:spacing w:after="0" w:line="99"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milestones of a purchase order. Based on our limited experience with repeat sales of our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140"/>
        <w:spacing w:after="0" w:line="289" w:lineRule="auto"/>
        <w:rPr>
          <w:sz w:val="20"/>
          <w:szCs w:val="20"/>
          <w:color w:val="auto"/>
        </w:rPr>
      </w:pPr>
      <w:r>
        <w:rPr>
          <w:rFonts w:ascii="Arial" w:cs="Arial" w:eastAsia="Arial" w:hAnsi="Arial"/>
          <w:sz w:val="16"/>
          <w:szCs w:val="16"/>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We expect that the period from new product introduction to high volume manufacturing will be three years or less in the future.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0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All of our sales in 2018 and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utilize the guidance set forth in Accounting Standards Update, or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of the Financial Accounting Standards Board, or FASB, regarding the recognition, presentation and disclosure of revenue in our financial statements as described below under “— Critical Accounting Policies and Significant Judgments and Estimates—Revenue Recognition.”</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2018 and 2017, we received payments for parts and labor for service activities provided from time to time, but as of December 31, 2018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0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loss or delay of one or more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for capital equipment consists primarily of:</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 costs, which consist principally of costs of tool components and subassemblies purchased from third-party vendors;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of personnel associated with our manufacturing operations, including 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of manufacturing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amortization of costs of software used for manufacturing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expenses attributable to our manufacturing department;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 w:name="page46"/>
    <w:bookmarkEnd w:id="45"/>
    <w:p>
      <w:pPr>
        <w:ind w:right="140"/>
        <w:spacing w:after="0" w:line="332" w:lineRule="auto"/>
        <w:rPr>
          <w:sz w:val="20"/>
          <w:szCs w:val="20"/>
          <w:color w:val="auto"/>
        </w:rPr>
      </w:pPr>
      <w:r>
        <w:rPr>
          <w:rFonts w:ascii="Arial" w:cs="Arial" w:eastAsia="Arial" w:hAnsi="Arial"/>
          <w:sz w:val="16"/>
          <w:szCs w:val="16"/>
          <w:color w:val="auto"/>
        </w:rPr>
        <w:t>We are not party to any long-term purchasing agreements with suppliers. Please see “Item 1A. Risk Factors—Risks Related to Our Business and Our Industry— Our customers do not enter into long-term purchase commitments, and they may decrease, cancel or delay their projected purchases at any time.”</w:t>
      </w:r>
    </w:p>
    <w:p>
      <w:pPr>
        <w:spacing w:after="0" w:line="7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gross margin was 46.2% in 2018 and 47.2% in 2017. Gross margin may vary from period to period, primarily related to the level of utilization and the timing and mix of purchase orders. We expect gross margin to range between 40% and 45% for the foreseeable future, with direct manufacturing costs approximating 50% to 55% of revenue and overhead costs totaling approximately 5% of revenue.</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significant portion of our raw materials are denominated in Renminbi, or RMB, while the majority of our purchase orders are denominated in U.S. dollars. As a result, currency exchange rates may have a significant effect on our gross margin.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 accounted for 12.9% of our revenue in 2018 and 15.1% of our revenue in 2017. Sales and marketing expense consists primarily of:</w:t>
      </w:r>
    </w:p>
    <w:p>
      <w:pPr>
        <w:spacing w:after="0" w:line="24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7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p>
      <w:pPr>
        <w:ind w:right="80"/>
        <w:spacing w:after="0" w:line="298"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Research and development expense accounted for 13.9% of our revenue in 2018 and 14.1% of our revenue in 2017. Research and development expense relates to the development of new products and processes and encompasses our research, development and customer support activities. Research and development expense consists primarily of:</w:t>
      </w:r>
    </w:p>
    <w:p>
      <w:pPr>
        <w:spacing w:after="0" w:line="19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stock-based compensation;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Some of our research and development has been funded by grants from the PRC government, as described in “—PRC Government Research and Development Funding” below.</w:t>
      </w:r>
    </w:p>
    <w:p>
      <w:pPr>
        <w:spacing w:after="0" w:line="118"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range between 18% and 22%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General and administrative expense accounted for 10.7% of our revenue in 2018 and 16.1% of our revenue in 2017. General and administrative expense consists primarily of:</w:t>
      </w:r>
    </w:p>
    <w:p>
      <w:pPr>
        <w:spacing w:after="0" w:line="186" w:lineRule="exact"/>
        <w:rPr>
          <w:sz w:val="20"/>
          <w:szCs w:val="20"/>
          <w:color w:val="auto"/>
        </w:rPr>
      </w:pPr>
    </w:p>
    <w:p>
      <w:pPr>
        <w:ind w:left="660" w:hanging="328"/>
        <w:spacing w:after="0" w:line="25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expect that, for the foreseeable future, general and administrative expense will increase in absolute dollars, as we incur additional costs associated with growing our business and operating as a public company, but will continue to decrease as a percentage of our total revenue.</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1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ASC Subtopic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each as adopted by the FASB.</w:t>
      </w:r>
    </w:p>
    <w:p>
      <w:pPr>
        <w:spacing w:after="0" w:line="19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8" w:lineRule="exact"/>
        <w:rPr>
          <w:rFonts w:ascii="Arial" w:cs="Arial" w:eastAsia="Arial" w:hAnsi="Arial"/>
          <w:sz w:val="16"/>
          <w:szCs w:val="16"/>
          <w:color w:val="auto"/>
        </w:rPr>
      </w:pPr>
    </w:p>
    <w:p>
      <w:pPr>
        <w:ind w:left="660" w:right="300"/>
        <w:spacing w:after="0" w:line="281" w:lineRule="auto"/>
        <w:rPr>
          <w:rFonts w:ascii="Arial" w:cs="Arial" w:eastAsia="Arial" w:hAnsi="Arial"/>
          <w:sz w:val="16"/>
          <w:szCs w:val="16"/>
          <w:color w:val="auto"/>
        </w:rPr>
      </w:pPr>
      <w:r>
        <w:rPr>
          <w:rFonts w:ascii="Arial" w:cs="Arial" w:eastAsia="Arial" w:hAnsi="Arial"/>
          <w:sz w:val="16"/>
          <w:szCs w:val="16"/>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2" w:lineRule="exact"/>
        <w:rPr>
          <w:rFonts w:ascii="Arial" w:cs="Arial" w:eastAsia="Arial" w:hAnsi="Arial"/>
          <w:sz w:val="16"/>
          <w:szCs w:val="16"/>
          <w:color w:val="auto"/>
        </w:rPr>
      </w:pPr>
    </w:p>
    <w:p>
      <w:pPr>
        <w:ind w:left="660" w:right="20" w:hanging="328"/>
        <w:spacing w:after="0" w:line="295"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Cost of revenue and operating expenses during the periods presented below have included stock-based compensation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9"/>
        </w:trPr>
        <w:tc>
          <w:tcPr>
            <w:tcW w:w="882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2"/>
        </w:trPr>
        <w:tc>
          <w:tcPr>
            <w:tcW w:w="8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gridSpan w:val="3"/>
          </w:tcPr>
          <w:p>
            <w:pPr>
              <w:jc w:val="right"/>
              <w:ind w:right="246"/>
              <w:spacing w:after="0"/>
              <w:rPr>
                <w:sz w:val="20"/>
                <w:szCs w:val="20"/>
                <w:color w:val="auto"/>
              </w:rPr>
            </w:pPr>
            <w:r>
              <w:rPr>
                <w:rFonts w:ascii="Arial" w:cs="Arial" w:eastAsia="Arial" w:hAnsi="Arial"/>
                <w:sz w:val="18"/>
                <w:szCs w:val="18"/>
                <w:i w:val="1"/>
                <w:iCs w:val="1"/>
                <w:color w:val="auto"/>
                <w:w w:val="89"/>
              </w:rPr>
              <w:t>(in thousands)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Cost of revenue</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9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2,917</w:t>
            </w: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1,499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3,363</w:t>
            </w:r>
          </w:p>
        </w:tc>
        <w:tc>
          <w:tcPr>
            <w:tcW w:w="9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1,623</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recognized stock-based compensation expense to employees of $0.7 million in 2018 and $0.3 million in 2017. As of December 31, 2018 and 2017, we had $2.4 million and $0.7 million of total unrecognized employee share-based compensation expense, net of estimated forfeitures, related to unvested share-based awards. These are expected to be recognized over a weighted-average period of 1.62 years and 1.77 years, respectively.</w:t>
      </w:r>
    </w:p>
    <w:p>
      <w:pPr>
        <w:spacing w:after="0" w:line="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recognized stock-based compensation expense to non-employees of $2.7 million in 2018 and $1.4 million in 2017. The fair value of each option granted to a non-employee is re-measured at each period end until the vesting date.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PRC Government Research and Development Funding</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PRC governmental authorities provide the majority of the funding, although ACM Shanghai is also required to invest certain amounts in the projects.</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94" w:lineRule="exact"/>
        <w:rPr>
          <w:sz w:val="20"/>
          <w:szCs w:val="20"/>
          <w:color w:val="auto"/>
        </w:rPr>
      </w:pPr>
    </w:p>
    <w:p>
      <w:pPr>
        <w:ind w:left="660" w:hanging="328"/>
        <w:spacing w:after="0" w:line="25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$1.5 million in 2018 and $3.4 million in 2017.</w:t>
      </w:r>
    </w:p>
    <w:p>
      <w:pPr>
        <w:jc w:val="both"/>
        <w:ind w:left="6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$0.1 million in 2018 and in 2017.</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58" w:lineRule="exact"/>
        <w:rPr>
          <w:sz w:val="20"/>
          <w:szCs w:val="20"/>
          <w:color w:val="auto"/>
        </w:rPr>
      </w:pPr>
    </w:p>
    <w:p>
      <w:pPr>
        <w:jc w:val="both"/>
        <w:ind w:right="640"/>
        <w:spacing w:after="0" w:line="306" w:lineRule="auto"/>
        <w:rPr>
          <w:sz w:val="20"/>
          <w:szCs w:val="20"/>
          <w:color w:val="auto"/>
        </w:rPr>
      </w:pPr>
      <w:r>
        <w:rPr>
          <w:rFonts w:ascii="Arial" w:cs="Arial" w:eastAsia="Arial" w:hAnsi="Arial"/>
          <w:sz w:val="16"/>
          <w:szCs w:val="16"/>
          <w:color w:val="auto"/>
        </w:rPr>
        <w:t>From January 1, 2015 to August 31, 2017, ACM Research owned 62.87% of the equity interests of ACM Shanghai, with three non-controlling, unrelated investors holding the remainder. ACM Research acquired all of the non-controlling interests from minority investors in several transactions during 2017. Following these transactions, ACM Research owned 100% of the ACM Shanghai subsidiary.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158" w:lineRule="exact"/>
        <w:rPr>
          <w:sz w:val="20"/>
          <w:szCs w:val="20"/>
          <w:color w:val="auto"/>
        </w:rPr>
      </w:pPr>
    </w:p>
    <w:p>
      <w:pPr>
        <w:jc w:val="both"/>
        <w:ind w:left="660" w:hanging="328"/>
        <w:spacing w:after="0" w:line="25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and customer acceptance is received.</w:t>
      </w:r>
    </w:p>
    <w:p>
      <w:pPr>
        <w:ind w:left="660" w:right="340" w:hanging="328"/>
        <w:spacing w:after="0" w:line="300" w:lineRule="auto"/>
        <w:tabs>
          <w:tab w:leader="none" w:pos="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ind w:left="660" w:right="2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Shipments consist of two components:</w:t>
      </w:r>
    </w:p>
    <w:p>
      <w:pPr>
        <w:spacing w:after="0" w:line="15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previously-accepted, for which we recognize revenue when the tool is delivered; and</w:t>
      </w:r>
    </w:p>
    <w:p>
      <w:pPr>
        <w:spacing w:after="0" w:line="38" w:lineRule="exact"/>
        <w:rPr>
          <w:rFonts w:ascii="Arial" w:cs="Arial" w:eastAsia="Arial" w:hAnsi="Arial"/>
          <w:sz w:val="16"/>
          <w:szCs w:val="16"/>
          <w:color w:val="auto"/>
        </w:rPr>
      </w:pPr>
    </w:p>
    <w:p>
      <w:pPr>
        <w:ind w:left="660" w:right="240" w:hanging="328"/>
        <w:spacing w:after="0" w:line="361" w:lineRule="auto"/>
        <w:tabs>
          <w:tab w:leader="none" w:pos="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2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SAPS V tool to a customer that previously had received only SAPS II tools ─ or to a new customer that has never purchased any tool from us.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Shipments for the year ended December 31, 2018 totaled $95.1 million, as compared to $40.1 million of shipments in the year ended December 31,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right="180"/>
        <w:spacing w:after="0" w:line="256" w:lineRule="auto"/>
        <w:rPr>
          <w:sz w:val="20"/>
          <w:szCs w:val="20"/>
          <w:color w:val="auto"/>
        </w:rPr>
      </w:pPr>
      <w:r>
        <w:rPr>
          <w:rFonts w:ascii="Arial" w:cs="Arial" w:eastAsia="Arial" w:hAnsi="Arial"/>
          <w:sz w:val="18"/>
          <w:szCs w:val="18"/>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nearest GAAP equivalent. Some of these limitations are:</w:t>
      </w:r>
    </w:p>
    <w:p>
      <w:pPr>
        <w:spacing w:after="0" w:line="118" w:lineRule="exact"/>
        <w:rPr>
          <w:sz w:val="20"/>
          <w:szCs w:val="20"/>
          <w:color w:val="auto"/>
        </w:rPr>
      </w:pPr>
    </w:p>
    <w:p>
      <w:pPr>
        <w:ind w:left="660" w:right="360" w:hanging="328"/>
        <w:spacing w:after="0" w:line="25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ind w:left="660" w:right="2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32"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ind w:left="660" w:right="140" w:hanging="328"/>
        <w:spacing w:after="0" w:line="30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(loss), the most directly comparable GAAP financial measure, to adjusted EBITDA: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Data: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income (loss) attributable to ACM Research, Inc.</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6,574</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Adjusted EBITDA in 2018, as compared to $2.4 million in 2017 reflected principally an increase of $6.9 million in net income and $1.7 million increase in stock-based compensation.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operating activities, the most directly comparable GAAP financial measure, to free cash flow: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Data: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6,909</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Free cash flow in 2018, as compared to 2017, reflected the factors driving net cash provided by (used in) operating activities, principally increase in net income, accounts payable, advance from customers, and offset by increase in inventories, prepaid expenses. Consistent with our methodology for calculating adjusted EBITDA, we do not adjust free cash flow for the effects of PRC government subsidies, because we take those subsidies into account in incurring expenses and capital expenditures.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Adjusted operating income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5"/>
                <w:szCs w:val="15"/>
                <w:b w:val="1"/>
                <w:bCs w:val="1"/>
                <w:color w:val="auto"/>
                <w:w w:val="94"/>
              </w:rPr>
              <w:t>Year Ended December 31,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92"/>
              <w:spacing w:after="0" w:line="149" w:lineRule="exact"/>
              <w:rPr>
                <w:sz w:val="20"/>
                <w:szCs w:val="20"/>
                <w:color w:val="auto"/>
              </w:rPr>
            </w:pPr>
            <w:r>
              <w:rPr>
                <w:rFonts w:ascii="Arial" w:cs="Arial" w:eastAsia="Arial" w:hAnsi="Arial"/>
                <w:sz w:val="15"/>
                <w:szCs w:val="15"/>
                <w:b w:val="1"/>
                <w:bCs w:val="1"/>
                <w:color w:val="auto"/>
              </w:rPr>
              <w:t>Actual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5"/>
              <w:spacing w:after="0" w:line="149" w:lineRule="exact"/>
              <w:rPr>
                <w:sz w:val="20"/>
                <w:szCs w:val="20"/>
                <w:color w:val="auto"/>
              </w:rPr>
            </w:pPr>
            <w:r>
              <w:rPr>
                <w:rFonts w:ascii="Arial" w:cs="Arial" w:eastAsia="Arial" w:hAnsi="Arial"/>
                <w:sz w:val="15"/>
                <w:szCs w:val="15"/>
                <w:b w:val="1"/>
                <w:bCs w:val="1"/>
                <w:color w:val="auto"/>
                <w:w w:val="93"/>
              </w:rPr>
              <w:t>Adjusted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5"/>
                <w:szCs w:val="15"/>
                <w:b w:val="1"/>
                <w:bCs w:val="1"/>
                <w:color w:val="auto"/>
              </w:rPr>
              <w:t>Actual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5"/>
                <w:szCs w:val="15"/>
                <w:b w:val="1"/>
                <w:bCs w:val="1"/>
                <w:color w:val="auto"/>
                <w:w w:val="93"/>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74,643</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74,643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36,506</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(40,194)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(19,281)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(9,611)</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(9,491)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(10,380)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(7,987)</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(5,070)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(5,887)</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6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79"/>
              </w:rPr>
              <w:t>50</w:t>
            </w: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51" w:name="page52"/>
    <w:bookmarkEnd w:id="51"/>
    <w:p>
      <w:pPr>
        <w:ind w:right="160"/>
        <w:spacing w:after="0" w:line="422" w:lineRule="auto"/>
        <w:rPr>
          <w:sz w:val="20"/>
          <w:szCs w:val="20"/>
          <w:color w:val="auto"/>
        </w:rPr>
      </w:pPr>
      <w:r>
        <w:rPr>
          <w:rFonts w:ascii="Arial" w:cs="Arial" w:eastAsia="Arial" w:hAnsi="Arial"/>
          <w:sz w:val="18"/>
          <w:szCs w:val="18"/>
          <w:color w:val="auto"/>
        </w:rPr>
        <w:t xml:space="preserve">Adjusted operating income in 2018, as compared to 2017 reflected increases in operating income of $5.8 million and stock-based compensation of $1.7 million. </w:t>
      </w:r>
      <w:r>
        <w:rPr>
          <w:rFonts w:ascii="Arial" w:cs="Arial" w:eastAsia="Arial" w:hAnsi="Arial"/>
          <w:sz w:val="18"/>
          <w:szCs w:val="18"/>
          <w:b w:val="1"/>
          <w:bCs w:val="1"/>
          <w:color w:val="auto"/>
        </w:rPr>
        <w:t>Critical Accounting Policies and Significant Judgments and Estimates</w:t>
      </w:r>
    </w:p>
    <w:p>
      <w:pPr>
        <w:spacing w:after="0" w:line="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or ASU 2014-09, which amended the existing accounting standards for revenue recognition. ASU 2014-09 establishes principles for recognizing revenue upon the transfer of promised goods or services to customers, in an amount that reflects the expected consideration received in exchange for those goods or services. ASU 2014-09 and its related clarifying ASUs are effective for annual reporting periods beginning after December 15, 2017 and interim periods within those annual periods.</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 2018, we adopted ASC Topic 606, Revenue from Contracts with Customers, and all the related amendments, or the New Revenue Standard, to all contracts that were not completed as of January 1, 2018 using the modified retrospective method. We do not have open contracts that may result in any changes to revenues applying the New Revenue Standard.</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derive revenue principally from the sale of single-wafer wet cleaning equipment. Revenue from contracts with customers is recognized using the following five steps pursuant to the New Revenue Standard:</w:t>
      </w:r>
    </w:p>
    <w:p>
      <w:pPr>
        <w:spacing w:after="0" w:line="11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8"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we identify a bundle of goods or services that is distinct. Promises in contracts which do not result in the transfer of a good or service are not performance obligations, as well as those promises that are administrative in nature, or are immaterial in the context of the contract. We have addressed whether various goods and services promised to the customer represent distinct performance obligations. We applied the guidance of ASC Topic 606-10-25-16 through 18 in order to verify which promises should be assessed for classification as distinct performance obligations. Our contracts with customers include more than one performance obligation. For example, the delivery of a piece of equipment generally includes the promise to install the equipment in the customer’s facility. Our performance obligations in connection with a sale of equipment generally include production, delivery and installation, together with the provision of a warranty.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2" w:name="page53"/>
    <w:bookmarkEnd w:id="52"/>
    <w:p>
      <w:pPr>
        <w:ind w:right="120"/>
        <w:spacing w:after="0" w:line="310" w:lineRule="auto"/>
        <w:rPr>
          <w:sz w:val="20"/>
          <w:szCs w:val="20"/>
          <w:color w:val="auto"/>
        </w:rPr>
      </w:pPr>
      <w:r>
        <w:rPr>
          <w:rFonts w:ascii="Arial" w:cs="Arial" w:eastAsia="Arial" w:hAnsi="Arial"/>
          <w:sz w:val="15"/>
          <w:szCs w:val="15"/>
          <w:color w:val="auto"/>
        </w:rPr>
        <w:t>The transaction price is allocated to all the separate performance obligations in an arrangement. It reflects the amount of consideration to which we expect to be entitled in exchange for transferring goods or services, which may include an estimate of variable consideration to the extent that it is probable of not being subject to significant reversals in the future based on our experience with similar arrangements. The transaction price excludes amounts collected on behalf of third parties, such as sales taxes. This is done on a relative selling price basis using standalone selling prices, or SSP. The SSP represents the price at which we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our products were sold in stand-alone arrangements, we do not have observable SSPs for most performance obligations as they are not regularly sold on a standalone basis. Production, delivery and installation of a product, together with provision of a warranty, are a single unit of accounting.</w:t>
      </w:r>
    </w:p>
    <w:p>
      <w:pPr>
        <w:spacing w:after="0" w:line="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 revenue when we satisfy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198" w:lineRule="exact"/>
        <w:rPr>
          <w:sz w:val="20"/>
          <w:szCs w:val="20"/>
          <w:color w:val="auto"/>
        </w:rPr>
      </w:pPr>
    </w:p>
    <w:p>
      <w:pPr>
        <w:ind w:left="660" w:right="120" w:hanging="328"/>
        <w:spacing w:after="0" w:line="25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we can objectively demonstrate that the tool meets all of the required acceptance criteria;</w:t>
      </w:r>
    </w:p>
    <w:p>
      <w:pPr>
        <w:ind w:left="660" w:right="2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we can objectively demonstrate that the tool meets all of the required acceptance criteria;</w:t>
      </w:r>
    </w:p>
    <w:p>
      <w:pPr>
        <w:ind w:left="660" w:right="54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our sales arrangements do not include a general right of return.</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its revenue in the future. As such, we have concluded that its revenue recognition under the adoption of the New Revenue Standard will remain the same as previously reported and will not have material impacts to its consolidated financial statements.</w:t>
      </w:r>
    </w:p>
    <w:p>
      <w:pPr>
        <w:spacing w:after="0" w:line="12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incur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we expense sales commissions when incurred in accordance with the practical expedient in the New Revenue Standard when the underlying contract asset is less than one year. These costs are recorded within sales and marketing expenses.</w:t>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Generally, all contracts have expected durations of one year or less. Accordingly, we apply the practical expedient allowed in the New Revenue Standard and does not disclose information about remaining performance obligations that have original expected durations of one year or less.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do not incur any costs to fulfill the contracts with customers that are not already reported in compliance with another applicable standard (for example, inventory or plant, property and equipment).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197" w:lineRule="exact"/>
        <w:rPr>
          <w:sz w:val="20"/>
          <w:szCs w:val="20"/>
          <w:color w:val="auto"/>
        </w:rPr>
      </w:pPr>
    </w:p>
    <w:p>
      <w:pPr>
        <w:ind w:left="660" w:right="100" w:hanging="328"/>
        <w:spacing w:after="0" w:line="283"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Prior to our initial public offering in November 2017, or the IPO, the board of directors considered a number of objective and subjective factors to determine the best estimate of the fair value of our common stock. The factors included: contemporaneous third-party valuations of our common stock; the prices, rights, preferences and privileges of our preferred stock relative to the common stock; the prices of convertible preferred stock sold by us to third-party investors; our operating and financial results; the lack of marketability of our common stock; the U.S. and global economic and capital market conditions and outlook; and the likelihood of achieving a liquidity event for the shares of common stock underlying these stock options, such as an initial public offering or sale of our company, given prevailing market conditions. Since the IPO, we have used the market closing price for the Class A common stock as reported on the Nasdaq Global Market to determine the fair value of the Class A common stock.</w:t>
      </w: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risk-free interest rates for periods within the expected life of the option are based on the yields of zero-coupon U.S. Treasury securities.</w:t>
      </w:r>
    </w:p>
    <w:p>
      <w:pPr>
        <w:spacing w:after="0" w:line="32" w:lineRule="exact"/>
        <w:rPr>
          <w:rFonts w:ascii="Arial" w:cs="Arial" w:eastAsia="Arial" w:hAnsi="Arial"/>
          <w:sz w:val="16"/>
          <w:szCs w:val="16"/>
          <w:color w:val="auto"/>
        </w:rPr>
      </w:pPr>
    </w:p>
    <w:p>
      <w:pPr>
        <w:ind w:left="660" w:right="4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Due to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4" w:lineRule="exact"/>
        <w:rPr>
          <w:rFonts w:ascii="Arial" w:cs="Arial" w:eastAsia="Arial" w:hAnsi="Arial"/>
          <w:sz w:val="16"/>
          <w:szCs w:val="16"/>
          <w:color w:val="auto"/>
        </w:rPr>
      </w:pPr>
    </w:p>
    <w:p>
      <w:pPr>
        <w:ind w:left="660" w:right="12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1" w:lineRule="exact"/>
        <w:rPr>
          <w:rFonts w:ascii="Arial" w:cs="Arial" w:eastAsia="Arial" w:hAnsi="Arial"/>
          <w:sz w:val="16"/>
          <w:szCs w:val="16"/>
          <w:color w:val="auto"/>
        </w:rPr>
      </w:pPr>
    </w:p>
    <w:p>
      <w:pPr>
        <w:ind w:left="660" w:right="280" w:hanging="328"/>
        <w:spacing w:after="0" w:line="26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expected dividend yield is assumed to be 0%, based on the fact that we have never paid cash dividends and have no present intention to pay cash dividends.</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employee stock option grants made during the years ended December 31, 2018 and 2017, the weighted-average assumptions used in the Black-Scholes option pricing model to determine the fair value of those grants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720" w:type="dxa"/>
            <w:vAlign w:val="bottom"/>
            <w:tcBorders>
              <w:bottom w:val="single" w:sz="8" w:color="auto"/>
            </w:tcBorders>
            <w:gridSpan w:val="3"/>
          </w:tcPr>
          <w:p>
            <w:pPr>
              <w:ind w:left="1560"/>
              <w:spacing w:after="0"/>
              <w:rPr>
                <w:sz w:val="20"/>
                <w:szCs w:val="20"/>
                <w:color w:val="auto"/>
              </w:rPr>
            </w:pPr>
            <w:r>
              <w:rPr>
                <w:rFonts w:ascii="Arial" w:cs="Arial" w:eastAsia="Arial" w:hAnsi="Arial"/>
                <w:sz w:val="15"/>
                <w:szCs w:val="15"/>
                <w:b w:val="1"/>
                <w:bCs w:val="1"/>
                <w:color w:val="auto"/>
              </w:rPr>
              <w:t>Year Ended December 31,</w:t>
            </w: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2018</w:t>
            </w:r>
          </w:p>
        </w:tc>
        <w:tc>
          <w:tcPr>
            <w:tcW w:w="120" w:type="dxa"/>
            <w:vAlign w:val="bottom"/>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2017</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30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88"/>
              </w:rPr>
              <w:t>2.55%-2.96%</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2.21%-2.22%</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volatility</w:t>
            </w:r>
          </w:p>
        </w:tc>
        <w:tc>
          <w:tcPr>
            <w:tcW w:w="5300" w:type="dxa"/>
            <w:vAlign w:val="bottom"/>
            <w:gridSpan w:val="2"/>
          </w:tcPr>
          <w:p>
            <w:pPr>
              <w:jc w:val="center"/>
              <w:ind w:left="2952"/>
              <w:spacing w:after="0"/>
              <w:rPr>
                <w:sz w:val="20"/>
                <w:szCs w:val="20"/>
                <w:color w:val="auto"/>
              </w:rPr>
            </w:pPr>
            <w:r>
              <w:rPr>
                <w:rFonts w:ascii="Arial" w:cs="Arial" w:eastAsia="Arial" w:hAnsi="Arial"/>
                <w:sz w:val="18"/>
                <w:szCs w:val="18"/>
                <w:color w:val="auto"/>
                <w:w w:val="88"/>
              </w:rPr>
              <w:t>39.14%-43.00%</w:t>
            </w:r>
          </w:p>
        </w:tc>
        <w:tc>
          <w:tcPr>
            <w:tcW w:w="24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28.62%-29.18%</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30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1"/>
              </w:rPr>
              <w:t>6.25</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6.25</w:t>
            </w: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00" w:type="dxa"/>
            <w:vAlign w:val="bottom"/>
            <w:gridSpan w:val="2"/>
          </w:tcPr>
          <w:p>
            <w:pPr>
              <w:jc w:val="center"/>
              <w:ind w:left="2932"/>
              <w:spacing w:after="0"/>
              <w:rPr>
                <w:sz w:val="20"/>
                <w:szCs w:val="20"/>
                <w:color w:val="auto"/>
              </w:rPr>
            </w:pPr>
            <w:r>
              <w:rPr>
                <w:rFonts w:ascii="Arial" w:cs="Arial" w:eastAsia="Arial" w:hAnsi="Arial"/>
                <w:sz w:val="18"/>
                <w:szCs w:val="18"/>
                <w:color w:val="auto"/>
                <w:w w:val="92"/>
              </w:rPr>
              <w:t>0%</w:t>
            </w:r>
          </w:p>
        </w:tc>
        <w:tc>
          <w:tcPr>
            <w:tcW w:w="244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w:t>
            </w:r>
          </w:p>
        </w:tc>
      </w:tr>
      <w:tr>
        <w:trPr>
          <w:trHeight w:val="573"/>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53</w:t>
            </w:r>
          </w:p>
        </w:tc>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4" w:name="page55"/>
    <w:bookmarkEnd w:id="54"/>
    <w:p>
      <w:pPr>
        <w:ind w:right="200"/>
        <w:spacing w:after="0" w:line="268" w:lineRule="auto"/>
        <w:rPr>
          <w:sz w:val="20"/>
          <w:szCs w:val="20"/>
          <w:color w:val="auto"/>
        </w:rPr>
      </w:pPr>
      <w:r>
        <w:rPr>
          <w:rFonts w:ascii="Arial" w:cs="Arial" w:eastAsia="Arial" w:hAnsi="Arial"/>
          <w:sz w:val="18"/>
          <w:szCs w:val="18"/>
          <w:color w:val="auto"/>
        </w:rPr>
        <w:t>For non-employee stock option grants made during the years ended December 31, 2018 and 2017, the weighted-average assumptions used in the Black-Scholes option pricing model to determine the fair value of those grants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720" w:type="dxa"/>
            <w:vAlign w:val="bottom"/>
            <w:tcBorders>
              <w:bottom w:val="single" w:sz="8" w:color="auto"/>
            </w:tcBorders>
            <w:gridSpan w:val="3"/>
          </w:tcPr>
          <w:p>
            <w:pPr>
              <w:ind w:left="1560"/>
              <w:spacing w:after="0"/>
              <w:rPr>
                <w:sz w:val="20"/>
                <w:szCs w:val="20"/>
                <w:color w:val="auto"/>
              </w:rPr>
            </w:pPr>
            <w:r>
              <w:rPr>
                <w:rFonts w:ascii="Arial" w:cs="Arial" w:eastAsia="Arial" w:hAnsi="Arial"/>
                <w:sz w:val="15"/>
                <w:szCs w:val="15"/>
                <w:b w:val="1"/>
                <w:bCs w:val="1"/>
                <w:color w:val="auto"/>
              </w:rPr>
              <w:t>Year Ended December 31,</w:t>
            </w:r>
          </w:p>
        </w:tc>
      </w:tr>
      <w:tr>
        <w:trPr>
          <w:trHeight w:val="169"/>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2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3"/>
              </w:rPr>
              <w:t>2018</w:t>
            </w: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3"/>
              </w:rPr>
              <w:t>2017</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2.39%-2.94%</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1.62%-2.43%</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40.24%-45.48%</w:t>
            </w:r>
          </w:p>
        </w:tc>
        <w:tc>
          <w:tcPr>
            <w:tcW w:w="24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28.71% - 29.41%</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 in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2.58-5.36</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3.58-6.25</w:t>
            </w: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44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w:t>
            </w:r>
          </w:p>
        </w:tc>
      </w:tr>
    </w:tbl>
    <w:p>
      <w:pPr>
        <w:spacing w:after="0" w:line="13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summarizes by grant date the number of shares of common stock underlying stock options granted since January 1, 2017, as well as the associated per share exercise price and the estimated fair value per share of common stock on the grant date: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ind w:right="166"/>
              <w:spacing w:after="0"/>
              <w:rPr>
                <w:sz w:val="20"/>
                <w:szCs w:val="20"/>
                <w:color w:val="auto"/>
              </w:rPr>
            </w:pPr>
            <w:r>
              <w:rPr>
                <w:rFonts w:ascii="Arial" w:cs="Arial" w:eastAsia="Arial" w:hAnsi="Arial"/>
                <w:sz w:val="15"/>
                <w:szCs w:val="15"/>
                <w:b w:val="1"/>
                <w:bCs w:val="1"/>
                <w:color w:val="auto"/>
              </w:rPr>
              <w:t>Number of Common Shares</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80" w:type="dxa"/>
            <w:vAlign w:val="bottom"/>
            <w:gridSpan w:val="3"/>
          </w:tcPr>
          <w:p>
            <w:pPr>
              <w:ind w:left="40"/>
              <w:spacing w:after="0"/>
              <w:rPr>
                <w:sz w:val="20"/>
                <w:szCs w:val="20"/>
                <w:color w:val="auto"/>
              </w:rPr>
            </w:pPr>
            <w:r>
              <w:rPr>
                <w:rFonts w:ascii="Arial" w:cs="Arial" w:eastAsia="Arial" w:hAnsi="Arial"/>
                <w:sz w:val="15"/>
                <w:szCs w:val="15"/>
                <w:b w:val="1"/>
                <w:bCs w:val="1"/>
                <w:color w:val="auto"/>
              </w:rPr>
              <w:t>Estimated Fair Value per Common</w:t>
            </w:r>
          </w:p>
        </w:tc>
      </w:tr>
      <w:tr>
        <w:trPr>
          <w:trHeight w:val="182"/>
        </w:trPr>
        <w:tc>
          <w:tcPr>
            <w:tcW w:w="20" w:type="dxa"/>
            <w:vAlign w:val="bottom"/>
          </w:tcPr>
          <w:p>
            <w:pPr>
              <w:spacing w:after="0"/>
              <w:rPr>
                <w:sz w:val="15"/>
                <w:szCs w:val="15"/>
                <w:color w:val="auto"/>
              </w:rPr>
            </w:pPr>
          </w:p>
        </w:tc>
        <w:tc>
          <w:tcPr>
            <w:tcW w:w="284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Grant Dates</w:t>
            </w:r>
          </w:p>
        </w:tc>
        <w:tc>
          <w:tcPr>
            <w:tcW w:w="280" w:type="dxa"/>
            <w:vAlign w:val="bottom"/>
          </w:tcPr>
          <w:p>
            <w:pPr>
              <w:spacing w:after="0"/>
              <w:rPr>
                <w:sz w:val="15"/>
                <w:szCs w:val="15"/>
                <w:color w:val="auto"/>
              </w:rPr>
            </w:pPr>
          </w:p>
        </w:tc>
        <w:tc>
          <w:tcPr>
            <w:tcW w:w="2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Underlying Options Granted</w:t>
            </w:r>
          </w:p>
        </w:tc>
        <w:tc>
          <w:tcPr>
            <w:tcW w:w="580" w:type="dxa"/>
            <w:vAlign w:val="bottom"/>
          </w:tcPr>
          <w:p>
            <w:pPr>
              <w:spacing w:after="0"/>
              <w:rPr>
                <w:sz w:val="15"/>
                <w:szCs w:val="15"/>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89"/>
              </w:rPr>
              <w:t>Exercise Price per Common Share</w:t>
            </w:r>
          </w:p>
        </w:tc>
        <w:tc>
          <w:tcPr>
            <w:tcW w:w="5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74"/>
              <w:spacing w:after="0"/>
              <w:rPr>
                <w:sz w:val="20"/>
                <w:szCs w:val="20"/>
                <w:color w:val="auto"/>
              </w:rPr>
            </w:pPr>
            <w:r>
              <w:rPr>
                <w:rFonts w:ascii="Arial" w:cs="Arial" w:eastAsia="Arial" w:hAnsi="Arial"/>
                <w:sz w:val="15"/>
                <w:szCs w:val="15"/>
                <w:b w:val="1"/>
                <w:bCs w:val="1"/>
                <w:color w:val="auto"/>
              </w:rPr>
              <w:t>Share</w:t>
            </w:r>
          </w:p>
        </w:tc>
        <w:tc>
          <w:tcPr>
            <w:tcW w:w="2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May 1, 2015</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783,338</w:t>
            </w:r>
          </w:p>
        </w:tc>
        <w:tc>
          <w:tcPr>
            <w:tcW w:w="1560" w:type="dxa"/>
            <w:vAlign w:val="bottom"/>
            <w:gridSpan w:val="2"/>
            <w:shd w:val="clear" w:color="auto" w:fill="CCEEFF"/>
          </w:tcPr>
          <w:p>
            <w:pPr>
              <w:jc w:val="right"/>
              <w:ind w:right="82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346"/>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September 8, 2015</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263,335</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1,424,596</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March 9, 2017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33,334</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May 9, 2017</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183,335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2, 2017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120,002</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January 25, 2018</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August 1, 2018</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245,700</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13.85</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19"/>
                <w:szCs w:val="19"/>
                <w:color w:val="auto"/>
              </w:rPr>
            </w:pPr>
          </w:p>
        </w:tc>
      </w:tr>
    </w:tbl>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2018, the unrecognized compensation cost related to outstanding options was $2.4 million and is expected to be recognized as expense over a weighted-average of 1.62 years. As of December 31, 2017, the unrecognized compensation cost related to outstanding options was $729,000 and is expected to be recognized as expense over a weighted-average of 1.77 years.</w:t>
      </w:r>
    </w:p>
    <w:p>
      <w:pPr>
        <w:spacing w:after="0" w:line="127"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As of December 31, 2018, we had outstanding stock options to acquire an aggregate of 3,715,779 shares of Class A common stock with an intrinsic value of $27.1 million. Of those outstanding options, (a) 2,273,880 shares had vested as of December 31, 2018, representing an intrinsic value of $20.0 million and</w:t>
      </w: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1,441,899 shares were unvested, representing an intrinsic value of $7.1 million.</w:t>
      </w:r>
    </w:p>
    <w:p>
      <w:pPr>
        <w:spacing w:after="0" w:line="15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December 31, 2018 and 2017.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5" w:name="page56"/>
    <w:bookmarkEnd w:id="55"/>
    <w:p>
      <w:pPr>
        <w:ind w:right="40"/>
        <w:spacing w:after="0" w:line="370"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5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2018 and 2017.</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6" w:name="page57"/>
    <w:bookmarkEnd w:id="56"/>
    <w:p>
      <w:pPr>
        <w:ind w:right="60"/>
        <w:spacing w:after="0" w:line="256" w:lineRule="auto"/>
        <w:rPr>
          <w:sz w:val="20"/>
          <w:szCs w:val="20"/>
          <w:color w:val="auto"/>
        </w:rPr>
      </w:pPr>
      <w:r>
        <w:rPr>
          <w:rFonts w:ascii="Arial" w:cs="Arial" w:eastAsia="Arial" w:hAnsi="Arial"/>
          <w:sz w:val="18"/>
          <w:szCs w:val="18"/>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3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maintained a partial valuation allowance as of December 31, 2018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Our consolidated financial statements are presented in U.S. dollars, which is our reporting currency, while the functional currency of our subsidiaries in the PRC is RMB, and the functional currency of our subsidiary in Korea is the Korean Won.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0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a discussion of recent accounting pronouncements impacting our company, see Note 2 in the Notes to Consolidated Financial Statements include herein under “Item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gridSpan w:val="5"/>
          </w:tcPr>
          <w:p>
            <w:pPr>
              <w:ind w:left="4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ACM Research, Inc.</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420" w:type="dxa"/>
            <w:vAlign w:val="bottom"/>
            <w:tcBorders>
              <w:top w:val="single" w:sz="8" w:color="CCEEFF"/>
            </w:tcBorders>
          </w:tcPr>
          <w:p>
            <w:pPr>
              <w:ind w:left="320"/>
              <w:spacing w:after="0"/>
              <w:rPr>
                <w:sz w:val="20"/>
                <w:szCs w:val="20"/>
                <w:color w:val="auto"/>
              </w:rPr>
            </w:pPr>
            <w:r>
              <w:rPr>
                <w:rFonts w:ascii="Arial" w:cs="Arial" w:eastAsia="Arial" w:hAnsi="Arial"/>
                <w:sz w:val="18"/>
                <w:szCs w:val="18"/>
                <w:b w:val="1"/>
                <w:bCs w:val="1"/>
                <w:i w:val="1"/>
                <w:iCs w:val="1"/>
                <w:color w:val="auto"/>
              </w:rPr>
              <w:t>Comparison of Year Ended December 31, 2018 and 2017</w:t>
            </w:r>
          </w:p>
        </w:tc>
        <w:tc>
          <w:tcPr>
            <w:tcW w:w="2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400"/>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3"/>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0"/>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2018 v 2017</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left="380"/>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Revenue for the year ended December 31, 2018 compared to the year ended December 31, 2017 increased by $38.1 million. The increase was due to a $41.4 million increase in revenue from single-wafer wet cleaning tools to our front-end customers, offset in part by a $3.2 million decline in revenue of tools to our back-end customers. Our revenue for 2018 compared to 2017 reflected significant growth for three of our large front-end customers, partly offset by a decline at one front-end and one back-end customer.</w:t>
      </w: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b w:val="1"/>
          <w:bCs w:val="1"/>
          <w:color w:val="auto"/>
        </w:rPr>
        <w:t>Cost of Revenue and Gross Margin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398"/>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ind w:left="200"/>
              <w:spacing w:after="0"/>
              <w:rPr>
                <w:sz w:val="20"/>
                <w:szCs w:val="20"/>
                <w:color w:val="auto"/>
              </w:rPr>
            </w:pPr>
            <w:r>
              <w:rPr>
                <w:rFonts w:ascii="Arial" w:cs="Arial" w:eastAsia="Arial" w:hAnsi="Arial"/>
                <w:sz w:val="15"/>
                <w:szCs w:val="15"/>
                <w:b w:val="1"/>
                <w:bCs w:val="1"/>
                <w:color w:val="auto"/>
              </w:rPr>
              <w:t>% Change</w:t>
            </w:r>
          </w:p>
        </w:tc>
      </w:tr>
      <w:tr>
        <w:trPr>
          <w:trHeight w:val="169"/>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8"/>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6"/>
              <w:spacing w:after="0" w:line="162" w:lineRule="exact"/>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98"/>
              <w:spacing w:after="0" w:line="162" w:lineRule="exact"/>
              <w:rPr>
                <w:sz w:val="20"/>
                <w:szCs w:val="20"/>
                <w:color w:val="auto"/>
              </w:rPr>
            </w:pPr>
            <w:r>
              <w:rPr>
                <w:rFonts w:ascii="Arial" w:cs="Arial" w:eastAsia="Arial" w:hAnsi="Arial"/>
                <w:sz w:val="15"/>
                <w:szCs w:val="15"/>
                <w:b w:val="1"/>
                <w:bCs w:val="1"/>
                <w:color w:val="auto"/>
              </w:rPr>
              <w:t>2018 v 2017</w:t>
            </w:r>
          </w:p>
        </w:tc>
        <w:tc>
          <w:tcPr>
            <w:tcW w:w="200" w:type="dxa"/>
            <w:vAlign w:val="bottom"/>
            <w:gridSpan w:val="2"/>
          </w:tcPr>
          <w:p>
            <w:pPr>
              <w:spacing w:after="0"/>
              <w:rPr>
                <w:sz w:val="14"/>
                <w:szCs w:val="14"/>
                <w:color w:val="auto"/>
              </w:rPr>
            </w:pPr>
          </w:p>
        </w:tc>
      </w:tr>
      <w:tr>
        <w:trPr>
          <w:trHeight w:val="241"/>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left="378"/>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34,449</w:t>
            </w:r>
          </w:p>
        </w:tc>
        <w:tc>
          <w:tcPr>
            <w:tcW w:w="26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17,225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bl>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Cost of revenue increased $20.9 million, and gross profit increased $17.2 million, for the year ended December 31, 2018 compared to 2017, reflecting the growth in sales. Gross margin decreased by 100 basis points primarily due to sales of relatively lower-margin tools to new customers for the year ended December 31, 2018. The higher margin in 2017 was primarily due to one system manufactured under the government subsidies (see “—Key Components of Results of Operations—PRC Government Research and Development Funding”), which were sold for the amounts of $1.6 million for the years ended December 31, 2017. Costs associated with these systems were recorded as research and development expenses as the relevant product development on these systems was applied to future systems.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Expenses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397"/>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169"/>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b w:val="1"/>
                <w:bCs w:val="1"/>
                <w:color w:val="auto"/>
              </w:rPr>
              <w:t>2018 v 2017</w:t>
            </w:r>
          </w:p>
        </w:tc>
        <w:tc>
          <w:tcPr>
            <w:tcW w:w="140" w:type="dxa"/>
            <w:vAlign w:val="bottom"/>
          </w:tcPr>
          <w:p>
            <w:pPr>
              <w:spacing w:after="0"/>
              <w:rPr>
                <w:sz w:val="14"/>
                <w:szCs w:val="14"/>
                <w:color w:val="auto"/>
              </w:rPr>
            </w:pPr>
          </w:p>
        </w:tc>
      </w:tr>
      <w:tr>
        <w:trPr>
          <w:trHeight w:val="241"/>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left="377"/>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27,978</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16,525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69%</w:t>
            </w:r>
          </w:p>
        </w:tc>
      </w:tr>
    </w:tbl>
    <w:p>
      <w:pPr>
        <w:spacing w:after="0" w:line="13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$4.1 million for the year ended December 31, 2018 as compared in 2017, primarily due to an increase in employee count,</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sales commissions.</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$5.2 million for the year ended December 31, 2018 as compared to 2017, primarily due to an increase 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count, salaries and research and development parts. Research and development expense represented 13.9% and 14.1% of our revenue in 2018 and 2017, respectively. Without reduction by grant amounts received from PRC governmental authorities (see “—Key Components of Results of Operations—PRC Government Research and Development Funding”), gross research and development expense totaled $11.9 million, or 15.9% of revenue, in 2018 and $8.6 million, or 23.4% of revenue, in 2017.</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$2.1 million for the year ended December 31, 2018 as compared to 2017, principally resulting from increases of</w:t>
      </w:r>
      <w:r>
        <w:rPr>
          <w:rFonts w:ascii="Arial" w:cs="Arial" w:eastAsia="Arial" w:hAnsi="Arial"/>
          <w:sz w:val="18"/>
          <w:szCs w:val="18"/>
          <w:i w:val="1"/>
          <w:iCs w:val="1"/>
          <w:color w:val="auto"/>
        </w:rPr>
        <w:t xml:space="preserve"> </w:t>
      </w:r>
      <w:r>
        <w:rPr>
          <w:rFonts w:ascii="Arial" w:cs="Arial" w:eastAsia="Arial" w:hAnsi="Arial"/>
          <w:sz w:val="18"/>
          <w:szCs w:val="18"/>
          <w:color w:val="auto"/>
        </w:rPr>
        <w:t>$1.4 million in stock-based compensation expense and $523,000 in personnel-related costs.</w:t>
      </w: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b w:val="1"/>
          <w:bCs w:val="1"/>
          <w:color w:val="auto"/>
        </w:rPr>
        <w:t>Other Income and Expenses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74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7"/>
              <w:spacing w:after="0" w:line="162" w:lineRule="exact"/>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2018 v 2017</w:t>
            </w:r>
          </w:p>
        </w:tc>
        <w:tc>
          <w:tcPr>
            <w:tcW w:w="200" w:type="dxa"/>
            <w:vAlign w:val="bottom"/>
            <w:gridSpan w:val="2"/>
          </w:tcPr>
          <w:p>
            <w:pPr>
              <w:spacing w:after="0"/>
              <w:rPr>
                <w:sz w:val="14"/>
                <w:szCs w:val="14"/>
                <w:color w:val="auto"/>
              </w:rPr>
            </w:pPr>
          </w:p>
        </w:tc>
      </w:tr>
      <w:tr>
        <w:trPr>
          <w:trHeight w:val="241"/>
        </w:trPr>
        <w:tc>
          <w:tcPr>
            <w:tcW w:w="7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(258)%</w:t>
            </w:r>
          </w:p>
        </w:tc>
      </w:tr>
    </w:tbl>
    <w:p>
      <w:pPr>
        <w:spacing w:after="0" w:line="13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Interest expense consists of interest incurred from outstanding short-term borrowings. Interest expense increased to $469,000 in 2018 from $268,000 in 2017, principally as a result of increased borrowings under short-term bank loans. We earn interest income from depositary accounts. Interest income was nominal in 2018 and 2017.</w:t>
      </w:r>
    </w:p>
    <w:p>
      <w:pPr>
        <w:spacing w:after="0" w:line="275" w:lineRule="exact"/>
        <w:rPr>
          <w:sz w:val="20"/>
          <w:szCs w:val="20"/>
          <w:color w:val="auto"/>
        </w:rPr>
      </w:pPr>
    </w:p>
    <w:p>
      <w:pPr>
        <w:jc w:val="both"/>
        <w:ind w:right="340"/>
        <w:spacing w:after="0" w:line="298" w:lineRule="auto"/>
        <w:rPr>
          <w:sz w:val="20"/>
          <w:szCs w:val="20"/>
          <w:color w:val="auto"/>
        </w:rPr>
      </w:pPr>
      <w:r>
        <w:rPr>
          <w:rFonts w:ascii="Arial" w:cs="Arial" w:eastAsia="Arial" w:hAnsi="Arial"/>
          <w:sz w:val="16"/>
          <w:szCs w:val="16"/>
          <w:color w:val="auto"/>
        </w:rPr>
        <w:t>Other income (expense), net primarily reflects (a) gains or losses recognized from the effect of exchange rates on our foreign currency-denominated asset and liability balances and (b) depreciation of assets acquired with government subsidies, as described under “—Key Components of Results of Operations—PRC Government Research and Development Funding” above. Our other income was $1.3 million in 2018 due primarily to a weaker RMB to U.S. dollar exchange rate, compared to a $794,000 loss in 2017 due to a stronger RMB to U.S. dollar exchange rate.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 Benefit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income tax expense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federal</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U.S. state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deferred income (expense) benefit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income tax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December 22, 2017, the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w:t>
      </w:r>
    </w:p>
    <w:p>
      <w:pPr>
        <w:spacing w:after="0" w:line="9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2018.</w:t>
      </w:r>
    </w:p>
    <w:p>
      <w:pPr>
        <w:spacing w:after="0" w:line="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PRC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3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bookmarkStart w:id="60" w:name="page61"/>
    <w:bookmarkEnd w:id="60"/>
    <w:p>
      <w:pPr>
        <w:ind w:right="400"/>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During the year ended December 31, 2018, we funded our technology development and operations principally through issuance of an additional series of convertible preferred stock, short-term borrowings by ACM Shanghai from local financial institutions, and application of proceeds of the IPO and concurrent private placements in November 2017. During the year ended December 31, 2018, we funded our technology development and operations principally through application of proceeds of the IPO and concurrent private placements, operating cash flow, and short-term borrowings by ACM Shanghai from local financial institutions.</w:t>
      </w:r>
    </w:p>
    <w:p>
      <w:pPr>
        <w:spacing w:after="0" w:line="1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believe our existing cash and cash equivalents, our cash flow from operating activities, and short-term bank borrowings by ACM Shanghai will be sufficient to meet our anticipated cash needs for at least the next twelve months from the issuance date of financial statement.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Cash Flow from Operating Activities. </w:t>
      </w:r>
      <w:r>
        <w:rPr>
          <w:rFonts w:ascii="Arial" w:cs="Arial" w:eastAsia="Arial" w:hAnsi="Arial"/>
          <w:sz w:val="18"/>
          <w:szCs w:val="18"/>
          <w:color w:val="auto"/>
        </w:rPr>
        <w:t>Our operations provided cash flow of $6.9 million in 2018. Our cash flow from operating activities is influenced by (a)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we invest in personnel and technology development to support anticipated future growth in our business, (b) increases in the number of customers using our products, and (c) the amount and timing of payments by customers.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458"/>
              <w:spacing w:after="0"/>
              <w:rPr>
                <w:sz w:val="20"/>
                <w:szCs w:val="20"/>
                <w:color w:val="auto"/>
              </w:rPr>
            </w:pPr>
            <w:r>
              <w:rPr>
                <w:rFonts w:ascii="Arial" w:cs="Arial" w:eastAsia="Arial" w:hAnsi="Arial"/>
                <w:sz w:val="15"/>
                <w:szCs w:val="15"/>
                <w:b w:val="1"/>
                <w:bCs w:val="1"/>
                <w:color w:val="auto"/>
              </w:rPr>
              <w:t>Maximum</w:t>
            </w:r>
          </w:p>
        </w:tc>
        <w:tc>
          <w:tcPr>
            <w:tcW w:w="136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438"/>
              <w:spacing w:after="0" w:line="162" w:lineRule="exact"/>
              <w:rPr>
                <w:sz w:val="20"/>
                <w:szCs w:val="20"/>
                <w:color w:val="auto"/>
              </w:rPr>
            </w:pPr>
            <w:r>
              <w:rPr>
                <w:rFonts w:ascii="Arial" w:cs="Arial" w:eastAsia="Arial" w:hAnsi="Arial"/>
                <w:sz w:val="15"/>
                <w:szCs w:val="15"/>
                <w:b w:val="1"/>
                <w:bCs w:val="1"/>
                <w:color w:val="auto"/>
              </w:rPr>
              <w:t>Borrowing</w:t>
            </w:r>
          </w:p>
        </w:tc>
        <w:tc>
          <w:tcPr>
            <w:tcW w:w="13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89"/>
              </w:rPr>
              <w:t>Amount Outstanding</w:t>
            </w:r>
          </w:p>
        </w:tc>
      </w:tr>
      <w:tr>
        <w:trPr>
          <w:trHeight w:val="182"/>
        </w:trPr>
        <w:tc>
          <w:tcPr>
            <w:tcW w:w="4000" w:type="dxa"/>
            <w:vAlign w:val="bottom"/>
            <w:tcBorders>
              <w:bottom w:val="single" w:sz="8" w:color="auto"/>
            </w:tcBorders>
          </w:tcPr>
          <w:p>
            <w:pPr>
              <w:ind w:left="1760"/>
              <w:spacing w:after="0"/>
              <w:rPr>
                <w:sz w:val="20"/>
                <w:szCs w:val="20"/>
                <w:color w:val="auto"/>
              </w:rPr>
            </w:pPr>
            <w:r>
              <w:rPr>
                <w:rFonts w:ascii="Arial" w:cs="Arial" w:eastAsia="Arial" w:hAnsi="Arial"/>
                <w:sz w:val="15"/>
                <w:szCs w:val="15"/>
                <w:b w:val="1"/>
                <w:bCs w:val="1"/>
                <w:color w:val="auto"/>
              </w:rPr>
              <w:t>Lender</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Agreement Date</w:t>
            </w: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Maturity Date</w:t>
            </w:r>
          </w:p>
        </w:tc>
        <w:tc>
          <w:tcPr>
            <w:tcW w:w="100" w:type="dxa"/>
            <w:vAlign w:val="bottom"/>
          </w:tcPr>
          <w:p>
            <w:pPr>
              <w:spacing w:after="0"/>
              <w:rPr>
                <w:sz w:val="15"/>
                <w:szCs w:val="15"/>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90"/>
              </w:rPr>
              <w:t>Annual Interest Rate</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Amount(1)</w:t>
            </w: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at December 31, 2018</w:t>
            </w: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i w:val="1"/>
                <w:iCs w:val="1"/>
                <w:color w:val="auto"/>
              </w:rPr>
              <w:t>(in</w:t>
            </w:r>
          </w:p>
        </w:tc>
        <w:tc>
          <w:tcPr>
            <w:tcW w:w="1540" w:type="dxa"/>
            <w:vAlign w:val="bottom"/>
            <w:gridSpan w:val="2"/>
          </w:tcPr>
          <w:p>
            <w:pPr>
              <w:jc w:val="right"/>
              <w:ind w:right="855"/>
              <w:spacing w:after="0"/>
              <w:rPr>
                <w:sz w:val="20"/>
                <w:szCs w:val="20"/>
                <w:color w:val="auto"/>
              </w:rPr>
            </w:pPr>
            <w:r>
              <w:rPr>
                <w:rFonts w:ascii="Arial" w:cs="Arial" w:eastAsia="Arial" w:hAnsi="Arial"/>
                <w:sz w:val="16"/>
                <w:szCs w:val="16"/>
                <w:i w:val="1"/>
                <w:iCs w:val="1"/>
                <w:color w:val="auto"/>
                <w:w w:val="73"/>
              </w:rPr>
              <w:t>thousands)</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Bank of China Pudong Branch</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August 2019</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15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RMB30,000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RMB30,000</w:t>
            </w:r>
          </w:p>
        </w:tc>
      </w:tr>
      <w:tr>
        <w:trPr>
          <w:trHeight w:val="216"/>
        </w:trPr>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$4,372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r>
      <w:tr>
        <w:trPr>
          <w:trHeight w:val="208"/>
        </w:trPr>
        <w:tc>
          <w:tcPr>
            <w:tcW w:w="4000" w:type="dxa"/>
            <w:vAlign w:val="bottom"/>
          </w:tcPr>
          <w:p>
            <w:pPr>
              <w:spacing w:after="0"/>
              <w:rPr>
                <w:sz w:val="20"/>
                <w:szCs w:val="20"/>
                <w:color w:val="auto"/>
              </w:rPr>
            </w:pPr>
            <w:r>
              <w:rPr>
                <w:rFonts w:ascii="Arial" w:cs="Arial" w:eastAsia="Arial" w:hAnsi="Arial"/>
                <w:sz w:val="18"/>
                <w:szCs w:val="18"/>
                <w:color w:val="auto"/>
              </w:rPr>
              <w:t>Bank of Shanghai Pudong Branch</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February 2018</w:t>
            </w:r>
          </w:p>
        </w:tc>
        <w:tc>
          <w:tcPr>
            <w:tcW w:w="1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January 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5.15%</w:t>
            </w:r>
          </w:p>
        </w:tc>
        <w:tc>
          <w:tcPr>
            <w:tcW w:w="1540" w:type="dxa"/>
            <w:vAlign w:val="bottom"/>
            <w:gridSpan w:val="2"/>
          </w:tcPr>
          <w:p>
            <w:pPr>
              <w:jc w:val="right"/>
              <w:ind w:right="98"/>
              <w:spacing w:after="0"/>
              <w:rPr>
                <w:sz w:val="20"/>
                <w:szCs w:val="20"/>
                <w:color w:val="auto"/>
              </w:rPr>
            </w:pPr>
            <w:r>
              <w:rPr>
                <w:rFonts w:ascii="Arial" w:cs="Arial" w:eastAsia="Arial" w:hAnsi="Arial"/>
                <w:sz w:val="18"/>
                <w:szCs w:val="18"/>
                <w:color w:val="auto"/>
              </w:rPr>
              <w:t>RMB50,000</w:t>
            </w:r>
          </w:p>
        </w:tc>
        <w:tc>
          <w:tcPr>
            <w:tcW w:w="1360" w:type="dxa"/>
            <w:vAlign w:val="bottom"/>
          </w:tcPr>
          <w:p>
            <w:pPr>
              <w:jc w:val="right"/>
              <w:spacing w:after="0"/>
              <w:rPr>
                <w:sz w:val="20"/>
                <w:szCs w:val="20"/>
                <w:color w:val="auto"/>
              </w:rPr>
            </w:pPr>
            <w:r>
              <w:rPr>
                <w:rFonts w:ascii="Arial" w:cs="Arial" w:eastAsia="Arial" w:hAnsi="Arial"/>
                <w:sz w:val="18"/>
                <w:szCs w:val="18"/>
                <w:color w:val="auto"/>
              </w:rPr>
              <w:t>RMB24,836</w:t>
            </w:r>
          </w:p>
        </w:tc>
      </w:tr>
      <w:tr>
        <w:trPr>
          <w:trHeight w:val="222"/>
        </w:trPr>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98"/>
              <w:spacing w:after="0"/>
              <w:rPr>
                <w:sz w:val="20"/>
                <w:szCs w:val="20"/>
                <w:color w:val="auto"/>
              </w:rPr>
            </w:pPr>
            <w:r>
              <w:rPr>
                <w:rFonts w:ascii="Arial" w:cs="Arial" w:eastAsia="Arial" w:hAnsi="Arial"/>
                <w:sz w:val="18"/>
                <w:szCs w:val="18"/>
                <w:color w:val="auto"/>
              </w:rPr>
              <w:t>$7,800</w:t>
            </w:r>
          </w:p>
        </w:tc>
        <w:tc>
          <w:tcPr>
            <w:tcW w:w="1360" w:type="dxa"/>
            <w:vAlign w:val="bottom"/>
          </w:tcPr>
          <w:p>
            <w:pPr>
              <w:jc w:val="right"/>
              <w:spacing w:after="0"/>
              <w:rPr>
                <w:sz w:val="20"/>
                <w:szCs w:val="20"/>
                <w:color w:val="auto"/>
              </w:rPr>
            </w:pPr>
            <w:r>
              <w:rPr>
                <w:rFonts w:ascii="Arial" w:cs="Arial" w:eastAsia="Arial" w:hAnsi="Arial"/>
                <w:sz w:val="18"/>
                <w:szCs w:val="18"/>
                <w:color w:val="auto"/>
              </w:rPr>
              <w:t>$3,618</w:t>
            </w: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Shanghai Rural Commercial Bank</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2019</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5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RMB10,000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RMB10,000</w:t>
            </w:r>
          </w:p>
        </w:tc>
      </w:tr>
      <w:tr>
        <w:trPr>
          <w:trHeight w:val="216"/>
        </w:trPr>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$1,457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08"/>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98"/>
              <w:spacing w:after="0"/>
              <w:rPr>
                <w:sz w:val="20"/>
                <w:szCs w:val="20"/>
                <w:color w:val="auto"/>
              </w:rPr>
            </w:pPr>
            <w:r>
              <w:rPr>
                <w:rFonts w:ascii="Arial" w:cs="Arial" w:eastAsia="Arial" w:hAnsi="Arial"/>
                <w:sz w:val="18"/>
                <w:szCs w:val="18"/>
                <w:color w:val="auto"/>
              </w:rPr>
              <w:t>RMB90,000</w:t>
            </w:r>
          </w:p>
        </w:tc>
        <w:tc>
          <w:tcPr>
            <w:tcW w:w="1360" w:type="dxa"/>
            <w:vAlign w:val="bottom"/>
          </w:tcPr>
          <w:p>
            <w:pPr>
              <w:jc w:val="right"/>
              <w:spacing w:after="0"/>
              <w:rPr>
                <w:sz w:val="20"/>
                <w:szCs w:val="20"/>
                <w:color w:val="auto"/>
              </w:rPr>
            </w:pPr>
            <w:r>
              <w:rPr>
                <w:rFonts w:ascii="Arial" w:cs="Arial" w:eastAsia="Arial" w:hAnsi="Arial"/>
                <w:sz w:val="18"/>
                <w:szCs w:val="18"/>
                <w:color w:val="auto"/>
              </w:rPr>
              <w:t>RMB64,836</w:t>
            </w:r>
          </w:p>
        </w:tc>
      </w:tr>
      <w:tr>
        <w:trPr>
          <w:trHeight w:val="222"/>
        </w:trPr>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98"/>
              <w:spacing w:after="0"/>
              <w:rPr>
                <w:sz w:val="20"/>
                <w:szCs w:val="20"/>
                <w:color w:val="auto"/>
              </w:rPr>
            </w:pPr>
            <w:r>
              <w:rPr>
                <w:rFonts w:ascii="Arial" w:cs="Arial" w:eastAsia="Arial" w:hAnsi="Arial"/>
                <w:sz w:val="18"/>
                <w:szCs w:val="18"/>
                <w:color w:val="auto"/>
              </w:rPr>
              <w:t>$13,629</w:t>
            </w:r>
          </w:p>
        </w:tc>
        <w:tc>
          <w:tcPr>
            <w:tcW w:w="1360" w:type="dxa"/>
            <w:vAlign w:val="bottom"/>
          </w:tcPr>
          <w:p>
            <w:pPr>
              <w:jc w:val="right"/>
              <w:spacing w:after="0"/>
              <w:rPr>
                <w:sz w:val="20"/>
                <w:szCs w:val="20"/>
                <w:color w:val="auto"/>
              </w:rPr>
            </w:pPr>
            <w:r>
              <w:rPr>
                <w:rFonts w:ascii="Arial" w:cs="Arial" w:eastAsia="Arial" w:hAnsi="Arial"/>
                <w:sz w:val="18"/>
                <w:szCs w:val="18"/>
                <w:color w:val="auto"/>
              </w:rPr>
              <w:t>$9,447</w:t>
            </w:r>
          </w:p>
        </w:tc>
      </w:tr>
    </w:tbl>
    <w:p>
      <w:pPr>
        <w:spacing w:after="0" w:line="23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Equity and Equity-Related Securities</w:t>
      </w:r>
      <w:r>
        <w:rPr>
          <w:rFonts w:ascii="Arial" w:cs="Arial" w:eastAsia="Arial" w:hAnsi="Arial"/>
          <w:sz w:val="18"/>
          <w:szCs w:val="18"/>
          <w:color w:val="auto"/>
        </w:rPr>
        <w:t>. During year ended on December 31, 2018, we received proceeds of $528,000 from sales of common stock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Converted from RMB to dollars as of December 31,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1" w:name="page62"/>
    <w:bookmarkEnd w:id="61"/>
    <w:p>
      <w:pPr>
        <w:jc w:val="both"/>
        <w:ind w:right="40"/>
        <w:spacing w:after="0" w:line="256"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and guaranteed by Dr. David Wang (“Dr. Wang”), our Chair of the Board, Chief Executive Officer, President and Chair of the Board. All of the amounts owing under the lines of credit with Bank of Shanghai Pudong Branch are guaranteed by Dr. Wang. All of the amounts owing under the line of credit with Shanghai Rural Commercial Bank are secured by accounts receivable and guaranteed by Dr. Wang.</w:t>
      </w:r>
    </w:p>
    <w:p>
      <w:pPr>
        <w:spacing w:after="0" w:line="13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Government Research and Development Grants. As described under “—Key Components of Results of Operations—PRC Government Research and Development Funding,” ACM Shanghai has received research and development grants from local and central PRC governmental authorities. ACM Shanghai received $200,000 of such grants in 2018 as compared to $2.5 million of such grants in 2017.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working capital information:</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10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5"/>
                <w:szCs w:val="15"/>
                <w:color w:val="auto"/>
              </w:rPr>
            </w:pPr>
          </w:p>
        </w:tc>
      </w:tr>
      <w:tr>
        <w:trPr>
          <w:trHeight w:val="241"/>
        </w:trPr>
        <w:tc>
          <w:tcPr>
            <w:tcW w:w="10200" w:type="dxa"/>
            <w:vAlign w:val="bottom"/>
          </w:tcPr>
          <w:p>
            <w:pPr>
              <w:spacing w:after="0"/>
              <w:rPr>
                <w:sz w:val="20"/>
                <w:szCs w:val="2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87"/>
              </w:rPr>
              <w:t>(in thousands)</w:t>
            </w:r>
          </w:p>
        </w:tc>
      </w:tr>
      <w:tr>
        <w:trPr>
          <w:trHeight w:val="218"/>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24,608</w:t>
            </w:r>
          </w:p>
        </w:tc>
        <w:tc>
          <w:tcPr>
            <w:tcW w:w="140" w:type="dxa"/>
            <w:vAlign w:val="bottom"/>
          </w:tcPr>
          <w:p>
            <w:pPr>
              <w:spacing w:after="0"/>
              <w:rPr>
                <w:sz w:val="18"/>
                <w:szCs w:val="18"/>
                <w:color w:val="auto"/>
              </w:rPr>
            </w:pPr>
          </w:p>
        </w:tc>
      </w:tr>
      <w:tr>
        <w:trPr>
          <w:trHeight w:val="223"/>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020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90,496</w:t>
            </w:r>
          </w:p>
        </w:tc>
        <w:tc>
          <w:tcPr>
            <w:tcW w:w="140" w:type="dxa"/>
            <w:vAlign w:val="bottom"/>
          </w:tcPr>
          <w:p>
            <w:pPr>
              <w:spacing w:after="0"/>
              <w:rPr>
                <w:sz w:val="18"/>
                <w:szCs w:val="18"/>
                <w:color w:val="auto"/>
              </w:rPr>
            </w:pPr>
          </w:p>
        </w:tc>
      </w:tr>
      <w:tr>
        <w:trPr>
          <w:trHeight w:val="21"/>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cash and cash equivalents at December 31, 2018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0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Uses of Funds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incurred $2.1 million capital expenditures in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 of December 31, 2018 and 2017, we did not have any significant off-balance sheet arrangements, as defined in Item 303(a)(4)(ii) of Regulation S-K of the Securities and Exchange Commission, except the lease commitment described in above “Contractual Obligations and Requirements.”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5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20" w:type="dxa"/>
            <w:vAlign w:val="bottom"/>
          </w:tcPr>
          <w:p>
            <w:pPr>
              <w:ind w:left="266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and Comprehensive Income (Loss) for the Years ended 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Consolidated Statements of Changes in Redeemable Convertible Preferred Stock and Stockholders’ Equity (Deficit) for the Years ended</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226060</wp:posOffset>
            </wp:positionV>
            <wp:extent cx="5848985" cy="574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7467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ACM Research, Inc. (the “Company”) and subsidiaries as of December 31, 2018 and 2017, the related consolidated statements of operations and comprehensive income (loss), changes in redeemable convertible preferred stock and stockholders’ equity (deficit),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and subsidiaries at December 31, 2018 and 2017, and the results of their operations and their cash flows for each of the two years in the period ended December 31, 2018</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5" w:name="page66"/>
    <w:bookmarkEnd w:id="65"/>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BDO China Shu Lun Pan Certified Public Accountants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w w:val="84"/>
              </w:rPr>
              <w:t>(in thousands,</w:t>
            </w:r>
          </w:p>
        </w:tc>
        <w:tc>
          <w:tcPr>
            <w:tcW w:w="1360" w:type="dxa"/>
            <w:vAlign w:val="bottom"/>
            <w:gridSpan w:val="3"/>
          </w:tcPr>
          <w:p>
            <w:pPr>
              <w:jc w:val="right"/>
              <w:ind w:right="33"/>
              <w:spacing w:after="0"/>
              <w:rPr>
                <w:sz w:val="20"/>
                <w:szCs w:val="20"/>
                <w:color w:val="auto"/>
              </w:rPr>
            </w:pPr>
            <w:r>
              <w:rPr>
                <w:rFonts w:ascii="Arial" w:cs="Arial" w:eastAsia="Arial" w:hAnsi="Arial"/>
                <w:sz w:val="18"/>
                <w:szCs w:val="18"/>
                <w:i w:val="1"/>
                <w:iCs w:val="1"/>
                <w:color w:val="auto"/>
                <w:w w:val="88"/>
              </w:rPr>
              <w:t>except share and</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per share data)</w:t>
            </w: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Accounts receivable, less allowance for doubtful accounts of $0 and $0 as of December 31, 2018 and 2017, respectively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(note 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 (note 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38,764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(note 15)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 equity method (note 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103,047</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29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borrowings (note 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Warrant liability (note 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16,673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Advances from customers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payables and accrued expenses (note 7)</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46,140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(note 9)</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 Class A, par value $0.0001: 100,000,000 shares authorized as of December 31, 2018 and 2017.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14,110,315 shares issued and outstanding as of December 31, 2018 and 12,935,546 shares issued and outstanding as of</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(note 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Common stock–Class B, par value $0.0001: 7,303,533 shares authorized as of December 31, 2018 and 2017. 1,898,423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w w:val="89"/>
              </w:rPr>
              <w:t>shares issued and outstanding as of December 31, 2018 and 2,409,738 shares issued and outstanding as of December 31,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2017 (note 13)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(3,387)</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(9,961)</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(857)</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52,324</w:t>
            </w:r>
          </w:p>
        </w:tc>
        <w:tc>
          <w:tcPr>
            <w:tcW w:w="2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w w:val="82"/>
              </w:rPr>
              <w:t>( In thousands,</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w w:val="91"/>
              </w:rPr>
              <w:t>except share and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per share data)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 net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(note 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(979)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attributable to non-controlling interests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Total comprehensive income (loss) attributable to ACM Research, Inc. (note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5,595</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 attributable to ACM, Inc. per common share (note 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Weighted average common shares outstanding used in computing per share amounts (note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15,788,460</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6,865,390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Diluted</w:t>
            </w:r>
          </w:p>
        </w:tc>
        <w:tc>
          <w:tcPr>
            <w:tcW w:w="1100" w:type="dxa"/>
            <w:vAlign w:val="bottom"/>
          </w:tcPr>
          <w:p>
            <w:pPr>
              <w:jc w:val="right"/>
              <w:spacing w:after="0"/>
              <w:rPr>
                <w:sz w:val="20"/>
                <w:szCs w:val="20"/>
                <w:color w:val="auto"/>
              </w:rPr>
            </w:pPr>
            <w:r>
              <w:rPr>
                <w:rFonts w:ascii="Arial" w:cs="Arial" w:eastAsia="Arial" w:hAnsi="Arial"/>
                <w:sz w:val="18"/>
                <w:szCs w:val="18"/>
                <w:color w:val="auto"/>
              </w:rPr>
              <w:t>17,912,105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6,865,390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12"/>
          </w:tcPr>
          <w:p>
            <w:pPr>
              <w:ind w:left="260"/>
              <w:spacing w:after="0"/>
              <w:rPr>
                <w:sz w:val="20"/>
                <w:szCs w:val="20"/>
                <w:color w:val="auto"/>
              </w:rPr>
            </w:pPr>
            <w:r>
              <w:rPr>
                <w:rFonts w:ascii="Arial" w:cs="Arial" w:eastAsia="Arial" w:hAnsi="Arial"/>
                <w:sz w:val="9"/>
                <w:szCs w:val="9"/>
                <w:b w:val="1"/>
                <w:bCs w:val="1"/>
                <w:color w:val="auto"/>
              </w:rPr>
              <w:t>Redeemable Convertible Preferred Stock</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940" w:type="dxa"/>
            <w:vAlign w:val="bottom"/>
            <w:gridSpan w:val="40"/>
          </w:tcPr>
          <w:p>
            <w:pPr>
              <w:spacing w:after="0"/>
              <w:rPr>
                <w:sz w:val="20"/>
                <w:szCs w:val="20"/>
                <w:color w:val="auto"/>
              </w:rPr>
            </w:pPr>
            <w:r>
              <w:rPr>
                <w:rFonts w:ascii="Arial" w:cs="Arial" w:eastAsia="Arial" w:hAnsi="Arial"/>
                <w:sz w:val="9"/>
                <w:szCs w:val="9"/>
                <w:b w:val="1"/>
                <w:bCs w:val="1"/>
                <w:color w:val="auto"/>
              </w:rPr>
              <w:t>Common</w:t>
            </w:r>
          </w:p>
        </w:tc>
        <w:tc>
          <w:tcPr>
            <w:tcW w:w="3520" w:type="dxa"/>
            <w:vAlign w:val="bottom"/>
            <w:gridSpan w:val="20"/>
          </w:tcPr>
          <w:p>
            <w:pPr>
              <w:jc w:val="center"/>
              <w:ind w:right="2720"/>
              <w:spacing w:after="0"/>
              <w:rPr>
                <w:sz w:val="20"/>
                <w:szCs w:val="20"/>
                <w:color w:val="auto"/>
              </w:rPr>
            </w:pPr>
            <w:r>
              <w:rPr>
                <w:rFonts w:ascii="Arial" w:cs="Arial" w:eastAsia="Arial" w:hAnsi="Arial"/>
                <w:sz w:val="9"/>
                <w:szCs w:val="9"/>
                <w:b w:val="1"/>
                <w:bCs w:val="1"/>
                <w:color w:val="auto"/>
                <w:w w:val="92"/>
              </w:rPr>
              <w:t>Common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gridSpan w:val="3"/>
          </w:tcPr>
          <w:p>
            <w:pPr>
              <w:ind w:left="220"/>
              <w:spacing w:after="0"/>
              <w:rPr>
                <w:sz w:val="20"/>
                <w:szCs w:val="20"/>
                <w:color w:val="auto"/>
              </w:rPr>
            </w:pPr>
            <w:r>
              <w:rPr>
                <w:rFonts w:ascii="Arial" w:cs="Arial" w:eastAsia="Arial" w:hAnsi="Arial"/>
                <w:sz w:val="9"/>
                <w:szCs w:val="9"/>
                <w:b w:val="1"/>
                <w:bCs w:val="1"/>
                <w:color w:val="auto"/>
                <w:w w:val="94"/>
              </w:rPr>
              <w:t>Series 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ind w:left="240"/>
              <w:spacing w:after="0"/>
              <w:rPr>
                <w:sz w:val="20"/>
                <w:szCs w:val="20"/>
                <w:color w:val="auto"/>
              </w:rPr>
            </w:pPr>
            <w:r>
              <w:rPr>
                <w:rFonts w:ascii="Arial" w:cs="Arial" w:eastAsia="Arial" w:hAnsi="Arial"/>
                <w:sz w:val="9"/>
                <w:szCs w:val="9"/>
                <w:b w:val="1"/>
                <w:bCs w:val="1"/>
                <w:color w:val="auto"/>
              </w:rPr>
              <w:t>Series B</w:t>
            </w:r>
          </w:p>
        </w:tc>
        <w:tc>
          <w:tcPr>
            <w:tcW w:w="880" w:type="dxa"/>
            <w:vAlign w:val="bottom"/>
            <w:gridSpan w:val="5"/>
          </w:tcPr>
          <w:p>
            <w:pPr>
              <w:ind w:left="240"/>
              <w:spacing w:after="0"/>
              <w:rPr>
                <w:sz w:val="20"/>
                <w:szCs w:val="20"/>
                <w:color w:val="auto"/>
              </w:rPr>
            </w:pPr>
            <w:r>
              <w:rPr>
                <w:rFonts w:ascii="Arial" w:cs="Arial" w:eastAsia="Arial" w:hAnsi="Arial"/>
                <w:sz w:val="9"/>
                <w:szCs w:val="9"/>
                <w:b w:val="1"/>
                <w:bCs w:val="1"/>
                <w:color w:val="auto"/>
              </w:rPr>
              <w:t>Series C</w:t>
            </w:r>
          </w:p>
        </w:tc>
        <w:tc>
          <w:tcPr>
            <w:tcW w:w="880" w:type="dxa"/>
            <w:vAlign w:val="bottom"/>
            <w:gridSpan w:val="5"/>
          </w:tcPr>
          <w:p>
            <w:pPr>
              <w:ind w:left="220"/>
              <w:spacing w:after="0"/>
              <w:rPr>
                <w:sz w:val="20"/>
                <w:szCs w:val="20"/>
                <w:color w:val="auto"/>
              </w:rPr>
            </w:pPr>
            <w:r>
              <w:rPr>
                <w:rFonts w:ascii="Arial" w:cs="Arial" w:eastAsia="Arial" w:hAnsi="Arial"/>
                <w:sz w:val="9"/>
                <w:szCs w:val="9"/>
                <w:b w:val="1"/>
                <w:bCs w:val="1"/>
                <w:color w:val="auto"/>
              </w:rPr>
              <w:t>Series D</w:t>
            </w:r>
          </w:p>
        </w:tc>
        <w:tc>
          <w:tcPr>
            <w:tcW w:w="88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rPr>
              <w:t>Series E</w:t>
            </w:r>
          </w:p>
        </w:tc>
        <w:tc>
          <w:tcPr>
            <w:tcW w:w="900" w:type="dxa"/>
            <w:vAlign w:val="bottom"/>
            <w:gridSpan w:val="5"/>
          </w:tcPr>
          <w:p>
            <w:pPr>
              <w:ind w:left="260"/>
              <w:spacing w:after="0"/>
              <w:rPr>
                <w:sz w:val="20"/>
                <w:szCs w:val="20"/>
                <w:color w:val="auto"/>
              </w:rPr>
            </w:pPr>
            <w:r>
              <w:rPr>
                <w:rFonts w:ascii="Arial" w:cs="Arial" w:eastAsia="Arial" w:hAnsi="Arial"/>
                <w:sz w:val="9"/>
                <w:szCs w:val="9"/>
                <w:b w:val="1"/>
                <w:bCs w:val="1"/>
                <w:color w:val="auto"/>
              </w:rPr>
              <w:t>Series 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left="73"/>
              <w:spacing w:after="0"/>
              <w:rPr>
                <w:sz w:val="20"/>
                <w:szCs w:val="20"/>
                <w:color w:val="auto"/>
              </w:rPr>
            </w:pPr>
            <w:r>
              <w:rPr>
                <w:rFonts w:ascii="Arial" w:cs="Arial" w:eastAsia="Arial" w:hAnsi="Arial"/>
                <w:sz w:val="9"/>
                <w:szCs w:val="9"/>
                <w:b w:val="1"/>
                <w:bCs w:val="1"/>
                <w:color w:val="auto"/>
                <w:w w:val="89"/>
              </w:rPr>
              <w:t>Stock Class 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left="53"/>
              <w:spacing w:after="0"/>
              <w:rPr>
                <w:sz w:val="20"/>
                <w:szCs w:val="20"/>
                <w:color w:val="auto"/>
              </w:rPr>
            </w:pPr>
            <w:r>
              <w:rPr>
                <w:rFonts w:ascii="Arial" w:cs="Arial" w:eastAsia="Arial" w:hAnsi="Arial"/>
                <w:sz w:val="9"/>
                <w:szCs w:val="9"/>
                <w:b w:val="1"/>
                <w:bCs w:val="1"/>
                <w:color w:val="auto"/>
                <w:w w:val="93"/>
              </w:rPr>
              <w:t>Stock Class 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20" w:type="dxa"/>
            <w:vAlign w:val="bottom"/>
            <w:gridSpan w:val="2"/>
          </w:tcPr>
          <w:p>
            <w:pPr>
              <w:spacing w:after="0"/>
              <w:rPr>
                <w:sz w:val="8"/>
                <w:szCs w:val="8"/>
                <w:color w:val="auto"/>
              </w:rPr>
            </w:pPr>
          </w:p>
        </w:tc>
        <w:tc>
          <w:tcPr>
            <w:tcW w:w="78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gridSpan w:val="4"/>
          </w:tcPr>
          <w:p>
            <w:pPr>
              <w:spacing w:after="0"/>
              <w:rPr>
                <w:sz w:val="8"/>
                <w:szCs w:val="8"/>
                <w:color w:val="auto"/>
              </w:rPr>
            </w:pPr>
          </w:p>
        </w:tc>
        <w:tc>
          <w:tcPr>
            <w:tcW w:w="520" w:type="dxa"/>
            <w:vAlign w:val="bottom"/>
            <w:gridSpan w:val="4"/>
          </w:tcPr>
          <w:p>
            <w:pPr>
              <w:spacing w:after="0"/>
              <w:rPr>
                <w:sz w:val="8"/>
                <w:szCs w:val="8"/>
                <w:color w:val="auto"/>
              </w:rPr>
            </w:pPr>
          </w:p>
        </w:tc>
        <w:tc>
          <w:tcPr>
            <w:tcW w:w="82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2720" w:type="dxa"/>
            <w:vAlign w:val="bottom"/>
            <w:gridSpan w:val="16"/>
          </w:tcPr>
          <w:p>
            <w:pPr>
              <w:spacing w:after="0"/>
              <w:rPr>
                <w:sz w:val="20"/>
                <w:szCs w:val="20"/>
                <w:color w:val="auto"/>
              </w:rPr>
            </w:pPr>
            <w:r>
              <w:rPr>
                <w:rFonts w:ascii="Arial" w:cs="Arial" w:eastAsia="Arial" w:hAnsi="Arial"/>
                <w:sz w:val="9"/>
                <w:szCs w:val="9"/>
                <w:b w:val="1"/>
                <w:bCs w:val="1"/>
                <w:color w:val="auto"/>
              </w:rPr>
              <w:t>Accumulated</w:t>
            </w:r>
          </w:p>
        </w:tc>
        <w:tc>
          <w:tcPr>
            <w:tcW w:w="0" w:type="dxa"/>
            <w:vAlign w:val="bottom"/>
          </w:tcPr>
          <w:p>
            <w:pPr>
              <w:spacing w:after="0"/>
              <w:rPr>
                <w:sz w:val="1"/>
                <w:szCs w:val="1"/>
                <w:color w:val="auto"/>
              </w:rPr>
            </w:pPr>
          </w:p>
        </w:tc>
      </w:tr>
      <w:tr>
        <w:trPr>
          <w:trHeight w:val="108"/>
        </w:trPr>
        <w:tc>
          <w:tcPr>
            <w:tcW w:w="10960" w:type="dxa"/>
            <w:vAlign w:val="bottom"/>
            <w:gridSpan w:val="58"/>
          </w:tcPr>
          <w:p>
            <w:pPr>
              <w:spacing w:after="0"/>
              <w:rPr>
                <w:sz w:val="20"/>
                <w:szCs w:val="20"/>
                <w:color w:val="auto"/>
              </w:rPr>
            </w:pPr>
            <w:r>
              <w:rPr>
                <w:rFonts w:ascii="Arial" w:cs="Arial" w:eastAsia="Arial" w:hAnsi="Arial"/>
                <w:sz w:val="9"/>
                <w:szCs w:val="9"/>
                <w:b w:val="1"/>
                <w:bCs w:val="1"/>
                <w:color w:val="auto"/>
              </w:rPr>
              <w:t>Other</w:t>
            </w: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10"/>
          </w:tcPr>
          <w:p>
            <w:pPr>
              <w:ind w:left="20"/>
              <w:spacing w:after="0"/>
              <w:rPr>
                <w:sz w:val="20"/>
                <w:szCs w:val="20"/>
                <w:color w:val="auto"/>
              </w:rPr>
            </w:pPr>
            <w:r>
              <w:rPr>
                <w:rFonts w:ascii="Arial" w:cs="Arial" w:eastAsia="Arial" w:hAnsi="Arial"/>
                <w:sz w:val="9"/>
                <w:szCs w:val="9"/>
                <w:b w:val="1"/>
                <w:bCs w:val="1"/>
                <w:color w:val="auto"/>
                <w:w w:val="95"/>
              </w:rPr>
              <w:t>Additional Accumulated Comprehensive</w:t>
            </w:r>
          </w:p>
        </w:tc>
        <w:tc>
          <w:tcPr>
            <w:tcW w:w="3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87"/>
              </w:rPr>
              <w:t>Non-</w:t>
            </w:r>
          </w:p>
        </w:tc>
        <w:tc>
          <w:tcPr>
            <w:tcW w:w="560" w:type="dxa"/>
            <w:vAlign w:val="bottom"/>
            <w:gridSpan w:val="3"/>
          </w:tcPr>
          <w:p>
            <w:pPr>
              <w:spacing w:after="0"/>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jc w:val="right"/>
              <w:ind w:right="33"/>
              <w:spacing w:after="0"/>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9"/>
                <w:szCs w:val="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5"/>
              </w:rPr>
              <w:t>Income</w:t>
            </w:r>
          </w:p>
        </w:tc>
        <w:tc>
          <w:tcPr>
            <w:tcW w:w="80" w:type="dxa"/>
            <w:vAlign w:val="bottom"/>
          </w:tcPr>
          <w:p>
            <w:pPr>
              <w:spacing w:after="0"/>
              <w:rPr>
                <w:sz w:val="9"/>
                <w:szCs w:val="9"/>
                <w:color w:val="auto"/>
              </w:rPr>
            </w:pPr>
          </w:p>
        </w:tc>
        <w:tc>
          <w:tcPr>
            <w:tcW w:w="520" w:type="dxa"/>
            <w:vAlign w:val="bottom"/>
            <w:gridSpan w:val="2"/>
          </w:tcPr>
          <w:p>
            <w:pPr>
              <w:ind w:left="40"/>
              <w:spacing w:after="0"/>
              <w:rPr>
                <w:sz w:val="20"/>
                <w:szCs w:val="20"/>
                <w:color w:val="auto"/>
              </w:rPr>
            </w:pPr>
            <w:r>
              <w:rPr>
                <w:rFonts w:ascii="Arial" w:cs="Arial" w:eastAsia="Arial" w:hAnsi="Arial"/>
                <w:sz w:val="9"/>
                <w:szCs w:val="9"/>
                <w:b w:val="1"/>
                <w:bCs w:val="1"/>
                <w:color w:val="auto"/>
              </w:rPr>
              <w:t>Income</w:t>
            </w:r>
          </w:p>
        </w:tc>
        <w:tc>
          <w:tcPr>
            <w:tcW w:w="460" w:type="dxa"/>
            <w:vAlign w:val="bottom"/>
            <w:gridSpan w:val="3"/>
          </w:tcPr>
          <w:p>
            <w:pPr>
              <w:ind w:left="20"/>
              <w:spacing w:after="0"/>
              <w:rPr>
                <w:sz w:val="20"/>
                <w:szCs w:val="20"/>
                <w:color w:val="auto"/>
              </w:rPr>
            </w:pPr>
            <w:r>
              <w:rPr>
                <w:rFonts w:ascii="Arial" w:cs="Arial" w:eastAsia="Arial" w:hAnsi="Arial"/>
                <w:sz w:val="9"/>
                <w:szCs w:val="9"/>
                <w:b w:val="1"/>
                <w:bCs w:val="1"/>
                <w:color w:val="auto"/>
                <w:w w:val="90"/>
              </w:rPr>
              <w:t>controlling</w:t>
            </w:r>
          </w:p>
        </w:tc>
        <w:tc>
          <w:tcPr>
            <w:tcW w:w="60" w:type="dxa"/>
            <w:vAlign w:val="bottom"/>
          </w:tcPr>
          <w:p>
            <w:pPr>
              <w:spacing w:after="0"/>
              <w:rPr>
                <w:sz w:val="9"/>
                <w:szCs w:val="9"/>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96"/>
              </w:rPr>
              <w:t>shares</w:t>
            </w:r>
          </w:p>
        </w:tc>
        <w:tc>
          <w:tcPr>
            <w:tcW w:w="420" w:type="dxa"/>
            <w:vAlign w:val="bottom"/>
            <w:gridSpan w:val="3"/>
          </w:tcPr>
          <w:p>
            <w:pPr>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9"/>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9"/>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2160" w:type="dxa"/>
            <w:vAlign w:val="bottom"/>
            <w:gridSpan w:val="12"/>
          </w:tcPr>
          <w:p>
            <w:pPr>
              <w:jc w:val="right"/>
              <w:spacing w:after="0"/>
              <w:rPr>
                <w:sz w:val="20"/>
                <w:szCs w:val="20"/>
                <w:color w:val="auto"/>
              </w:rPr>
            </w:pPr>
            <w:r>
              <w:rPr>
                <w:rFonts w:ascii="Arial" w:cs="Arial" w:eastAsia="Arial" w:hAnsi="Arial"/>
                <w:sz w:val="9"/>
                <w:szCs w:val="9"/>
                <w:b w:val="1"/>
                <w:bCs w:val="1"/>
                <w:color w:val="auto"/>
              </w:rPr>
              <w:t>Shares   Amount  Amount   Shares   Amount</w:t>
            </w:r>
          </w:p>
        </w:tc>
        <w:tc>
          <w:tcPr>
            <w:tcW w:w="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9"/>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Capital</w:t>
            </w:r>
          </w:p>
        </w:tc>
        <w:tc>
          <w:tcPr>
            <w:tcW w:w="6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89"/>
              </w:rPr>
              <w:t>(Deficit)</w:t>
            </w:r>
          </w:p>
        </w:tc>
        <w:tc>
          <w:tcPr>
            <w:tcW w:w="80" w:type="dxa"/>
            <w:vAlign w:val="bottom"/>
          </w:tcPr>
          <w:p>
            <w:pPr>
              <w:spacing w:after="0"/>
              <w:rPr>
                <w:sz w:val="11"/>
                <w:szCs w:val="11"/>
                <w:color w:val="auto"/>
              </w:rPr>
            </w:pPr>
          </w:p>
        </w:tc>
        <w:tc>
          <w:tcPr>
            <w:tcW w:w="520" w:type="dxa"/>
            <w:vAlign w:val="bottom"/>
            <w:gridSpan w:val="2"/>
          </w:tcPr>
          <w:p>
            <w:pPr>
              <w:ind w:left="40"/>
              <w:spacing w:after="0"/>
              <w:rPr>
                <w:sz w:val="20"/>
                <w:szCs w:val="20"/>
                <w:color w:val="auto"/>
              </w:rPr>
            </w:pPr>
            <w:r>
              <w:rPr>
                <w:rFonts w:ascii="Arial" w:cs="Arial" w:eastAsia="Arial" w:hAnsi="Arial"/>
                <w:sz w:val="9"/>
                <w:szCs w:val="9"/>
                <w:b w:val="1"/>
                <w:bCs w:val="1"/>
                <w:color w:val="auto"/>
              </w:rPr>
              <w:t>(Loss)</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Interest</w:t>
            </w:r>
          </w:p>
        </w:tc>
        <w:tc>
          <w:tcPr>
            <w:tcW w:w="60" w:type="dxa"/>
            <w:vAlign w:val="bottom"/>
          </w:tcPr>
          <w:p>
            <w:pPr>
              <w:spacing w:after="0"/>
              <w:rPr>
                <w:sz w:val="11"/>
                <w:szCs w:val="11"/>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5"/>
              </w:rPr>
              <w:t>(Deficit)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tcBorders>
            <w:gridSpan w:val="2"/>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Borders>
              <w:top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top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w w:val="97"/>
              </w:rPr>
              <w:t>Balance at December 31, 2016</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385,000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1,572,000</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1,572</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1,360,962</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1,326,642</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4,975</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9"/>
              </w:rPr>
              <w:t>3,663,254</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9,158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18,034</w:t>
            </w:r>
          </w:p>
        </w:tc>
        <w:tc>
          <w:tcPr>
            <w:tcW w:w="780" w:type="dxa"/>
            <w:vAlign w:val="bottom"/>
            <w:tcBorders>
              <w:left w:val="single" w:sz="8" w:color="CCEEFF"/>
            </w:tcBorders>
            <w:gridSpan w:val="4"/>
            <w:shd w:val="clear" w:color="auto" w:fill="CCEEFF"/>
          </w:tcPr>
          <w:p>
            <w:pPr>
              <w:ind w:left="120"/>
              <w:spacing w:after="0"/>
              <w:rPr>
                <w:sz w:val="20"/>
                <w:szCs w:val="20"/>
                <w:color w:val="auto"/>
              </w:rPr>
            </w:pPr>
            <w:r>
              <w:rPr>
                <w:rFonts w:ascii="Arial" w:cs="Arial" w:eastAsia="Arial" w:hAnsi="Arial"/>
                <w:sz w:val="9"/>
                <w:szCs w:val="9"/>
                <w:color w:val="auto"/>
              </w:rPr>
              <w:t>2,228,740 $</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2,409,738</w:t>
            </w:r>
          </w:p>
        </w:tc>
        <w:tc>
          <w:tcPr>
            <w:tcW w:w="26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7,620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(9,643)</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(413)</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4,919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2,485</w:t>
            </w: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Arial" w:cs="Arial" w:eastAsia="Arial" w:hAnsi="Arial"/>
                <w:sz w:val="9"/>
                <w:szCs w:val="9"/>
                <w:color w:val="auto"/>
              </w:rPr>
              <w:t>Net loss</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(318)</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9"/>
                <w:szCs w:val="9"/>
                <w:color w:val="auto"/>
              </w:rPr>
              <w:t>(554)</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(872)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Foreign currency translation</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adjustment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10"/>
                <w:szCs w:val="10"/>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535</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720</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Arial" w:cs="Arial" w:eastAsia="Arial" w:hAnsi="Arial"/>
                <w:sz w:val="9"/>
                <w:szCs w:val="9"/>
                <w:color w:val="auto"/>
              </w:rPr>
              <w:t>Exercise of stock option</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spacing w:after="0"/>
              <w:rPr>
                <w:sz w:val="20"/>
                <w:szCs w:val="20"/>
                <w:color w:val="auto"/>
              </w:rPr>
            </w:pPr>
            <w:r>
              <w:rPr>
                <w:rFonts w:ascii="Arial" w:cs="Arial" w:eastAsia="Arial" w:hAnsi="Arial"/>
                <w:sz w:val="9"/>
                <w:szCs w:val="9"/>
                <w:color w:val="auto"/>
              </w:rPr>
              <w:t>472,887</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396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396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Stock-based compensation</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9"/>
                <w:szCs w:val="9"/>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1,622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1,622</w:t>
            </w: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Purchase of non-controlling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interest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9"/>
                <w:szCs w:val="9"/>
                <w:color w:val="auto"/>
                <w:w w:val="95"/>
              </w:rPr>
              <w:t>(16,258)</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9"/>
                <w:szCs w:val="9"/>
                <w:color w:val="auto"/>
              </w:rPr>
              <w:t>(4,550)</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(20,808)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Issuance of Series E Preferred</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Stock</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4,998,508</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5,800</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5,800</w:t>
            </w:r>
          </w:p>
        </w:tc>
        <w:tc>
          <w:tcPr>
            <w:tcW w:w="80" w:type="dxa"/>
            <w:vAlign w:val="bottom"/>
            <w:tcBorders>
              <w:left w:val="single" w:sz="8" w:color="CCEEFF"/>
            </w:tcBorders>
            <w:shd w:val="clear" w:color="auto" w:fill="CCEEFF"/>
          </w:tcPr>
          <w:p>
            <w:pPr>
              <w:spacing w:after="0"/>
              <w:rPr>
                <w:sz w:val="10"/>
                <w:szCs w:val="10"/>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Issuance of Common Stock to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Ninebell</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spacing w:after="0"/>
              <w:rPr>
                <w:sz w:val="20"/>
                <w:szCs w:val="20"/>
                <w:color w:val="auto"/>
              </w:rPr>
            </w:pPr>
            <w:r>
              <w:rPr>
                <w:rFonts w:ascii="Arial" w:cs="Arial" w:eastAsia="Arial" w:hAnsi="Arial"/>
                <w:sz w:val="9"/>
                <w:szCs w:val="9"/>
                <w:color w:val="auto"/>
              </w:rPr>
              <w:t>133,334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Issuance of Common Stock to</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Shanghai and Pudong VC</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9"/>
                <w:szCs w:val="9"/>
                <w:color w:val="auto"/>
                <w:w w:val="94"/>
              </w:rPr>
              <w:t>1,906,674</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14,299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14,299</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Convertible preferred shares</w:t>
            </w:r>
          </w:p>
        </w:tc>
        <w:tc>
          <w:tcPr>
            <w:tcW w:w="0" w:type="dxa"/>
            <w:vAlign w:val="bottom"/>
          </w:tcPr>
          <w:p>
            <w:pPr>
              <w:spacing w:after="0"/>
              <w:rPr>
                <w:sz w:val="1"/>
                <w:szCs w:val="1"/>
                <w:color w:val="auto"/>
              </w:rPr>
            </w:pPr>
          </w:p>
        </w:tc>
      </w:tr>
      <w:tr>
        <w:trPr>
          <w:trHeight w:val="108"/>
        </w:trPr>
        <w:tc>
          <w:tcPr>
            <w:tcW w:w="11460" w:type="dxa"/>
            <w:vAlign w:val="bottom"/>
            <w:gridSpan w:val="60"/>
          </w:tcPr>
          <w:p>
            <w:pPr>
              <w:spacing w:after="0"/>
              <w:rPr>
                <w:sz w:val="20"/>
                <w:szCs w:val="20"/>
                <w:color w:val="auto"/>
              </w:rPr>
            </w:pPr>
            <w:r>
              <w:rPr>
                <w:rFonts w:ascii="Arial" w:cs="Arial" w:eastAsia="Arial" w:hAnsi="Arial"/>
                <w:sz w:val="9"/>
                <w:szCs w:val="9"/>
                <w:color w:val="auto"/>
              </w:rPr>
              <w:t>converted to common shares</w:t>
            </w:r>
          </w:p>
        </w:tc>
        <w:tc>
          <w:tcPr>
            <w:tcW w:w="0" w:type="dxa"/>
            <w:vAlign w:val="bottom"/>
          </w:tcPr>
          <w:p>
            <w:pPr>
              <w:spacing w:after="0"/>
              <w:rPr>
                <w:sz w:val="1"/>
                <w:szCs w:val="1"/>
                <w:color w:val="auto"/>
              </w:rPr>
            </w:pPr>
          </w:p>
        </w:tc>
      </w:tr>
      <w:tr>
        <w:trPr>
          <w:trHeight w:val="108"/>
        </w:trPr>
        <w:tc>
          <w:tcPr>
            <w:tcW w:w="11460" w:type="dxa"/>
            <w:vAlign w:val="bottom"/>
            <w:gridSpan w:val="60"/>
          </w:tcPr>
          <w:p>
            <w:pPr>
              <w:spacing w:after="0"/>
              <w:rPr>
                <w:sz w:val="20"/>
                <w:szCs w:val="20"/>
                <w:color w:val="auto"/>
              </w:rPr>
            </w:pPr>
            <w:r>
              <w:rPr>
                <w:rFonts w:ascii="Arial" w:cs="Arial" w:eastAsia="Arial" w:hAnsi="Arial"/>
                <w:sz w:val="9"/>
                <w:szCs w:val="9"/>
                <w:color w:val="auto"/>
              </w:rPr>
              <w:t>in connection with initial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public offering</w:t>
            </w:r>
          </w:p>
        </w:tc>
        <w:tc>
          <w:tcPr>
            <w:tcW w:w="440" w:type="dxa"/>
            <w:vAlign w:val="bottom"/>
            <w:gridSpan w:val="2"/>
          </w:tcPr>
          <w:p>
            <w:pPr>
              <w:jc w:val="right"/>
              <w:ind w:right="60"/>
              <w:spacing w:after="0"/>
              <w:rPr>
                <w:sz w:val="20"/>
                <w:szCs w:val="20"/>
                <w:color w:val="auto"/>
              </w:rPr>
            </w:pPr>
            <w:r>
              <w:rPr>
                <w:rFonts w:ascii="Arial" w:cs="Arial" w:eastAsia="Arial" w:hAnsi="Arial"/>
                <w:sz w:val="9"/>
                <w:szCs w:val="9"/>
                <w:color w:val="auto"/>
                <w:w w:val="93"/>
              </w:rPr>
              <w:t>(385,000)</w:t>
            </w:r>
          </w:p>
        </w:tc>
        <w:tc>
          <w:tcPr>
            <w:tcW w:w="140" w:type="dxa"/>
            <w:vAlign w:val="bottom"/>
          </w:tcPr>
          <w:p>
            <w:pPr>
              <w:spacing w:after="0"/>
              <w:rPr>
                <w:sz w:val="10"/>
                <w:szCs w:val="1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9"/>
                <w:szCs w:val="9"/>
                <w:color w:val="auto"/>
                <w:w w:val="94"/>
              </w:rPr>
              <w:t>(288)</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(1,572,000)</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(1,572)</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(1,360,962)</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(2,041)</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(1,326,642)</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(4,975)</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(4,998,508)</w:t>
            </w:r>
          </w:p>
        </w:tc>
        <w:tc>
          <w:tcPr>
            <w:tcW w:w="8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(5,800)</w:t>
            </w:r>
          </w:p>
        </w:tc>
        <w:tc>
          <w:tcPr>
            <w:tcW w:w="460" w:type="dxa"/>
            <w:vAlign w:val="bottom"/>
            <w:gridSpan w:val="2"/>
          </w:tcPr>
          <w:p>
            <w:pPr>
              <w:ind w:left="40"/>
              <w:spacing w:after="0"/>
              <w:rPr>
                <w:sz w:val="20"/>
                <w:szCs w:val="20"/>
                <w:color w:val="auto"/>
              </w:rPr>
            </w:pPr>
            <w:r>
              <w:rPr>
                <w:rFonts w:ascii="Arial" w:cs="Arial" w:eastAsia="Arial" w:hAnsi="Arial"/>
                <w:sz w:val="9"/>
                <w:szCs w:val="9"/>
                <w:color w:val="auto"/>
                <w:w w:val="86"/>
              </w:rPr>
              <w:t>(3,663,254)</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(9,158)</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5"/>
              </w:rPr>
              <w:t>(23,834)</w:t>
            </w:r>
          </w:p>
        </w:tc>
        <w:tc>
          <w:tcPr>
            <w:tcW w:w="520" w:type="dxa"/>
            <w:vAlign w:val="bottom"/>
            <w:gridSpan w:val="3"/>
          </w:tcPr>
          <w:p>
            <w:pPr>
              <w:ind w:left="120"/>
              <w:spacing w:after="0"/>
              <w:rPr>
                <w:sz w:val="20"/>
                <w:szCs w:val="20"/>
                <w:color w:val="auto"/>
              </w:rPr>
            </w:pPr>
            <w:r>
              <w:rPr>
                <w:rFonts w:ascii="Arial" w:cs="Arial" w:eastAsia="Arial" w:hAnsi="Arial"/>
                <w:sz w:val="9"/>
                <w:szCs w:val="9"/>
                <w:color w:val="auto"/>
                <w:w w:val="94"/>
              </w:rPr>
              <w:t>4,627,577</w:t>
            </w:r>
          </w:p>
        </w:tc>
        <w:tc>
          <w:tcPr>
            <w:tcW w:w="2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23,834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23,834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Proceeds from initial public, net</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of capitalized IPO cost and</w:t>
            </w:r>
          </w:p>
        </w:tc>
        <w:tc>
          <w:tcPr>
            <w:tcW w:w="5640" w:type="dxa"/>
            <w:vAlign w:val="bottom"/>
            <w:gridSpan w:val="32"/>
            <w:shd w:val="clear" w:color="auto" w:fill="CCEEFF"/>
          </w:tcPr>
          <w:p>
            <w:pPr>
              <w:spacing w:after="0"/>
              <w:rPr>
                <w:sz w:val="9"/>
                <w:szCs w:val="9"/>
                <w:color w:val="auto"/>
              </w:rPr>
            </w:pPr>
          </w:p>
        </w:tc>
        <w:tc>
          <w:tcPr>
            <w:tcW w:w="2880" w:type="dxa"/>
            <w:vAlign w:val="bottom"/>
            <w:tcBorders>
              <w:left w:val="single" w:sz="8" w:color="CCEEFF"/>
              <w:right w:val="single" w:sz="8" w:color="CCEEFF"/>
            </w:tcBorders>
            <w:gridSpan w:val="17"/>
            <w:shd w:val="clear" w:color="auto" w:fill="CCEEFF"/>
          </w:tcPr>
          <w:p>
            <w:pPr>
              <w:spacing w:after="0"/>
              <w:rPr>
                <w:sz w:val="9"/>
                <w:szCs w:val="9"/>
                <w:color w:val="auto"/>
              </w:rPr>
            </w:pPr>
          </w:p>
        </w:tc>
        <w:tc>
          <w:tcPr>
            <w:tcW w:w="1520" w:type="dxa"/>
            <w:vAlign w:val="bottom"/>
            <w:gridSpan w:val="8"/>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issuance costs of $2,791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9"/>
                <w:szCs w:val="9"/>
                <w:color w:val="auto"/>
                <w:w w:val="94"/>
              </w:rPr>
              <w:t>3,566,334</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17,181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17,181</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Reclassification of reverse split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par value</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left w:val="single" w:sz="8" w:color="CCEEFF"/>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Arial" w:cs="Arial" w:eastAsia="Arial" w:hAnsi="Arial"/>
                <w:sz w:val="9"/>
                <w:szCs w:val="9"/>
                <w:b w:val="1"/>
                <w:bCs w:val="1"/>
                <w:color w:val="auto"/>
                <w:w w:val="97"/>
              </w:rPr>
              <w:t>Balance at December 31, 2017</w:t>
            </w: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40" w:type="dxa"/>
            <w:vAlign w:val="bottom"/>
          </w:tcPr>
          <w:p>
            <w:pPr>
              <w:spacing w:after="0"/>
              <w:rPr>
                <w:sz w:val="20"/>
                <w:szCs w:val="20"/>
                <w:color w:val="auto"/>
              </w:rPr>
            </w:pPr>
            <w:r>
              <w:rPr>
                <w:rFonts w:ascii="Arial" w:cs="Arial" w:eastAsia="Arial" w:hAnsi="Arial"/>
                <w:sz w:val="9"/>
                <w:szCs w:val="9"/>
                <w:color w:val="auto"/>
              </w:rPr>
              <w:t>$</w:t>
            </w: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4"/>
          </w:tcPr>
          <w:p>
            <w:pPr>
              <w:ind w:left="120"/>
              <w:spacing w:after="0"/>
              <w:rPr>
                <w:sz w:val="20"/>
                <w:szCs w:val="20"/>
                <w:color w:val="auto"/>
              </w:rPr>
            </w:pPr>
            <w:r>
              <w:rPr>
                <w:rFonts w:ascii="Arial" w:cs="Arial" w:eastAsia="Arial" w:hAnsi="Arial"/>
                <w:sz w:val="9"/>
                <w:szCs w:val="9"/>
                <w:color w:val="auto"/>
              </w:rPr>
              <w:t>12,935,546$</w:t>
            </w:r>
          </w:p>
        </w:tc>
        <w:tc>
          <w:tcPr>
            <w:tcW w:w="120" w:type="dxa"/>
            <w:vAlign w:val="bottom"/>
          </w:tcPr>
          <w:p>
            <w:pPr>
              <w:jc w:val="right"/>
              <w:spacing w:after="0"/>
              <w:rPr>
                <w:sz w:val="20"/>
                <w:szCs w:val="20"/>
                <w:color w:val="auto"/>
              </w:rPr>
            </w:pPr>
            <w:r>
              <w:rPr>
                <w:rFonts w:ascii="Arial" w:cs="Arial" w:eastAsia="Arial" w:hAnsi="Arial"/>
                <w:sz w:val="9"/>
                <w:szCs w:val="9"/>
                <w:color w:val="auto"/>
              </w:rPr>
              <w:t>1</w:t>
            </w:r>
          </w:p>
        </w:tc>
        <w:tc>
          <w:tcPr>
            <w:tcW w:w="520" w:type="dxa"/>
            <w:vAlign w:val="bottom"/>
            <w:gridSpan w:val="3"/>
          </w:tcPr>
          <w:p>
            <w:pPr>
              <w:jc w:val="right"/>
              <w:ind w:right="40"/>
              <w:spacing w:after="0"/>
              <w:rPr>
                <w:sz w:val="20"/>
                <w:szCs w:val="20"/>
                <w:color w:val="auto"/>
              </w:rPr>
            </w:pPr>
            <w:r>
              <w:rPr>
                <w:rFonts w:ascii="Arial" w:cs="Arial" w:eastAsia="Arial" w:hAnsi="Arial"/>
                <w:sz w:val="9"/>
                <w:szCs w:val="9"/>
                <w:color w:val="auto"/>
              </w:rPr>
              <w:t>2,409,738</w:t>
            </w:r>
          </w:p>
        </w:tc>
        <w:tc>
          <w:tcPr>
            <w:tcW w:w="260" w:type="dxa"/>
            <w:vAlign w:val="bottom"/>
          </w:tcPr>
          <w:p>
            <w:pPr>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9"/>
                <w:szCs w:val="9"/>
                <w:color w:val="auto"/>
              </w:rPr>
              <w:t>49,695</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(9,961)</w:t>
            </w: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122</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39,857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3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tcBorders>
              <w:right w:val="single" w:sz="8" w:color="CCEEFF"/>
            </w:tcBorders>
            <w:shd w:val="clear" w:color="auto" w:fill="CCEEFF"/>
          </w:tcPr>
          <w:p>
            <w:pPr>
              <w:spacing w:after="0" w:line="102" w:lineRule="exact"/>
              <w:rPr>
                <w:sz w:val="20"/>
                <w:szCs w:val="20"/>
                <w:color w:val="auto"/>
              </w:rPr>
            </w:pPr>
            <w:r>
              <w:rPr>
                <w:rFonts w:ascii="Arial" w:cs="Arial" w:eastAsia="Arial" w:hAnsi="Arial"/>
                <w:sz w:val="9"/>
                <w:szCs w:val="9"/>
                <w:color w:val="auto"/>
              </w:rPr>
              <w:t>Net income</w:t>
            </w:r>
          </w:p>
        </w:tc>
        <w:tc>
          <w:tcPr>
            <w:tcW w:w="44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8"/>
                <w:szCs w:val="8"/>
                <w:color w:val="auto"/>
              </w:rPr>
            </w:pPr>
          </w:p>
        </w:tc>
        <w:tc>
          <w:tcPr>
            <w:tcW w:w="700" w:type="dxa"/>
            <w:vAlign w:val="bottom"/>
            <w:gridSpan w:val="3"/>
            <w:shd w:val="clear" w:color="auto" w:fill="CCEEFF"/>
          </w:tcPr>
          <w:p>
            <w:pPr>
              <w:jc w:val="right"/>
              <w:ind w:right="340"/>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33"/>
              <w:spacing w:after="0" w:line="102" w:lineRule="exact"/>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6,574</w:t>
            </w:r>
          </w:p>
        </w:tc>
        <w:tc>
          <w:tcPr>
            <w:tcW w:w="12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6,574</w:t>
            </w: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Foreign currency translation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adjustment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(979)</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(979)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Exercise of stock option</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265,952</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528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528</w:t>
            </w: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Arial" w:cs="Arial" w:eastAsia="Arial" w:hAnsi="Arial"/>
                <w:sz w:val="9"/>
                <w:szCs w:val="9"/>
                <w:color w:val="auto"/>
              </w:rPr>
              <w:t>Stock-based compensation</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3,363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3,363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Conversion of class B common</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shares to Class A common</w:t>
            </w:r>
          </w:p>
        </w:tc>
        <w:tc>
          <w:tcPr>
            <w:tcW w:w="5640" w:type="dxa"/>
            <w:vAlign w:val="bottom"/>
            <w:gridSpan w:val="32"/>
            <w:shd w:val="clear" w:color="auto" w:fill="CCEEFF"/>
          </w:tcPr>
          <w:p>
            <w:pPr>
              <w:spacing w:after="0"/>
              <w:rPr>
                <w:sz w:val="9"/>
                <w:szCs w:val="9"/>
                <w:color w:val="auto"/>
              </w:rPr>
            </w:pPr>
          </w:p>
        </w:tc>
        <w:tc>
          <w:tcPr>
            <w:tcW w:w="2880" w:type="dxa"/>
            <w:vAlign w:val="bottom"/>
            <w:tcBorders>
              <w:left w:val="single" w:sz="8" w:color="CCEEFF"/>
              <w:right w:val="single" w:sz="8" w:color="CCEEFF"/>
            </w:tcBorders>
            <w:gridSpan w:val="17"/>
            <w:shd w:val="clear" w:color="auto" w:fill="CCEEFF"/>
          </w:tcPr>
          <w:p>
            <w:pPr>
              <w:spacing w:after="0"/>
              <w:rPr>
                <w:sz w:val="9"/>
                <w:szCs w:val="9"/>
                <w:color w:val="auto"/>
              </w:rPr>
            </w:pPr>
          </w:p>
        </w:tc>
        <w:tc>
          <w:tcPr>
            <w:tcW w:w="1520" w:type="dxa"/>
            <w:vAlign w:val="bottom"/>
            <w:gridSpan w:val="8"/>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shares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511,315</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(511,315)</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Exercise of common stock</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warrant issued to SMC</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spacing w:after="0"/>
              <w:rPr>
                <w:sz w:val="20"/>
                <w:szCs w:val="20"/>
                <w:color w:val="auto"/>
              </w:rPr>
            </w:pPr>
            <w:r>
              <w:rPr>
                <w:rFonts w:ascii="Arial" w:cs="Arial" w:eastAsia="Arial" w:hAnsi="Arial"/>
                <w:sz w:val="9"/>
                <w:szCs w:val="9"/>
                <w:color w:val="auto"/>
              </w:rPr>
              <w:t>397,502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2,981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2,981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w w:val="97"/>
              </w:rPr>
              <w:t>Balance at December 31, 2018</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9"/>
                <w:szCs w:val="9"/>
                <w:color w:val="auto"/>
              </w:rPr>
              <w:t>14,110,315$</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1,898,423</w:t>
            </w:r>
          </w:p>
        </w:tc>
        <w:tc>
          <w:tcPr>
            <w:tcW w:w="26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56,567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(3,387)</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(857)</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52,324</w:t>
            </w:r>
          </w:p>
        </w:tc>
        <w:tc>
          <w:tcPr>
            <w:tcW w:w="10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490" w:right="19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operations to net cash provided by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Loss on disposals of fixed assets, intangible assets and other long-term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(24,083)</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Advances from customers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payables and accrued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equity method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(2,071)</w:t>
            </w: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(13,131)</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issuance of Series E convertible preferred stock</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5"/>
              </w:rPr>
              <w:t>Proceeds from issuance of common stock in connection with initial public offering and concurrent private placement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 of initial public offering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issuance of common stock for non-controlling interest purchase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and cash equivalent</w:t>
            </w: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Preferred stock conversion to common stock in connection with initial public offering</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conversion to common stock</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9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18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2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1" w:name="page72"/>
    <w:bookmarkEnd w:id="71"/>
    <w:p>
      <w:pPr>
        <w:jc w:val="both"/>
        <w:ind w:right="60"/>
        <w:spacing w:after="0" w:line="259" w:lineRule="auto"/>
        <w:rPr>
          <w:sz w:val="20"/>
          <w:szCs w:val="20"/>
          <w:color w:val="auto"/>
        </w:rPr>
      </w:pPr>
      <w:r>
        <w:rPr>
          <w:rFonts w:ascii="Arial" w:cs="Arial" w:eastAsia="Arial" w:hAnsi="Arial"/>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12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accounting principles generally accepted in the United States of America (“GAAP”). 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5"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accrued warranty, and useful life of intangible assets.</w:t>
      </w:r>
    </w:p>
    <w:p>
      <w:pPr>
        <w:spacing w:after="0" w:line="93" w:lineRule="exact"/>
        <w:rPr>
          <w:sz w:val="20"/>
          <w:szCs w:val="20"/>
          <w:color w:val="auto"/>
        </w:rPr>
      </w:pPr>
    </w:p>
    <w:p>
      <w:pPr>
        <w:ind w:right="1500"/>
        <w:spacing w:after="0" w:line="340" w:lineRule="auto"/>
        <w:rPr>
          <w:sz w:val="20"/>
          <w:szCs w:val="20"/>
          <w:color w:val="auto"/>
        </w:rPr>
      </w:pPr>
      <w:r>
        <w:rPr>
          <w:rFonts w:ascii="Arial" w:cs="Arial" w:eastAsia="Arial" w:hAnsi="Arial"/>
          <w:sz w:val="18"/>
          <w:szCs w:val="18"/>
          <w:color w:val="auto"/>
        </w:rPr>
        <w:t xml:space="preserve">Management evaluates these estimates and assumptions on a regular basis. Actual results could differ from those estimates and assumptions. </w:t>
      </w:r>
      <w:r>
        <w:rPr>
          <w:rFonts w:ascii="Arial" w:cs="Arial" w:eastAsia="Arial" w:hAnsi="Arial"/>
          <w:sz w:val="18"/>
          <w:szCs w:val="18"/>
          <w:u w:val="single" w:color="auto"/>
          <w:color w:val="auto"/>
        </w:rPr>
        <w:t>Cash and Cash Equivalents</w:t>
      </w:r>
    </w:p>
    <w:p>
      <w:pPr>
        <w:spacing w:after="0" w:line="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December 31, 2018 and 2017, the Company, based on a review of its outstanding balances and its customers, determined the allowance for doubtful accounts in the amount of $0 and $0 respectively.</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auto"/>
        </w:rPr>
        <w:t>Inventory</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Inventory was recorded at the lower of cost or net realizable value at December 31, 2018 and 2017.</w:t>
      </w:r>
    </w:p>
    <w:p>
      <w:pPr>
        <w:spacing w:after="0" w:line="158" w:lineRule="exact"/>
        <w:rPr>
          <w:sz w:val="20"/>
          <w:szCs w:val="20"/>
          <w:color w:val="auto"/>
        </w:rPr>
      </w:pPr>
    </w:p>
    <w:p>
      <w:pPr>
        <w:jc w:val="both"/>
        <w:ind w:left="660" w:hanging="328"/>
        <w:spacing w:after="0" w:line="25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value is determined as the lower of replacement cost or net realizable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realizable value is the estimated selling price, in the ordinary course of business, less estimated costs to complete or dispose.</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 Net</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useful lives of assets in the United States are as follows:</w:t>
      </w:r>
    </w:p>
    <w:p>
      <w:pPr>
        <w:sectPr>
          <w:pgSz w:w="11900" w:h="16838" w:orient="portrait"/>
          <w:cols w:equalWidth="0" w:num="1">
            <w:col w:w="11420"/>
          </w:cols>
          <w:pgMar w:left="240" w:top="563"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Computer and office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185" w:lineRule="exact"/>
        <w:rPr>
          <w:sz w:val="20"/>
          <w:szCs w:val="20"/>
          <w:color w:val="auto"/>
        </w:rPr>
      </w:pPr>
    </w:p>
    <w:p>
      <w:pPr>
        <w:sectPr>
          <w:pgSz w:w="11900" w:h="16838" w:orient="portrait"/>
          <w:cols w:equalWidth="0" w:num="2">
            <w:col w:w="3060" w:space="720"/>
            <w:col w:w="7640"/>
          </w:cols>
          <w:pgMar w:left="240" w:top="563" w:right="239" w:bottom="1440" w:gutter="0" w:footer="0" w:header="0"/>
          <w:type w:val="continuous"/>
        </w:sectPr>
      </w:pPr>
    </w:p>
    <w:p>
      <w:pPr>
        <w:ind w:right="180"/>
        <w:spacing w:after="0" w:line="268" w:lineRule="auto"/>
        <w:rPr>
          <w:sz w:val="20"/>
          <w:szCs w:val="20"/>
          <w:color w:val="auto"/>
        </w:rPr>
      </w:pPr>
      <w:r>
        <w:rPr>
          <w:rFonts w:ascii="Arial" w:cs="Arial" w:eastAsia="Arial" w:hAnsi="Arial"/>
          <w:sz w:val="18"/>
          <w:szCs w:val="18"/>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420"/>
          </w:cols>
          <w:pgMar w:left="240" w:top="563" w:right="23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Manufacturing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Electronic equipment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for small to medium-sized equipment, 5 years; for large equipment,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estimated by purchasing department at time of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to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remaining lease term for improvements on leased fixed assets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large improvements, estimated useful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less than 3 years for non-fixed asset repairs</w:t>
      </w:r>
    </w:p>
    <w:p>
      <w:pPr>
        <w:spacing w:after="0" w:line="151" w:lineRule="exact"/>
        <w:rPr>
          <w:sz w:val="20"/>
          <w:szCs w:val="20"/>
          <w:color w:val="auto"/>
        </w:rPr>
      </w:pPr>
    </w:p>
    <w:p>
      <w:pPr>
        <w:sectPr>
          <w:pgSz w:w="11900" w:h="16838" w:orient="portrait"/>
          <w:cols w:equalWidth="0" w:num="2">
            <w:col w:w="3060" w:space="720"/>
            <w:col w:w="7640"/>
          </w:cols>
          <w:pgMar w:left="240" w:top="563" w:right="239" w:bottom="1440" w:gutter="0" w:footer="0" w:header="0"/>
          <w:type w:val="continuous"/>
        </w:sectPr>
      </w:pPr>
    </w:p>
    <w:p>
      <w:pPr>
        <w:jc w:val="both"/>
        <w:ind w:right="160"/>
        <w:spacing w:after="0" w:line="259" w:lineRule="auto"/>
        <w:rPr>
          <w:sz w:val="20"/>
          <w:szCs w:val="20"/>
          <w:color w:val="auto"/>
        </w:rPr>
      </w:pPr>
      <w:r>
        <w:rPr>
          <w:rFonts w:ascii="Arial" w:cs="Arial" w:eastAsia="Arial" w:hAnsi="Arial"/>
          <w:sz w:val="18"/>
          <w:szCs w:val="18"/>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Intangible Assets, Net</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Long-Lived Assets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the underlying lease. The Company had no capital lease for either of the periods presented.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Redeemable Convertible Preferred Stock</w:t>
      </w:r>
    </w:p>
    <w:p>
      <w:pPr>
        <w:spacing w:after="0" w:line="158"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the related amendments (the “New Revenue Standard”) to all contracts which were not completed as of January 1, 2018 using the modified retrospective method. The Company does not have open contracts that may result in any changes to revenues applying the New Revenue Standard.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4" w:name="page75"/>
    <w:bookmarkEnd w:id="74"/>
    <w:p>
      <w:pPr>
        <w:ind w:right="60"/>
        <w:spacing w:after="0" w:line="268" w:lineRule="auto"/>
        <w:rPr>
          <w:sz w:val="20"/>
          <w:szCs w:val="20"/>
          <w:color w:val="auto"/>
        </w:rPr>
      </w:pPr>
      <w:r>
        <w:rPr>
          <w:rFonts w:ascii="Arial" w:cs="Arial" w:eastAsia="Arial" w:hAnsi="Arial"/>
          <w:sz w:val="18"/>
          <w:szCs w:val="18"/>
          <w:color w:val="auto"/>
        </w:rPr>
        <w:t>The Company derives revenue principally from the sale of single-wafer wet cleaning equipment. Revenue from contracts with customers is recognized using the following five steps pursuant to the New Revenue Standard:</w:t>
      </w:r>
    </w:p>
    <w:p>
      <w:pPr>
        <w:spacing w:after="0" w:line="118" w:lineRule="exact"/>
        <w:rPr>
          <w:sz w:val="20"/>
          <w:szCs w:val="20"/>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57"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57"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57"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57"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8"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example, the delivery of a piece of equipment generally includes the promise to install the equipment in the customer’s facility. The Company’s performance obligations in connection with a sale of equipment generally include production, delivery and installation, together with the provision of a warranty.</w:t>
      </w:r>
    </w:p>
    <w:p>
      <w:pPr>
        <w:spacing w:after="0" w:line="10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the Company’s products were sold in stand-alone arrangements. The Company does not have observable SSPs for most performance obligations as the obligations are not regularly sold on a standalone basis. Production, delivery and installation of a product, together with provision of a warranty, are a single unit of accounting.</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107" w:lineRule="exact"/>
        <w:rPr>
          <w:sz w:val="20"/>
          <w:szCs w:val="20"/>
          <w:color w:val="auto"/>
        </w:rPr>
      </w:pPr>
    </w:p>
    <w:p>
      <w:pPr>
        <w:ind w:left="980" w:right="100" w:hanging="324"/>
        <w:spacing w:after="0" w:line="268"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the Company can objectively demonstrate that the tool meets all of the required acceptance criteria;</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75" w:name="page76"/>
    <w:bookmarkEnd w:id="75"/>
    <w:p>
      <w:pPr>
        <w:ind w:left="980" w:right="200" w:hanging="324"/>
        <w:spacing w:after="0" w:line="268"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Company’s sales arrangements do not include a general right of return.</w:t>
      </w:r>
    </w:p>
    <w:p>
      <w:pPr>
        <w:spacing w:after="0" w:line="158"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The Company does not expect revenue from extended maintenance service contracts to represent a material portion of its revenue in the future. As such, the Company has concluded that its revenue recognition under the adoption of the New Revenue Standard will remain the same as previously reported and will not have material impacts to its consolidated financial statements.</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in accordance with the practical expedient in the New Revenue Standard when the underlying contract asset is less than one year. These costs are recorded within sales and marketing expenses.</w:t>
      </w:r>
    </w:p>
    <w:p>
      <w:pPr>
        <w:spacing w:after="0" w:line="13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Generally, all contracts have expected durations of one year or less. Accordingly, the Company applies the practical expedient allowed in the New Revenue Standard and does not disclose information about remaining performance obligations that have original expected durations of one year or less.</w:t>
      </w:r>
    </w:p>
    <w:p>
      <w:pPr>
        <w:spacing w:after="0" w:line="7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Company does not incur any costs to fulfill the contracts with customers that are not already reported in compliance with another applicable standard (for example, inventory or plant, property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15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Costs</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Shipping and handling costs, which relate to transportation of products to customer locations, are charged to selling and marketing expense. For the year ended December 31, 2018 and 2017, shipping and handling costs included in sales and marketing expenses were $146 and $139 respectively.</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96"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t>Borrowing Costs</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year ended December 31, 2018 or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year ended December 31, 2018 and 2017, respectively.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Additions</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1,412</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Utilized</w:t>
            </w: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(187)</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1,710</w:t>
            </w: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Subsidies</w:t>
      </w:r>
    </w:p>
    <w:p>
      <w:pPr>
        <w:spacing w:after="0" w:line="15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ACM Shanghai has been awarded four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fourth subsidy was awarded in June of 2018, and related to development of Polytetrafluoroethylene. The PRC governmental authorities will provide the majority of the funding, although ACM Shanghai is also required to invest certain amounts in the projects.</w:t>
      </w:r>
    </w:p>
    <w:p>
      <w:pPr>
        <w:spacing w:after="0" w:line="1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government subsidies contain certain operating conditions and therefore are recorded as long-term liabilities upon receipt. The grant amounts are recognized in the statements of operations and comprehensive income:</w:t>
      </w:r>
    </w:p>
    <w:p>
      <w:pPr>
        <w:spacing w:after="0" w:line="118" w:lineRule="exact"/>
        <w:rPr>
          <w:sz w:val="20"/>
          <w:szCs w:val="20"/>
          <w:color w:val="auto"/>
        </w:rPr>
      </w:pPr>
    </w:p>
    <w:p>
      <w:pPr>
        <w:ind w:left="660" w:right="660" w:hanging="328"/>
        <w:spacing w:after="0" w:line="30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years ended December 31, 2018 and 2017, related government subsidies recognized as reductions of relevant expenses in the consolidated statements of operations and comprehensive income were $1,486 and $3,421 respectively.</w:t>
      </w:r>
    </w:p>
    <w:p>
      <w:pPr>
        <w:spacing w:after="0" w:line="93" w:lineRule="exact"/>
        <w:rPr>
          <w:rFonts w:ascii="Arial" w:cs="Arial" w:eastAsia="Arial" w:hAnsi="Arial"/>
          <w:sz w:val="16"/>
          <w:szCs w:val="16"/>
          <w:color w:val="auto"/>
        </w:rPr>
      </w:pPr>
    </w:p>
    <w:p>
      <w:pPr>
        <w:jc w:val="both"/>
        <w:ind w:left="660" w:right="20" w:hanging="328"/>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years ended December 31, 2018 and 2017, related government subsidies recognized as other income in the consolidated statements of operations and comprehensive income were $144 and $135, respectively.</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Unearned government subsidies received are deferred for recognition and recorded as other long-term liabilities (note 9) in the balance sheet until the criteria for such recognition are satisfied.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ACM grants stock options to employees and non-employee consultants and directors and accounts for those stock-based awards in accordance with FASB ASC Topic 718, Compensation – Stock Compensation, and FASB ASC Subtopic 505-50, Equity-Based Payments to Non-Employees.</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Stock-based awards granted to 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3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and Financial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cash equivalents and accounts receivable. The Company deposits and invests its cash with financial institutions that management believes are creditworthy.</w:t>
      </w:r>
    </w:p>
    <w:p>
      <w:pPr>
        <w:spacing w:after="0" w:line="11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is potentially subject to concentrations of credit risks in its accounts receivable. Three customers individually accounted for greater than ten percent of the Company’s revenue for the year ended 2018 and two of those customers individually accounted for greater than ten percent of the Company’s revenue in 2017:</w:t>
      </w:r>
    </w:p>
    <w:p>
      <w:pPr>
        <w:spacing w:after="0" w:line="176" w:lineRule="exact"/>
        <w:rPr>
          <w:sz w:val="20"/>
          <w:szCs w:val="20"/>
          <w:color w:val="auto"/>
        </w:rPr>
      </w:pPr>
    </w:p>
    <w:p>
      <w:pPr>
        <w:ind w:left="926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1905</wp:posOffset>
            </wp:positionV>
            <wp:extent cx="15608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1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9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Customer B</w:t>
            </w:r>
          </w:p>
        </w:tc>
        <w:tc>
          <w:tcPr>
            <w:tcW w:w="8920" w:type="dxa"/>
            <w:vAlign w:val="bottom"/>
            <w:gridSpan w:val="2"/>
          </w:tcPr>
          <w:p>
            <w:pPr>
              <w:jc w:val="right"/>
              <w:spacing w:after="0"/>
              <w:rPr>
                <w:sz w:val="20"/>
                <w:szCs w:val="20"/>
                <w:color w:val="auto"/>
              </w:rPr>
            </w:pPr>
            <w:r>
              <w:rPr>
                <w:rFonts w:ascii="Arial" w:cs="Arial" w:eastAsia="Arial" w:hAnsi="Arial"/>
                <w:sz w:val="18"/>
                <w:szCs w:val="18"/>
                <w:color w:val="auto"/>
              </w:rPr>
              <w:t>23.83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9"/>
              </w:rPr>
              <w:t>Customer C</w:t>
            </w:r>
          </w:p>
        </w:tc>
        <w:tc>
          <w:tcPr>
            <w:tcW w:w="8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9"/>
              </w:rPr>
              <w:t>Customer D</w:t>
            </w:r>
          </w:p>
        </w:tc>
        <w:tc>
          <w:tcPr>
            <w:tcW w:w="8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8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18"/>
                <w:szCs w:val="18"/>
                <w:color w:val="auto"/>
              </w:rPr>
            </w:pPr>
          </w:p>
        </w:tc>
      </w:tr>
      <w:tr>
        <w:trPr>
          <w:trHeight w:val="430"/>
        </w:trPr>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200" w:type="dxa"/>
            <w:vAlign w:val="bottom"/>
            <w:gridSpan w:val="3"/>
          </w:tcPr>
          <w:p>
            <w:pPr>
              <w:jc w:val="right"/>
              <w:ind w:right="4580"/>
              <w:spacing w:after="0"/>
              <w:rPr>
                <w:sz w:val="20"/>
                <w:szCs w:val="20"/>
                <w:color w:val="auto"/>
              </w:rPr>
            </w:pPr>
            <w:r>
              <w:rPr>
                <w:rFonts w:ascii="Arial" w:cs="Arial" w:eastAsia="Arial" w:hAnsi="Arial"/>
                <w:sz w:val="18"/>
                <w:szCs w:val="18"/>
                <w:color w:val="auto"/>
                <w:w w:val="90"/>
              </w:rPr>
              <w:t>Customer accounted for less than 10% of revenue in the period.</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2018 and 2017, the balance of bank borrowings (note 6) was short-term in nature, matured at various dates within the following year and did not expose the Company to interest rate risk.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5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Company’s working capital at December 31, 2018 and 2017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Country Risk</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and Translation</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Company’s consolidated financial statements are presented in U.S. dollars, which is the Company’s reporting currency, while the functional currency of ACM’s subsidiaries is the Chinese Renminbi (“RMB”), and the Korean Won.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0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 (loss) was ($979) and $1,052 for the years ended December 31, 2018 and 2017.</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or Korean Won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Translations of amounts from RMB and Korean Won into U.S. dollars were made at the following exchange rates for the respective dates and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4"/>
          </w:tcPr>
          <w:p>
            <w:pPr>
              <w:spacing w:after="0"/>
              <w:rPr>
                <w:sz w:val="20"/>
                <w:szCs w:val="20"/>
                <w:color w:val="auto"/>
              </w:rPr>
            </w:pPr>
            <w:r>
              <w:rPr>
                <w:rFonts w:ascii="Arial" w:cs="Arial" w:eastAsia="Arial" w:hAnsi="Arial"/>
                <w:sz w:val="18"/>
                <w:szCs w:val="18"/>
                <w:color w:val="auto"/>
              </w:rPr>
              <w:t>Consolidated balance sheets:</w:t>
            </w:r>
          </w:p>
        </w:tc>
        <w:tc>
          <w:tcPr>
            <w:tcW w:w="6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26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RMB 6.8634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At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RMB 6.5359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26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KRW 1,114.83 to $1.00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At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No transactions in Korean Won</w:t>
            </w:r>
          </w:p>
        </w:tc>
        <w:tc>
          <w:tcPr>
            <w:tcW w:w="0" w:type="dxa"/>
            <w:vAlign w:val="bottom"/>
          </w:tcPr>
          <w:p>
            <w:pPr>
              <w:spacing w:after="0"/>
              <w:rPr>
                <w:sz w:val="1"/>
                <w:szCs w:val="1"/>
                <w:color w:val="auto"/>
              </w:rPr>
            </w:pPr>
          </w:p>
        </w:tc>
      </w:tr>
      <w:tr>
        <w:trPr>
          <w:trHeight w:val="385"/>
        </w:trPr>
        <w:tc>
          <w:tcPr>
            <w:tcW w:w="5160" w:type="dxa"/>
            <w:vAlign w:val="bottom"/>
            <w:gridSpan w:val="4"/>
          </w:tcPr>
          <w:p>
            <w:pPr>
              <w:spacing w:after="0"/>
              <w:rPr>
                <w:sz w:val="20"/>
                <w:szCs w:val="20"/>
                <w:color w:val="auto"/>
              </w:rPr>
            </w:pPr>
            <w:r>
              <w:rPr>
                <w:rFonts w:ascii="Arial" w:cs="Arial" w:eastAsia="Arial" w:hAnsi="Arial"/>
                <w:sz w:val="18"/>
                <w:szCs w:val="18"/>
                <w:color w:val="auto"/>
                <w:w w:val="95"/>
              </w:rPr>
              <w:t>Consolidated statements of operations and comprehensive income:</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626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RMB 6.6181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Year ended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RMB 6.7522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626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KRW 1,100.11 to $1.00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Year ended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No transactions in Korean Won</w:t>
            </w: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7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0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Income (Loss) per Common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common share is calculated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380"/>
              <w:spacing w:after="0"/>
              <w:rPr>
                <w:sz w:val="20"/>
                <w:szCs w:val="20"/>
                <w:color w:val="auto"/>
              </w:rPr>
            </w:pPr>
            <w:r>
              <w:rPr>
                <w:rFonts w:ascii="Arial" w:cs="Arial" w:eastAsia="Arial" w:hAnsi="Arial"/>
                <w:sz w:val="15"/>
                <w:szCs w:val="15"/>
                <w:color w:val="auto"/>
                <w:w w:val="90"/>
              </w:rPr>
              <w:t>For the Year Ended December 31</w:t>
            </w:r>
          </w:p>
        </w:tc>
      </w:tr>
      <w:tr>
        <w:trPr>
          <w:trHeight w:val="169"/>
        </w:trPr>
        <w:tc>
          <w:tcPr>
            <w:tcW w:w="8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4"/>
                <w:szCs w:val="14"/>
                <w:color w:val="auto"/>
              </w:rPr>
            </w:pPr>
          </w:p>
        </w:tc>
      </w:tr>
      <w:tr>
        <w:trPr>
          <w:trHeight w:val="24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r>
      <w:tr>
        <w:trPr>
          <w:trHeight w:val="27"/>
        </w:trPr>
        <w:tc>
          <w:tcPr>
            <w:tcW w:w="8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Net income (loss) attributable to ACM, basic and diluted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15,788,460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6,865,390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2,123,645</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17,912,105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6,865,390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ACM per common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r>
    </w:tbl>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E and F convertible preferred stock are participating securities, as the holders are entitled to participate in and receive the same dividends as may be declared for common stockholders on a pro-rata, if-converted basis.</w:t>
      </w:r>
    </w:p>
    <w:p>
      <w:pPr>
        <w:spacing w:after="0" w:line="1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2018 and 2017, the net income (loss) per common share attributable to each class is the same under the “two-class” method. As such, the two classes of common stock have been presented on a combined basis in the consolidated statements of operations and comprehensive income (loss) and in the above computation of net income (loss) per common share.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0" w:name="page81"/>
    <w:bookmarkEnd w:id="80"/>
    <w:p>
      <w:pPr>
        <w:spacing w:after="0" w:line="298" w:lineRule="auto"/>
        <w:rPr>
          <w:sz w:val="20"/>
          <w:szCs w:val="20"/>
          <w:color w:val="auto"/>
        </w:rPr>
      </w:pPr>
      <w:r>
        <w:rPr>
          <w:rFonts w:ascii="Arial" w:cs="Arial" w:eastAsia="Arial" w:hAnsi="Arial"/>
          <w:sz w:val="16"/>
          <w:szCs w:val="16"/>
          <w:color w:val="auto"/>
        </w:rPr>
        <w:t>Diluted net income (loss) per common share reflects the potential dilution from securities that could share in ACM’s earnings. All potential dilutive securities, including potentially dilutive convertible preferred stocks and stock options, if any, were excluded from the computation of dilutive net loss per common share for the years ended December 31, 2018 and 2017, as their effects are antidilutive due to our net loss for those periods. The potentially dilutive securities that were not included in the calculation of diluted net income per share in the periods presented where their inclusion would be anti-dilutive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4"/>
          </w:tcPr>
          <w:p>
            <w:pPr>
              <w:ind w:left="420"/>
              <w:spacing w:after="0"/>
              <w:rPr>
                <w:sz w:val="20"/>
                <w:szCs w:val="20"/>
                <w:color w:val="auto"/>
              </w:rPr>
            </w:pPr>
            <w:r>
              <w:rPr>
                <w:rFonts w:ascii="Arial" w:cs="Arial" w:eastAsia="Arial" w:hAnsi="Arial"/>
                <w:sz w:val="15"/>
                <w:szCs w:val="15"/>
                <w:b w:val="1"/>
                <w:bCs w:val="1"/>
                <w:color w:val="auto"/>
              </w:rPr>
              <w:t>Year Ended 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3,715,779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3,372,292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Warrant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477,502</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3,795,779</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3,849,794</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 Attributable to the Company</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applies FASB ASC Topic 220, Comprehensive Income, which establishes standards for the reporting and display of comprehensive income or loss, requiring its components to be reported in a financial statement with the same prominence as other financial statements. The comprehensive income (loss) attributable to the Company was $5,595 and $(31) for the years ended December 31, 2018 and 2017,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Appropriated Retained Earnings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had been appropriated to statutory surplus reserves as the PRC subsidiaries recorded accumulated losses as of December 31, 2018 and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81" w:name="page82"/>
    <w:bookmarkEnd w:id="81"/>
    <w:p>
      <w:pPr>
        <w:ind w:left="500" w:right="200"/>
        <w:spacing w:after="0" w:line="268" w:lineRule="auto"/>
        <w:rPr>
          <w:sz w:val="20"/>
          <w:szCs w:val="20"/>
          <w:color w:val="auto"/>
        </w:rPr>
      </w:pPr>
      <w:r>
        <w:rPr>
          <w:rFonts w:ascii="Arial" w:cs="Arial" w:eastAsia="Arial" w:hAnsi="Arial"/>
          <w:sz w:val="18"/>
          <w:szCs w:val="18"/>
          <w:color w:val="auto"/>
        </w:rPr>
        <w:t>Level 1: Valuations for assets and liabilities traded in active exchange markets. Valuations are obtained from readily available pricing sources for market transactions involving identical assets or liabilities.</w:t>
      </w:r>
    </w:p>
    <w:p>
      <w:pPr>
        <w:spacing w:after="0" w:line="118" w:lineRule="exact"/>
        <w:rPr>
          <w:sz w:val="20"/>
          <w:szCs w:val="20"/>
          <w:color w:val="auto"/>
        </w:rPr>
      </w:pPr>
    </w:p>
    <w:p>
      <w:pPr>
        <w:ind w:left="500" w:right="360"/>
        <w:spacing w:after="0" w:line="268" w:lineRule="auto"/>
        <w:rPr>
          <w:sz w:val="20"/>
          <w:szCs w:val="20"/>
          <w:color w:val="auto"/>
        </w:rPr>
      </w:pPr>
      <w:r>
        <w:rPr>
          <w:rFonts w:ascii="Arial" w:cs="Arial" w:eastAsia="Arial" w:hAnsi="Arial"/>
          <w:sz w:val="18"/>
          <w:szCs w:val="18"/>
          <w:color w:val="auto"/>
        </w:rPr>
        <w:t>Level 2: Valuations for assets and liabilities traded in less active dealer or broker markets. Valuations are obtained from third party pricing services for identical or similar assets or liabilities.</w:t>
      </w:r>
    </w:p>
    <w:p>
      <w:pPr>
        <w:spacing w:after="0" w:line="118" w:lineRule="exact"/>
        <w:rPr>
          <w:sz w:val="20"/>
          <w:szCs w:val="20"/>
          <w:color w:val="auto"/>
        </w:rPr>
      </w:pPr>
    </w:p>
    <w:p>
      <w:pPr>
        <w:ind w:left="500" w:right="260"/>
        <w:spacing w:after="0" w:line="259" w:lineRule="auto"/>
        <w:rPr>
          <w:sz w:val="20"/>
          <w:szCs w:val="20"/>
          <w:color w:val="auto"/>
        </w:rPr>
      </w:pPr>
      <w:r>
        <w:rPr>
          <w:rFonts w:ascii="Arial" w:cs="Arial" w:eastAsia="Arial" w:hAnsi="Arial"/>
          <w:sz w:val="18"/>
          <w:szCs w:val="18"/>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or Disclosed on a Recurring Basis</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Short-term borrowings</w:t>
      </w:r>
      <w:r>
        <w:rPr>
          <w:rFonts w:ascii="Arial" w:cs="Arial" w:eastAsia="Arial" w:hAnsi="Arial"/>
          <w:sz w:val="18"/>
          <w:szCs w:val="18"/>
          <w:color w:val="auto"/>
        </w:rPr>
        <w:t>—Interest rates under the borrowing agreements with the lending parties were determined based on the prevailing interest rates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The Company classifies the valuation techniques that use these inputs as Level 2 fair value measurement.</w:t>
      </w:r>
    </w:p>
    <w:p>
      <w:pPr>
        <w:spacing w:after="0" w:line="11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color w:val="auto"/>
        </w:rPr>
        <w:t>Warrant liability</w:t>
      </w:r>
      <w:r>
        <w:rPr>
          <w:rFonts w:ascii="Arial" w:cs="Arial" w:eastAsia="Arial" w:hAnsi="Arial"/>
          <w:sz w:val="16"/>
          <w:szCs w:val="16"/>
          <w:color w:val="auto"/>
        </w:rPr>
        <w:t>—The fair value of the warrant liability derives from the Black-Scholes valuation model which incorporates certain unobservable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(Note 8). The Company classifies the valuation techniques that use these inputs as Level 3 fair value measurement.</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Other financial items for disclosure purpose</w:t>
      </w:r>
      <w:r>
        <w:rPr>
          <w:rFonts w:ascii="Arial" w:cs="Arial" w:eastAsia="Arial" w:hAnsi="Arial"/>
          <w:sz w:val="18"/>
          <w:szCs w:val="18"/>
          <w:color w:val="auto"/>
        </w:rPr>
        <w:t>—The fair value of other financial items of the Company for disclosure purpose, including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other receivables, other current assets, accounts payable, advances from customers, and other payables and accrued expenses, approximate their carrying value due to their short-term nature.</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2018 and 2017, information about inputs into the fair value measurement of the Company’s liabilities that are measured and recorded at fair value on a recurring basis in periods subsequent to their initial recognition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5"/>
                <w:szCs w:val="15"/>
                <w:b w:val="1"/>
                <w:bCs w:val="1"/>
                <w:color w:val="auto"/>
              </w:rPr>
              <w:t>Fair Value Measurement at Reporting Date Using</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7"/>
              </w:rPr>
              <w:t>Quoted Prices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Active Markets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1"/>
              </w:rPr>
              <w:t>Significant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7"/>
              <w:spacing w:after="0" w:line="162" w:lineRule="exact"/>
              <w:rPr>
                <w:sz w:val="20"/>
                <w:szCs w:val="20"/>
                <w:color w:val="auto"/>
              </w:rPr>
            </w:pPr>
            <w:r>
              <w:rPr>
                <w:rFonts w:ascii="Arial" w:cs="Arial" w:eastAsia="Arial" w:hAnsi="Arial"/>
                <w:sz w:val="15"/>
                <w:szCs w:val="15"/>
                <w:b w:val="1"/>
                <w:bCs w:val="1"/>
                <w:color w:val="auto"/>
                <w:w w:val="94"/>
              </w:rPr>
              <w:t>for Identical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4"/>
              </w:rPr>
              <w:t>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Significant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2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92"/>
              </w:rPr>
              <w:t>Liabilities (Level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0"/>
              </w:rPr>
              <w:t>Observable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Unobservable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5"/>
                <w:szCs w:val="15"/>
                <w:b w:val="1"/>
                <w:bCs w:val="1"/>
                <w:color w:val="auto"/>
                <w:w w:val="89"/>
              </w:rPr>
              <w:t>1)</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Inputs (Level 2)</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Inputs (Level 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center"/>
              <w:ind w:right="18"/>
              <w:spacing w:after="0"/>
              <w:rPr>
                <w:sz w:val="20"/>
                <w:szCs w:val="20"/>
                <w:color w:val="auto"/>
              </w:rPr>
            </w:pPr>
            <w:r>
              <w:rPr>
                <w:rFonts w:ascii="Arial" w:cs="Arial" w:eastAsia="Arial" w:hAnsi="Arial"/>
                <w:sz w:val="15"/>
                <w:szCs w:val="15"/>
                <w:i w:val="1"/>
                <w:iCs w:val="1"/>
                <w:color w:val="auto"/>
                <w:w w:val="90"/>
              </w:rPr>
              <w:t>(in thousands)</w:t>
            </w: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20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Short-term borrowings</w:t>
            </w:r>
          </w:p>
        </w:tc>
        <w:tc>
          <w:tcPr>
            <w:tcW w:w="2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20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9,447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800"/>
              <w:spacing w:after="0"/>
              <w:rPr>
                <w:sz w:val="20"/>
                <w:szCs w:val="20"/>
                <w:color w:val="auto"/>
              </w:rPr>
            </w:pPr>
            <w:r>
              <w:rPr>
                <w:rFonts w:ascii="Arial" w:cs="Arial" w:eastAsia="Arial" w:hAnsi="Arial"/>
                <w:sz w:val="18"/>
                <w:szCs w:val="18"/>
                <w:color w:val="auto"/>
              </w:rPr>
              <w:t>Short-term borrowings</w:t>
            </w:r>
          </w:p>
        </w:tc>
        <w:tc>
          <w:tcPr>
            <w:tcW w:w="22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Warrant liability</w:t>
            </w:r>
          </w:p>
        </w:tc>
        <w:tc>
          <w:tcPr>
            <w:tcW w:w="20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vMerge w:val="restart"/>
          </w:tcPr>
          <w:p>
            <w:pPr>
              <w:jc w:val="right"/>
              <w:ind w:right="192"/>
              <w:spacing w:after="0"/>
              <w:rPr>
                <w:sz w:val="20"/>
                <w:szCs w:val="20"/>
                <w:color w:val="auto"/>
              </w:rPr>
            </w:pPr>
            <w:r>
              <w:rPr>
                <w:rFonts w:ascii="Arial" w:cs="Arial" w:eastAsia="Arial" w:hAnsi="Arial"/>
                <w:sz w:val="18"/>
                <w:szCs w:val="18"/>
                <w:color w:val="auto"/>
              </w:rPr>
              <w:t>81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Fair Value Measured on a Non-Recurring Basis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 of Accounts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Certain prior year’s amounts have been reclassified to conform to current year presentations. There was no change to previously reported stockholders’ deficit or net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May 2017, the Financial Accounting Standards Board (“FASB”) issued Accounting Standards Update (“ASU”) No. 2017-09,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Scope of Modification Accounting </w:t>
      </w:r>
      <w:r>
        <w:rPr>
          <w:rFonts w:ascii="Arial" w:cs="Arial" w:eastAsia="Arial" w:hAnsi="Arial"/>
          <w:sz w:val="16"/>
          <w:szCs w:val="16"/>
          <w:color w:val="auto"/>
        </w:rPr>
        <w:t>(“ASU 2017-09”), which provides guidance on determining which changes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adoption of ASU 2017-09 did not have a material impact on the Company’s consolidated financial statements.</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w:t>
      </w:r>
      <w:r>
        <w:rPr>
          <w:rFonts w:ascii="Arial" w:cs="Arial" w:eastAsia="Arial" w:hAnsi="Arial"/>
          <w:sz w:val="16"/>
          <w:szCs w:val="16"/>
          <w:color w:val="auto"/>
        </w:rPr>
        <w:t>(“ASU 2017-05”), which clarifies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adoption of ASU 2017-05 did not have a material impact on the Company’s consolidated financial statements.</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adoption of ASU 2016-18 did not have a material impact on the Company’s consolidated financial statements.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3" w:name="page84"/>
    <w:bookmarkEnd w:id="83"/>
    <w:p>
      <w:pPr>
        <w:ind w:right="40"/>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adoption of ASU 2016-15 did not have material impact on the Company’s consolidated financial statements.</w:t>
      </w:r>
    </w:p>
    <w:p>
      <w:pPr>
        <w:spacing w:after="0" w:line="10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(“ASU 2016-01”). The amendments in this update require all equity investments to be measured at fair value with changes in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recognized through net income (other than those accounted for under the equity method of accounting or those that result in consolidation of the investee). The amendments in this update also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In addition, the amendments in this update eliminate the requirement to disclose the method(s) and significant assumptions used to estimate the fair value that is required to be disclosed for financial instruments measured at amortized cost on the balance sheet for public entities. For public business entities, the amendments in ASU 2016-01 are effective for fiscal years beginning after December 15, 2017, including interim periods within those fiscal years. Except for the early application guidance discussed in ASU 2016-01, early adoption of the amendments in this update is not permitted. The adoption of the ASU 2016-01 did not have a material impact on the Company’s consolidated financial statements.</w:t>
      </w:r>
    </w:p>
    <w:p>
      <w:pPr>
        <w:spacing w:after="0" w:line="10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amended the existing accounting standards for revenue recognition. ASU 2014-09 establishes principles for recognizing revenue upon the transfer of promised goods or services to customers, in an amount that reflects the expected consideration received in exchange for those goods or services. ASU 2014-09 and its related clarifying ASUs are effective for annual reporting periods beginning after December 15, 2017 and interim periods within those annual periods.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to all contracts which were not completed as of January 1, 2018 using the modified retrospective method. The Company does not have open contracts that may result in any changes to revenues applying the New Revenue Standard.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which simplifies several aspects of the accounting for nonemployee share-based payment transactions resulting from expanding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scope of Topic 718, Compensation--Stock Compensation, to include share-based payment transactions for acquiring goods and services from nonemployees. Some of the areas for simplification apply only to nonpublic entities. ASU 2018-07 specifies that Topic 718 applies to all share-based payment transactions in which a grantor acquires goods or services to be used or consumed in a grantor’s own operations by issuing share-based payment awards. ASU 2018-07 also clarify that Topic 718 does not apply to share-based payments used to effectively provide (1) financing to the issuer or (2) awards granted in conjunction with selling goods or services to customers as part of a contract accounted for under the New Revenue Standard. ASU 2018-07 is effective for public business entities for fiscal years beginning after December 15, 2018, including interim periods within that fiscal year. Early adoption is permitted. The Company does not expect the adoption of ASU 2018-07 to have a material impact on its consolidated financial statements and related disclosures.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84" w:name="page85"/>
    <w:bookmarkEnd w:id="84"/>
    <w:p>
      <w:pPr>
        <w:ind w:right="60"/>
        <w:spacing w:after="0" w:line="310" w:lineRule="auto"/>
        <w:rPr>
          <w:sz w:val="20"/>
          <w:szCs w:val="20"/>
          <w:color w:val="auto"/>
        </w:rPr>
      </w:pPr>
      <w:r>
        <w:rPr>
          <w:rFonts w:ascii="Arial" w:cs="Arial" w:eastAsia="Arial" w:hAnsi="Arial"/>
          <w:sz w:val="15"/>
          <w:szCs w:val="15"/>
          <w:color w:val="auto"/>
        </w:rPr>
        <w:t xml:space="preserve">In February 2018, the FASB issued ASU No. 2018-02, </w:t>
      </w:r>
      <w:r>
        <w:rPr>
          <w:rFonts w:ascii="Arial" w:cs="Arial" w:eastAsia="Arial" w:hAnsi="Arial"/>
          <w:sz w:val="15"/>
          <w:szCs w:val="15"/>
          <w:i w:val="1"/>
          <w:iCs w:val="1"/>
          <w:color w:val="auto"/>
        </w:rPr>
        <w:t>Income Statement—Reporting Comprehensive Income (Topic 220): Reclassification of Certain Tax Effects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from Accumulated Other Comprehensive Income </w:t>
      </w:r>
      <w:r>
        <w:rPr>
          <w:rFonts w:ascii="Arial" w:cs="Arial" w:eastAsia="Arial" w:hAnsi="Arial"/>
          <w:sz w:val="15"/>
          <w:szCs w:val="15"/>
          <w:color w:val="auto"/>
        </w:rPr>
        <w:t>(“ASU 2018-02”), which provides financial statement preparers with an option to reclassify stranded tax effects</w:t>
      </w:r>
      <w:r>
        <w:rPr>
          <w:rFonts w:ascii="Arial" w:cs="Arial" w:eastAsia="Arial" w:hAnsi="Arial"/>
          <w:sz w:val="15"/>
          <w:szCs w:val="15"/>
          <w:i w:val="1"/>
          <w:iCs w:val="1"/>
          <w:color w:val="auto"/>
        </w:rPr>
        <w:t xml:space="preserve"> </w:t>
      </w:r>
      <w:r>
        <w:rPr>
          <w:rFonts w:ascii="Arial" w:cs="Arial" w:eastAsia="Arial" w:hAnsi="Arial"/>
          <w:sz w:val="15"/>
          <w:szCs w:val="15"/>
          <w:color w:val="auto"/>
        </w:rPr>
        <w:t>within accumulated other comprehensive income to retained earnings in each period in which the effect of the change in the U.S. federal corporate income tax rate in the Tax Cuts and Jobs Act (or portion thereof) is recorded. The amendments in ASU 2018-02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ASU 2018-02 should be applied either in the period of adoption or retrospectively to each period (or periods) in which the effect of the change in the U.S. federal corporate income tax rate in the Tax Cuts and Jobs Act is recognized. The Company does not expect the adoption of ASU 2018-02 to have a material impact on its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 Hedging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(Topic 815): (Part I) Accounting for Certain Financial Instruments with Down Round Features, (Part II) Replacement of the Indefinite Deferral for Mandatorily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Redeemable Financial Instruments of Certain Nonpublic Entities and Certain Mandatorily Redeemable Noncontrolling Interests with a Scope Exception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(“ASU 2017-11”), which addresses the complexity of accounting for certain financial instruments with down round features. Down round features are features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equity-linked instruments (or embedded features) that result in the strike price being reduced on the basis of the pricing of future equity offerings.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guidance creates cost and complexity for entities that issue financial instruments (such as warrants and convertible instruments) with down round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features that require fair value measurement of the entire instrument or conversion option. For public business entities, the amendments in Part I of ASU 2017-11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effective for fiscal years, and interim periods within those fiscal years, beginning after December 15, 2018. For all other entities, the amendments in Part I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ASU 2017-11 are effective for fiscal years beginning after December 15, 2019, and interim periods within fiscal years beginning after December 15, 2020.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is evaluating the impact of the adoption of ASU 2017-11 on its consolidated financial statements.</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(“ASU 2017-04”),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is an SEC filer must adopt the amendments in ASU 2017-04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amendments in ASU 2016-02 create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 the leases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We will adopt Topic 842 effective January 1, 2019 using a modified retrospective method and will not restate comparative periods. As permitted under the transition guidance, we will carry forward the assessment of whether our contracts contain or are leases, classification of our leases and remaining lease terms. Based on our portfolio of leases as of December 31, 2018, approximately $5 million of lease assets and liabilities will be recognized on our balance sheet upon adoption, primarily relating to real estate. We are substantially complete with our implementation efforts.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3 – ACCOUNTS RECEIVABLE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accounts receivable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No allowance for doubtful accounts was considered necessary at December 31, 2018 and 2017. At December 31, 2018 and 2017, accounts receivable of $1,457 (RMB 10,000) and $1,805 (RMB 11,800), respectively, were pledged as collateral for borrowings from financial institutions (note 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inventory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inventory, gross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38,764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inventory, net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38,764</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did not set up any inventory reserve as of December 31, 2018 or 2017 and no inventory was pledged as collateral for borrowings from financial institutions. System shipments of first-tools to an existing or prospective customer, for which ownership does not transfer until customer acceptance, are classified as finished goods inventory and carried at cost until ownership is transferred.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property, plant and equipment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improvement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(8,102)</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(8,263)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$350 and $243 for the years ended December 31, 2018 and 2017,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6 – SHORT-TERM BORROWINGS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short-term borrowings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w w:val="96"/>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RMB 30,000 from Bank of China Pudong Branch, due on March 5, 2018 with annual interest rate of</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5.69%, secured by certain of the Company’s intellectual property and fully repaid on March 5, 2018 .</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Line of credit up to RMB 25,000 from Bank of Shanghai Pudong Branch, due on Various dates of October 2018 with an</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annual interest rate of 5.66%, guaranteed by the Company’s CEO and fully repaid on May 8, 2018.</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RMB 50,000 from Bank of Shanghai Pudong Branch, due on April 17, 2019 with an annual interest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rate of 4.99%, guaranteed by the Company’s CEO.</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3,133</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Line of credit up to RMB 50,000 from Bank of Shanghai Pudong Branch, due on February 14, 2019 with an annual interest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rate of 5.15%, guaranteed by the Company’s CEO.</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Line of credit up to RMB 5,000 from Shanghai Rural Commercial Bank, due on November 21, 2018 with an annual</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5.44%, guaranteed by the Company’s CEO and pledged by accounts receivable (Note 3).</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Line of credit up to RMB 10,000 from Shanghai Rural Commercial Bank, due on January 23, 2019 with an annual interest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rate of 5.44%, guaranteed by the Company’s CEO and pledged by accounts receivable (Note 3).</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4"/>
              </w:rPr>
              <w:t>Line of credit up to RMB 30,000 from Bank of China Pudong Branch, due on June 6, 2019 with annual interest rate of</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5.22%, secured by certain of the Company’s intellectual property and the Company’s CEO.</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2,186</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3"/>
              </w:rPr>
              <w:t>Line of credit up to RMB 30,000 from Bank of China Pudong Branch, due on June 13, 2019 with annual interest rate of</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8820" w:type="dxa"/>
            <w:vAlign w:val="bottom"/>
            <w:gridSpan w:val="2"/>
          </w:tcPr>
          <w:p>
            <w:pPr>
              <w:spacing w:after="0"/>
              <w:rPr>
                <w:sz w:val="20"/>
                <w:szCs w:val="20"/>
                <w:color w:val="auto"/>
              </w:rPr>
            </w:pPr>
            <w:r>
              <w:rPr>
                <w:rFonts w:ascii="Arial" w:cs="Arial" w:eastAsia="Arial" w:hAnsi="Arial"/>
                <w:sz w:val="18"/>
                <w:szCs w:val="18"/>
                <w:color w:val="auto"/>
              </w:rPr>
              <w:t>5.22%, secured by certain of the Company’s intellectual property and the Company’s CEO.</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2,186</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9,447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right="1460"/>
        <w:spacing w:after="0" w:line="440" w:lineRule="auto"/>
        <w:rPr>
          <w:sz w:val="20"/>
          <w:szCs w:val="20"/>
          <w:color w:val="auto"/>
        </w:rPr>
      </w:pPr>
      <w:r>
        <w:rPr>
          <w:rFonts w:ascii="Arial" w:cs="Arial" w:eastAsia="Arial" w:hAnsi="Arial"/>
          <w:sz w:val="18"/>
          <w:szCs w:val="18"/>
          <w:color w:val="auto"/>
        </w:rPr>
        <w:t xml:space="preserve">For the years ended December 31, 2018 and 2017, interest expense related to short-term borrowings amounted to $498 and $272 respectively. </w:t>
      </w:r>
      <w:r>
        <w:rPr>
          <w:rFonts w:ascii="Arial" w:cs="Arial" w:eastAsia="Arial" w:hAnsi="Arial"/>
          <w:sz w:val="18"/>
          <w:szCs w:val="18"/>
          <w:b w:val="1"/>
          <w:bCs w:val="1"/>
          <w:color w:val="auto"/>
        </w:rPr>
        <w:t>NOTE 7 – OTHER PAYABLE AND ACCRUED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other payable and accrued expenses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and payable for leasehold improvement due to a related party (note 11)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commissions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payroll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10,410</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vMerge w:val="restart"/>
          </w:tcPr>
          <w:p>
            <w:pPr>
              <w:jc w:val="right"/>
              <w:ind w:right="2932"/>
              <w:spacing w:after="0"/>
              <w:rPr>
                <w:sz w:val="20"/>
                <w:szCs w:val="20"/>
                <w:color w:val="auto"/>
              </w:rPr>
            </w:pPr>
            <w:r>
              <w:rPr>
                <w:rFonts w:ascii="Arial" w:cs="Arial" w:eastAsia="Arial" w:hAnsi="Arial"/>
                <w:sz w:val="18"/>
                <w:szCs w:val="18"/>
                <w:color w:val="auto"/>
              </w:rPr>
              <w:t>86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vMerge w:val="continue"/>
          </w:tcPr>
          <w:p>
            <w:pPr>
              <w:spacing w:after="0"/>
              <w:rPr>
                <w:sz w:val="24"/>
                <w:szCs w:val="24"/>
                <w:color w:val="auto"/>
              </w:rPr>
            </w:pPr>
          </w:p>
        </w:tc>
        <w:tc>
          <w:tcPr>
            <w:tcW w:w="88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8 – WARRANT LIABILITY</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warrant issued to SMC, while outstanding as of December 31, 2017, was classified as a liability as it was conditionally puttable in accordance with FASB ASC 480, Distinguishing Liabilities from Equity. The fair value of the warrant was adjusted for changes in fair value at each reporting period but could not be lower than the proceeds of the SMC Investment. The corresponding non-cash gain or loss of the changes in fair value was recorded in earnings. The methodology used to value the warrant was the Black-Scholes valuation model.</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March 30, 2018, ACM entered into a warrant exercise agreement with ACM Shanghai and SMC pursuant to which SMC exercised its warrant in full by issuing to ACM a senior secured promissory note in the principal amount of approximately $3,000. ACM then transferred the SMC note to ACM Shanghai in exchange for an intercompany promissory note of ACM Shanghai in the principal amount of approximately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 Upon the issuance of 397,502 shares of Class A common stock to SMC, the senior secured promissory note issued to AMC by SMC was offset against the SMC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LONG-TERM LIABILITIES</w:t>
      </w:r>
    </w:p>
    <w:p>
      <w:pPr>
        <w:spacing w:after="0" w:line="164"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(note 2). As of December 31, 2018 and 2017, other long-term liabilities consisted of the following unearned government subsidies: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1,483</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2,860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Subsidies to Polytetrafluoroethylene, commenced in 2018</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4,583</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METHOD INVESTMENT</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 Undistributed earnings attributable to ACM’s equity method investment represented $123 and $37 of the consolidated retained earnings at December 31, 2018 and 2017, respectively.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11 – RELATED PARTY BALANCES AND TRANSACTIONS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ACM purchased materials from Ninebell amounting to $7,785 and $3,704 during the years ended December 31, 2018 and 2017, respectively. As of December 31, 2018 and 2017, accounts payable due to Ninebell were $1,477 and $2,118, respectively, and prepaid to Ninebell for material purchases were $572 and $229, respectively.</w:t>
      </w:r>
    </w:p>
    <w:p>
      <w:pPr>
        <w:spacing w:after="0" w:line="10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would pay a monthly rental fee of approximately RMB 366 (equivalent to $55). The required security deposit is RMB 1,077 (equivalent to $163). The Company incurred leasing expenses under the lease agreement of $620 and $638 during the years ended December 31, 2018 and 2017, respectively. As of December 31, 2018 and 2017, payables to Zhangjiang Group for lease expenses and leasehold improvements recorded as other payables and accrued expenses amounted to $53 and $2,024, respectively (note 7).</w:t>
      </w:r>
    </w:p>
    <w:p>
      <w:pPr>
        <w:spacing w:after="0" w:line="1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December 9, 2016, ACM Shanghai received the SMC Investment from SMC for potential investment pursuant to terms to be subsequently negotiated (note 8).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 for a total exercise price of $2,981. On March 30, 2018, SMC exercised the warrant and purchased 397,502 shares of Class A common stock (note 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6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ACM entered into a two-year lease agreement in March 2015 for office and warehouse space of approximately 3,000 square feet for its headquarters in Fremont, California, at a rate of $2 per month. On February 4, 2019, ACM amended the lease agreement to extend the lease term through March 31, 2020 and increase the base rent to $3.3 per month from April 1, 2019 to March 31, 2020 and $3.4 per month from April 1, 2020 to March 31, 2021.</w:t>
      </w:r>
    </w:p>
    <w:p>
      <w:pPr>
        <w:spacing w:after="0" w:line="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ACM Shanghai entered into an operating lease agreement with Zhangjiang Group (a related party, see Note 11) in 2007 for manufacturing and office space of approximately 63,510 square feet in Shanghai, China. The lease terms and its payment terms are subject to modification and extension with Zhangjiang Group from time to time. The lease with Zhangjiang Group expired on December 31, 2017 and from January 1, 2018 to April 25, 2018 we leased the property on a month-to-month basis. On April 26, 2018, ACM Shanghai entered into a renewed lease with Zhangjiang Group for the period from January 1, 2018 through December 31, 2022. Under the lease, ACM Shanghai would pay a monthly rental fee of approximately RMB 366 (equivalent to $55). The required security deposit is RMB 1,077 (equivalent to $163).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ACM Wuxi leases office space in Wuxi, China, at a rate of less than $1 per month.</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9" w:name="page90"/>
    <w:bookmarkEnd w:id="89"/>
    <w:p>
      <w:pPr>
        <w:ind w:right="20"/>
        <w:spacing w:after="0" w:line="332" w:lineRule="auto"/>
        <w:rPr>
          <w:sz w:val="20"/>
          <w:szCs w:val="20"/>
          <w:color w:val="auto"/>
        </w:rPr>
      </w:pPr>
      <w:r>
        <w:rPr>
          <w:rFonts w:ascii="Arial" w:cs="Arial" w:eastAsia="Arial" w:hAnsi="Arial"/>
          <w:sz w:val="16"/>
          <w:szCs w:val="16"/>
          <w:color w:val="auto"/>
        </w:rPr>
        <w:t>In January 2018, ACM Shanghai entered into an operating lease agreement for the second factory in the Pudong region of Shanghai from January 2018 to January 2023. The new facility has a total of 50,000 square feet of available floor space. The monthly rent varies during the term of the lease.</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ACM leases its administrative, research and development and manufacturing facilities under various operating leases. Future minimum lease payments under non-cancelable lease agreements as of December 31, 2018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Rent expense was $1867 and $670 for the years ended December 31, 2018 and 2017,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ACM is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 holders.</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2017 ACM entered into a securities purchase agreement with PDHTI and its subsidiary Pudong Science and Technology (Cayman) Co., Ltd. (“PST”), in which ACM agreed to bid, in an auction process mandated by PRC regulations, to purchase PDHTI’s 10.78% equity interest in ACM Shanghai and to sell shares of Class A common stock to PST. On September 8, 2017, ACM issued 1,119,576 shares of Class A common stock to PST for a purchase price of $7.50 per share, representing an aggregate purchase price of $8,397.</w:t>
      </w:r>
    </w:p>
    <w:p>
      <w:pPr>
        <w:spacing w:after="0" w:line="13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August 2017 ACM entered into a securities purchase agreement with ZSTVC and its subsidiary Zhangjiang AJ Company Limited (“ZJAJ”), in which ACM agreed to bid, in an auction process mandated by PRC regulations, to purchase ZSTVC’s 7.58% equity interest in ACM Shanghai and to sell shares of Class A common stock to ZJAJ. On September 8, 2017, ACM issued 787,098 shares of Class A common stock to ZJAJ for a purchase price of $7.50 per share, or an aggregate purchase price of $5,903.</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November 2017 ACM issued 2,233,000 shares of Class A common stock and received net proceeds of $11,664 from the IPO and concurrently ACM issued an additional 1,333,334 shares of Class A common stock in a private placement for net proceeds of $7,053.</w:t>
      </w:r>
    </w:p>
    <w:p>
      <w:pPr>
        <w:spacing w:after="0" w:line="11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Upon the completion of the IPO on November 2, 2017, the Company issued a five-year warrant (the “Underwriter's Warrant”) to Roth Capital Partners, LLC, the lead underwriter of the IPO, for the purchase of up to 80,000 shares of Class A common stock at an exercise price of $6.16 per share. The Underwriter’s Warrant was immediately exercisable and expires on November 1, 2022. The Underwriter's Warrant is equity classified and its fair value was $137 at the IPO closing date, using the Black Scholes model with the following assumptions: volatility of 28.26%, a dividend rate of 0%, and a risk-free discount rate of 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0" w:name="page91"/>
    <w:bookmarkEnd w:id="90"/>
    <w:p>
      <w:pPr>
        <w:ind w:right="200"/>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At various dates during 2017, ACM issued 472,889 shares of Class A common stock upon options exercises by certain employees and non-employees. During the year ended December 31, 2018, the Company issued 265,952 shares of Class A common stock upon options exercises by certain employees and non-employees.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On March 30, 2018, SMC exercised its warrant (note 8) and purchased 397,502 shares of Class A common stock.</w:t>
      </w:r>
    </w:p>
    <w:p>
      <w:pPr>
        <w:spacing w:after="0" w:line="15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December 31, 2018 and 2017, the number of shares of Class A common stock issued and outstanding was 14,110,315 and 12,935,546, respectively. At December 31, 2018 and 2017, the number of shares of Class B common stock issued and outstanding was 1,898,423 and 2,409,738, respectively. During the year ended December 31, 2018, 511,315 shares of Class B common stock were converted into Class A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164"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9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employee share option activities during the year ended 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3"/>
              <w:spacing w:after="0"/>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Weighted</w:t>
            </w:r>
          </w:p>
        </w:tc>
        <w:tc>
          <w:tcPr>
            <w:tcW w:w="13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Weighted Average</w:t>
            </w: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240" w:type="dxa"/>
            <w:vAlign w:val="bottom"/>
            <w:gridSpan w:val="3"/>
          </w:tcPr>
          <w:p>
            <w:pPr>
              <w:jc w:val="right"/>
              <w:ind w:right="140"/>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1380" w:type="dxa"/>
            <w:vAlign w:val="bottom"/>
            <w:gridSpan w:val="2"/>
          </w:tcPr>
          <w:p>
            <w:pPr>
              <w:jc w:val="center"/>
              <w:ind w:right="2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82"/>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Price</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Contractual Term</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2,100,377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7.83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140,002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(174,334)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Expired</w:t>
            </w:r>
          </w:p>
        </w:tc>
        <w:tc>
          <w:tcPr>
            <w:tcW w:w="3040" w:type="dxa"/>
            <w:vAlign w:val="bottom"/>
            <w:gridSpan w:val="3"/>
          </w:tcPr>
          <w:p>
            <w:pPr>
              <w:jc w:val="right"/>
              <w:ind w:right="220"/>
              <w:spacing w:after="0"/>
              <w:rPr>
                <w:sz w:val="20"/>
                <w:szCs w:val="20"/>
                <w:color w:val="auto"/>
              </w:rPr>
            </w:pPr>
            <w:r>
              <w:rPr>
                <w:rFonts w:ascii="Arial" w:cs="Arial" w:eastAsia="Arial" w:hAnsi="Arial"/>
                <w:sz w:val="18"/>
                <w:szCs w:val="18"/>
                <w:color w:val="auto"/>
              </w:rPr>
              <w:t>(3,752)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(16,677)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2,045,616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8"/>
                <w:szCs w:val="18"/>
                <w:color w:val="auto"/>
                <w:w w:val="83"/>
              </w:rPr>
              <w:t>7.57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745,700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tcPr>
          <w:p>
            <w:pPr>
              <w:jc w:val="right"/>
              <w:ind w:right="220"/>
              <w:spacing w:after="0"/>
              <w:rPr>
                <w:sz w:val="20"/>
                <w:szCs w:val="20"/>
                <w:color w:val="auto"/>
              </w:rPr>
            </w:pPr>
            <w:r>
              <w:rPr>
                <w:rFonts w:ascii="Arial" w:cs="Arial" w:eastAsia="Arial" w:hAnsi="Arial"/>
                <w:sz w:val="18"/>
                <w:szCs w:val="18"/>
                <w:color w:val="auto"/>
              </w:rPr>
              <w:t>(151,650)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3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(4,622)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3"/>
          </w:tcPr>
          <w:p>
            <w:pPr>
              <w:jc w:val="right"/>
              <w:ind w:right="220"/>
              <w:spacing w:after="0"/>
              <w:rPr>
                <w:sz w:val="20"/>
                <w:szCs w:val="20"/>
                <w:color w:val="auto"/>
              </w:rPr>
            </w:pPr>
            <w:r>
              <w:rPr>
                <w:rFonts w:ascii="Arial" w:cs="Arial" w:eastAsia="Arial" w:hAnsi="Arial"/>
                <w:sz w:val="18"/>
                <w:szCs w:val="18"/>
                <w:color w:val="auto"/>
              </w:rPr>
              <w:t>(131,639)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2,503,405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7.30 years</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Vested and exercisable at December 31, 2018</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1,327,189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73"/>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90</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91" w:name="page92"/>
    <w:bookmarkEnd w:id="91"/>
    <w:p>
      <w:pPr>
        <w:ind w:right="320"/>
        <w:spacing w:after="0" w:line="298" w:lineRule="auto"/>
        <w:rPr>
          <w:sz w:val="20"/>
          <w:szCs w:val="20"/>
          <w:color w:val="auto"/>
        </w:rPr>
      </w:pPr>
      <w:r>
        <w:rPr>
          <w:rFonts w:ascii="Arial" w:cs="Arial" w:eastAsia="Arial" w:hAnsi="Arial"/>
          <w:sz w:val="16"/>
          <w:szCs w:val="16"/>
          <w:color w:val="auto"/>
        </w:rPr>
        <w:t>During the years ended December 31, 2018 and 2017, ACM recognized employee stock-based compensation expense of $712 and $271, respectively. As of December 31, 2018 and 2017, $2,424 and $729, respectively, of total unrecognized employee stock-based compensation expense, net of estimated forfeitures, related to stock-based awards were expected to be recognized over a weighted-average period of 1.62 years and 1.77 years, respectively. Total unrecognized compensation cost may be adjusted for future changes in estimated forfeitures.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granted to employee is estimated on the grant date using the Black-Scholes valuation model with the following assumptions.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20" w:type="dxa"/>
            <w:vAlign w:val="bottom"/>
            <w:tcBorders>
              <w:bottom w:val="single" w:sz="8" w:color="auto"/>
            </w:tcBorders>
          </w:tcPr>
          <w:p>
            <w:pPr>
              <w:jc w:val="center"/>
              <w:ind w:left="394"/>
              <w:spacing w:after="0"/>
              <w:rPr>
                <w:sz w:val="20"/>
                <w:szCs w:val="20"/>
                <w:color w:val="auto"/>
              </w:rPr>
            </w:pPr>
            <w:r>
              <w:rPr>
                <w:rFonts w:ascii="Arial" w:cs="Arial" w:eastAsia="Arial" w:hAnsi="Arial"/>
                <w:sz w:val="15"/>
                <w:szCs w:val="15"/>
                <w:b w:val="1"/>
                <w:bCs w:val="1"/>
                <w:color w:val="auto"/>
                <w:w w:val="89"/>
              </w:rPr>
              <w:t>2018</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2017</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9"/>
              </w:rPr>
              <w:t>$5.31-13.85</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$5.60-7.59</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85"/>
              </w:rPr>
              <w:t>6.25</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8"/>
              </w:rPr>
              <w:t>39.14% -43.00%</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0"/>
              </w:rPr>
              <w:t>28.62% -29.18%</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90"/>
              </w:rPr>
              <w:t>2.55%-2.96%</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88"/>
              </w:rPr>
              <w:t>2.21%-2.22%</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4"/>
              </w:rPr>
              <w:t>0%</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2"/>
              </w:rPr>
              <w:t>0%</w:t>
            </w:r>
          </w:p>
        </w:tc>
      </w:tr>
    </w:tbl>
    <w:p>
      <w:pPr>
        <w:spacing w:after="0" w:line="14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Common stock value was the close market value on December 31, 2018.</w:t>
      </w:r>
    </w:p>
    <w:p>
      <w:pPr>
        <w:spacing w:after="0" w:line="1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spacing w:after="0" w:line="124"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180"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non-employee share option activities during the year ended December 31,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3"/>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74"/>
              <w:spacing w:after="0" w:line="16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608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5"/>
                <w:szCs w:val="15"/>
                <w:b w:val="1"/>
                <w:bCs w:val="1"/>
                <w:color w:val="auto"/>
                <w:w w:val="92"/>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1,578,565</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 years</w:t>
            </w: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196,669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(298,555)</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(133,336)</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tcPr>
          <w:p>
            <w:pPr>
              <w:jc w:val="right"/>
              <w:spacing w:after="0"/>
              <w:rPr>
                <w:sz w:val="20"/>
                <w:szCs w:val="20"/>
                <w:color w:val="auto"/>
              </w:rPr>
            </w:pPr>
            <w:r>
              <w:rPr>
                <w:rFonts w:ascii="Arial" w:cs="Arial" w:eastAsia="Arial" w:hAnsi="Arial"/>
                <w:sz w:val="18"/>
                <w:szCs w:val="18"/>
                <w:color w:val="auto"/>
              </w:rPr>
              <w:t>1,326,676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7.54 years</w:t>
            </w: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(114,302)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1,212,374</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 years</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Vested and exercisable at December 31,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946,691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1" w:lineRule="exact"/>
        <w:rPr>
          <w:sz w:val="20"/>
          <w:szCs w:val="20"/>
          <w:color w:val="auto"/>
        </w:rPr>
      </w:pPr>
    </w:p>
    <w:p>
      <w:pPr>
        <w:ind w:right="640" w:firstLine="44"/>
        <w:spacing w:after="0" w:line="268" w:lineRule="auto"/>
        <w:rPr>
          <w:sz w:val="20"/>
          <w:szCs w:val="20"/>
          <w:color w:val="auto"/>
        </w:rPr>
      </w:pPr>
      <w:r>
        <w:rPr>
          <w:rFonts w:ascii="Arial" w:cs="Arial" w:eastAsia="Arial" w:hAnsi="Arial"/>
          <w:sz w:val="18"/>
          <w:szCs w:val="18"/>
          <w:color w:val="auto"/>
        </w:rPr>
        <w:t>During the years ended December 31, 2018 and 2017, the Company recognized non-employee stock-based compensation expense of $2,651 and $1,351,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2" w:name="page93"/>
    <w:bookmarkEnd w:id="92"/>
    <w:p>
      <w:pPr>
        <w:ind w:right="60"/>
        <w:spacing w:after="0" w:line="268" w:lineRule="auto"/>
        <w:rPr>
          <w:sz w:val="20"/>
          <w:szCs w:val="20"/>
          <w:color w:val="auto"/>
        </w:rPr>
      </w:pPr>
      <w:r>
        <w:rPr>
          <w:rFonts w:ascii="Arial" w:cs="Arial" w:eastAsia="Arial" w:hAnsi="Arial"/>
          <w:sz w:val="18"/>
          <w:szCs w:val="18"/>
          <w:color w:val="auto"/>
        </w:rPr>
        <w:t>The fair value of each option granted to non-employees is re-measured at each period end until the vesting date using the Black-Scholes valuation model with the following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20" w:type="dxa"/>
            <w:vAlign w:val="bottom"/>
            <w:tcBorders>
              <w:bottom w:val="single" w:sz="8" w:color="auto"/>
            </w:tcBorders>
          </w:tcPr>
          <w:p>
            <w:pPr>
              <w:jc w:val="center"/>
              <w:ind w:left="394"/>
              <w:spacing w:after="0"/>
              <w:rPr>
                <w:sz w:val="20"/>
                <w:szCs w:val="20"/>
                <w:color w:val="auto"/>
              </w:rPr>
            </w:pPr>
            <w:r>
              <w:rPr>
                <w:rFonts w:ascii="Arial" w:cs="Arial" w:eastAsia="Arial" w:hAnsi="Arial"/>
                <w:sz w:val="15"/>
                <w:szCs w:val="15"/>
                <w:b w:val="1"/>
                <w:bCs w:val="1"/>
                <w:color w:val="auto"/>
                <w:w w:val="89"/>
              </w:rPr>
              <w:t>2018</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2017</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8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$10.88</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$5.25-7.59</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86"/>
              </w:rPr>
              <w:t>2.58-5.36</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89"/>
              </w:rPr>
              <w:t>3.58-6.25</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8"/>
              </w:rPr>
              <w:t>40.24%-45.48%</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28.71-29.41 %</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90"/>
              </w:rPr>
              <w:t>2.39%-2.94%</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88"/>
              </w:rPr>
              <w:t>1.62%-2.43 %</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4"/>
              </w:rPr>
              <w:t>0%</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2"/>
              </w:rPr>
              <w:t>0%</w:t>
            </w:r>
          </w:p>
        </w:tc>
      </w:tr>
    </w:tbl>
    <w:p>
      <w:pPr>
        <w:spacing w:after="0" w:line="140"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Common stock value was the close market value on December 31, 2018.</w:t>
      </w:r>
    </w:p>
    <w:p>
      <w:pPr>
        <w:spacing w:after="0" w:line="157"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180"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 components of the income tax expense (benefit) for the years ended December 31, 2018 and 2017:</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Pr>
          <w:p>
            <w:pPr>
              <w:ind w:left="340"/>
              <w:spacing w:after="0"/>
              <w:rPr>
                <w:sz w:val="20"/>
                <w:szCs w:val="20"/>
                <w:color w:val="auto"/>
              </w:rPr>
            </w:pPr>
            <w:r>
              <w:rPr>
                <w:rFonts w:ascii="Arial" w:cs="Arial" w:eastAsia="Arial" w:hAnsi="Arial"/>
                <w:sz w:val="18"/>
                <w:szCs w:val="18"/>
                <w:color w:val="auto"/>
              </w:rPr>
              <w:t>Current: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U.S. federal</w:t>
            </w:r>
          </w:p>
        </w:tc>
        <w:tc>
          <w:tcPr>
            <w:tcW w:w="4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20"/>
              <w:spacing w:after="0"/>
              <w:rPr>
                <w:sz w:val="20"/>
                <w:szCs w:val="20"/>
                <w:color w:val="auto"/>
              </w:rPr>
            </w:pPr>
            <w:r>
              <w:rPr>
                <w:rFonts w:ascii="Arial" w:cs="Arial" w:eastAsia="Arial" w:hAnsi="Arial"/>
                <w:sz w:val="18"/>
                <w:szCs w:val="18"/>
                <w:color w:val="auto"/>
              </w:rPr>
              <w:t>U.S. state</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Foreign</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Total current tax expense</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20"/>
              <w:spacing w:after="0"/>
              <w:rPr>
                <w:sz w:val="20"/>
                <w:szCs w:val="20"/>
                <w:color w:val="auto"/>
              </w:rPr>
            </w:pPr>
            <w:r>
              <w:rPr>
                <w:rFonts w:ascii="Arial" w:cs="Arial" w:eastAsia="Arial" w:hAnsi="Arial"/>
                <w:sz w:val="18"/>
                <w:szCs w:val="18"/>
                <w:color w:val="auto"/>
              </w:rPr>
              <w:t>U.S. federal</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U.S. state</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20"/>
              <w:spacing w:after="0"/>
              <w:rPr>
                <w:sz w:val="20"/>
                <w:szCs w:val="20"/>
                <w:color w:val="auto"/>
              </w:rPr>
            </w:pPr>
            <w:r>
              <w:rPr>
                <w:rFonts w:ascii="Arial" w:cs="Arial" w:eastAsia="Arial" w:hAnsi="Arial"/>
                <w:sz w:val="18"/>
                <w:szCs w:val="18"/>
                <w:color w:val="auto"/>
              </w:rPr>
              <w:t>Foreign</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income (expense)</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Total income tax expense</w:t>
            </w:r>
          </w:p>
        </w:tc>
        <w:tc>
          <w:tcPr>
            <w:tcW w:w="45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4580" w:type="dxa"/>
            <w:vAlign w:val="bottom"/>
            <w:vMerge w:val="restart"/>
          </w:tcPr>
          <w:p>
            <w:pPr>
              <w:jc w:val="right"/>
              <w:ind w:right="2932"/>
              <w:spacing w:after="0"/>
              <w:rPr>
                <w:sz w:val="20"/>
                <w:szCs w:val="20"/>
                <w:color w:val="auto"/>
              </w:rPr>
            </w:pPr>
            <w:r>
              <w:rPr>
                <w:rFonts w:ascii="Arial" w:cs="Arial" w:eastAsia="Arial" w:hAnsi="Arial"/>
                <w:sz w:val="18"/>
                <w:szCs w:val="18"/>
                <w:color w:val="auto"/>
              </w:rPr>
              <w:t>92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4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93" w:name="page94"/>
    <w:bookmarkEnd w:id="93"/>
    <w:p>
      <w:pPr>
        <w:ind w:right="440"/>
        <w:spacing w:after="0" w:line="268" w:lineRule="auto"/>
        <w:rPr>
          <w:sz w:val="20"/>
          <w:szCs w:val="20"/>
          <w:color w:val="auto"/>
        </w:rPr>
      </w:pPr>
      <w:r>
        <w:rPr>
          <w:rFonts w:ascii="Arial" w:cs="Arial" w:eastAsia="Arial" w:hAnsi="Arial"/>
          <w:sz w:val="18"/>
          <w:szCs w:val="18"/>
          <w:color w:val="auto"/>
        </w:rPr>
        <w:t>Tax effects of temporary differences that give rise to significant portions of the Company’s deferred tax assets at December 31, 2018 and 2017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operating loss carry forwards (offshore)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operating loss carry forwards (U.S.) and credit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revenue (offshore)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Accruals (U.S.)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Reserves and other (offshore)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(U.S.)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Property and equipment (U.S.)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(5,155)</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(5,431)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Translation difference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2018 and 2017,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decreased by $278 for the year ended December 31, 2018 and increased $760 for the year ended December 31, 2017. The valuation allowance in China decreased by $2 and decreased by $58 during the years ended December 31, 2018 and 2017,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significant temporary differences relating to deferred tax liabilities as of December 31, 2018 or 2017.</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2018 and 2017, the Company had net operating loss carry-forwards of respectively, $15,867 and $20,116 for U.S federal purposes, $714 and $536 for U.S. state purposes and $6,411 for Chinese income tax purposes. Such losses are set to expire in 2019, 2032, and 2019 for U.S. federal, U.S. state and Chinese income tax purposes, respectively.</w:t>
      </w:r>
    </w:p>
    <w:p>
      <w:pPr>
        <w:spacing w:after="0" w:line="19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As of December 31, 2018 and 2017, the Company had research credit carry-forwards of $606 for U.S. federal purposes, and $377 for U.S. state purposes. Such credits are set to expire in 2025 for U.S. federal carry-forwards. There is no expiration date for U.S. state carry-forwards.</w:t>
      </w:r>
    </w:p>
    <w:p>
      <w:pPr>
        <w:spacing w:after="0" w:line="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December 31, 2018 and 2017, the Company had not performed an analysis to determine if its net operating loss and credit carry-forwards would be subject to such limitations.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4" w:name="page95"/>
    <w:bookmarkEnd w:id="94"/>
    <w:p>
      <w:pPr>
        <w:ind w:right="60"/>
        <w:spacing w:after="0" w:line="290" w:lineRule="auto"/>
        <w:rPr>
          <w:sz w:val="20"/>
          <w:szCs w:val="20"/>
          <w:color w:val="auto"/>
        </w:rPr>
      </w:pPr>
      <w:r>
        <w:rPr>
          <w:rFonts w:ascii="Arial" w:cs="Arial" w:eastAsia="Arial" w:hAnsi="Arial"/>
          <w:sz w:val="16"/>
          <w:szCs w:val="16"/>
          <w:color w:val="auto"/>
        </w:rPr>
        <w:t>The Company’s effective tax rate differs from statutory rates of 21%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years ended December 31, 2018 and 2017.</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tax expense (benefit) for the years ended December 31, 2018 and 2017 differed from the amounts computed by applying the statutory federal income tax rate of 21% and 34%, respectively, to pretax income (loss) as a result of the following:</w:t>
      </w:r>
    </w:p>
    <w:p>
      <w:pPr>
        <w:spacing w:after="0" w:line="181"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auto"/>
        </w:rPr>
        <w:t>Year Ended</w:t>
      </w:r>
    </w:p>
    <w:p>
      <w:pPr>
        <w:spacing w:after="0" w:line="6" w:lineRule="exact"/>
        <w:rPr>
          <w:sz w:val="20"/>
          <w:szCs w:val="20"/>
          <w:color w:val="auto"/>
        </w:rPr>
      </w:pPr>
    </w:p>
    <w:p>
      <w:pPr>
        <w:ind w:left="960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reconciliation:</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Income tax provision at statutory rate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State taxes, net of Federal benefit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Foreign rate differential</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(20.88)</w:t>
            </w:r>
          </w:p>
        </w:tc>
        <w:tc>
          <w:tcPr>
            <w:tcW w:w="1080" w:type="dxa"/>
            <w:vAlign w:val="bottom"/>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permanent difference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Effect of tax reform</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Change in valuation allowance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(10.93%)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(168.65%)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2018 and 2017,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w w:val="90"/>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Increase/(Decrease) of unrecognized tax benefits taken in prior years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Increase/(Decrease) of unrecognized tax benefits related to current year</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Increase/(Decreases) of unrecognized tax benefits related to settlements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Reductions to unrecognized tax benefits related to lapsing statute of limitations</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Ending balance</w:t>
            </w:r>
          </w:p>
        </w:tc>
        <w:tc>
          <w:tcPr>
            <w:tcW w:w="760" w:type="dxa"/>
            <w:vAlign w:val="bottom"/>
          </w:tcPr>
          <w:p>
            <w:pPr>
              <w:jc w:val="right"/>
              <w:ind w:right="57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2017.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$44 of unrecognized tax benefits as of December 31, 2018 and 2017.</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63" w:right="179" w:bottom="1440" w:gutter="0" w:footer="0" w:header="0"/>
        </w:sectPr>
      </w:pPr>
    </w:p>
    <w:bookmarkStart w:id="95" w:name="page96"/>
    <w:bookmarkEnd w:id="95"/>
    <w:p>
      <w:pPr>
        <w:ind w:right="40"/>
        <w:spacing w:after="0" w:line="256"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2018 and 2017, the Company had $44 of accrued penalties and $44 of accrued penalties related to uncertain tax positions, none of which has been recognized in the Company’s consolidated statements of operations and comprehensive income for the years ended December 31, 2018 and 2017. There were no ongoing examinations by taxing authorities as of December 31, 2018 and 2017.</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intends to indefinitely reinvest the PRC earnings outside of the U.S. as of December 31, 2018 and 2017. Thus, deferred taxes are not provided in the U.S. for unremitted earnings in the PRC.</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December 22, 2017, the 2017 Tax Cuts and Jobs Act was enacted into law and the new legislation contains several key tax provisions that affect us, including a one-time mandatory transition tax on accumulated foreign earnings and a reduction of the corporate income tax rate to 21% effective January 1, 2018, among others. We are required to recognize the effect of the tax law changes in the period of enactment, such as determining the transition tax, remeasuring our U.S. deferred tax assets and liabilities as well as reassessing the net realizability of our deferred tax assets and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64"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Company leases offices under non-cancelable operating lease agreements. The rental expenses were $1,867 and $670 for the years ended December 31, 2018 and 2017, respectively. See note 12 for future minimum lease payments under non-cancelable operating lease agreements with initial terms of one year or more.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capital commitments during the reported periods.</w:t>
      </w:r>
    </w:p>
    <w:p>
      <w:pPr>
        <w:spacing w:after="0" w:line="158"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RESTRICTED NET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PRC’s Foreign Enterprise Law, ACM Shanghai and ACM Wuxi are required to make contributions to a statutory surplus reserve (note 2).</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result of PRC laws and regulations that require annual appropriations of 10% of net after-tax profits to be set aside prior to payment of dividends as a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$32,076 and $29,927 as of December 31, 2018 and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PARENT COMPANY ONLY CONDENSED FINANCIAL INFORMATION</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ACM’s subsidiaries did not pay any dividends to ACM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ACM did not have significant capital or other commitments, long-term obligations, or guarantees as of December 31, 2018 and 2017.</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The following represents condensed unconsolidated financial information of ACM only as of and for the years ended December 31, 2018 and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Current assets:</w:t>
            </w:r>
          </w:p>
        </w:tc>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960"/>
              <w:spacing w:after="0"/>
              <w:rPr>
                <w:sz w:val="20"/>
                <w:szCs w:val="20"/>
                <w:color w:val="auto"/>
              </w:rPr>
            </w:pPr>
            <w:r>
              <w:rPr>
                <w:rFonts w:ascii="Arial" w:cs="Arial" w:eastAsia="Arial" w:hAnsi="Arial"/>
                <w:sz w:val="18"/>
                <w:szCs w:val="18"/>
                <w:color w:val="auto"/>
              </w:rPr>
              <w:t>Accounts Receivable</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Inventory</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120"/>
              <w:spacing w:after="0"/>
              <w:rPr>
                <w:sz w:val="20"/>
                <w:szCs w:val="20"/>
                <w:color w:val="auto"/>
              </w:rPr>
            </w:pPr>
            <w:r>
              <w:rPr>
                <w:rFonts w:ascii="Arial" w:cs="Arial" w:eastAsia="Arial" w:hAnsi="Arial"/>
                <w:sz w:val="18"/>
                <w:szCs w:val="18"/>
                <w:color w:val="auto"/>
              </w:rPr>
              <w:t>Due from intercompany</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Other receivable</w:t>
            </w:r>
          </w:p>
        </w:tc>
        <w:tc>
          <w:tcPr>
            <w:tcW w:w="3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Investment in unconsolidated subsidiaries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Due from related party</w:t>
            </w:r>
          </w:p>
        </w:tc>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Total assets</w:t>
            </w:r>
          </w:p>
        </w:tc>
        <w:tc>
          <w:tcPr>
            <w:tcW w:w="3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56,394</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payable</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payable</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liabilities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120"/>
              <w:spacing w:after="0"/>
              <w:rPr>
                <w:sz w:val="20"/>
                <w:szCs w:val="20"/>
                <w:color w:val="auto"/>
              </w:rPr>
            </w:pPr>
            <w:r>
              <w:rPr>
                <w:rFonts w:ascii="Arial" w:cs="Arial" w:eastAsia="Arial" w:hAnsi="Arial"/>
                <w:sz w:val="18"/>
                <w:szCs w:val="18"/>
                <w:color w:val="auto"/>
              </w:rPr>
              <w:t>Total redeemable convertible preferred stocks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stockholders’ equity</w:t>
            </w:r>
          </w:p>
        </w:tc>
        <w:tc>
          <w:tcPr>
            <w:tcW w:w="3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120"/>
              <w:spacing w:after="0"/>
              <w:rPr>
                <w:sz w:val="20"/>
                <w:szCs w:val="20"/>
                <w:color w:val="auto"/>
              </w:rPr>
            </w:pPr>
            <w:r>
              <w:rPr>
                <w:rFonts w:ascii="Arial" w:cs="Arial" w:eastAsia="Arial" w:hAnsi="Arial"/>
                <w:sz w:val="18"/>
                <w:szCs w:val="18"/>
                <w:color w:val="auto"/>
              </w:rPr>
              <w:t>Total liabilities and stockholders’ equity</w:t>
            </w:r>
          </w:p>
        </w:tc>
        <w:tc>
          <w:tcPr>
            <w:tcW w:w="4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56,394</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40,698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STATEMENT OF OPERATIONS</w:t>
            </w:r>
          </w:p>
        </w:tc>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5000" w:type="dxa"/>
            <w:vAlign w:val="bottom"/>
            <w:gridSpan w:val="2"/>
            <w:vMerge w:val="continue"/>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revenue</w:t>
            </w:r>
          </w:p>
        </w:tc>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(23,927)</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3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(5,083)</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Loss from operations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(4,060)</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subsidiaries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Net income (loss)</w:t>
            </w:r>
          </w:p>
        </w:tc>
        <w:tc>
          <w:tcPr>
            <w:tcW w:w="4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20" w:type="dxa"/>
            <w:vAlign w:val="bottom"/>
            <w:vMerge w:val="restart"/>
          </w:tcPr>
          <w:p>
            <w:pPr>
              <w:jc w:val="right"/>
              <w:ind w:right="2932"/>
              <w:spacing w:after="0"/>
              <w:rPr>
                <w:sz w:val="20"/>
                <w:szCs w:val="20"/>
                <w:color w:val="auto"/>
              </w:rPr>
            </w:pPr>
            <w:r>
              <w:rPr>
                <w:rFonts w:ascii="Arial" w:cs="Arial" w:eastAsia="Arial" w:hAnsi="Arial"/>
                <w:sz w:val="18"/>
                <w:szCs w:val="18"/>
                <w:color w:val="auto"/>
              </w:rPr>
              <w:t>96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CONDENSED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(13,848)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(21,754)</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38,676</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Our management, with the participation of our Chief Executive Officer and Chief Accounting Officer, evaluated the effectiveness of our disclosure controls and procedures pursuant to Rule 13a-15 under the Securities Exchange Act of 1934, or the Exchange Act, as of December 31, 2018.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that evaluation, our Chief Executive Officer and Chief Accounting Officer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Accounting Officer,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Accounting Officer, assessed the effectiveness of our internal control over financial reporting as of December 31, 2018.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2018.</w:t>
      </w:r>
    </w:p>
    <w:p>
      <w:pPr>
        <w:spacing w:after="0" w:line="13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due to a transition period established by rules of the Securities and Exchange Commission for “emerging growth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and Remediation Efforts</w:t>
      </w:r>
    </w:p>
    <w:p>
      <w:pPr>
        <w:spacing w:after="0" w:line="158" w:lineRule="exact"/>
        <w:rPr>
          <w:sz w:val="20"/>
          <w:szCs w:val="20"/>
          <w:color w:val="auto"/>
        </w:rPr>
      </w:pPr>
    </w:p>
    <w:p>
      <w:pPr>
        <w:jc w:val="both"/>
        <w:ind w:right="460"/>
        <w:spacing w:after="0" w:line="370" w:lineRule="auto"/>
        <w:rPr>
          <w:sz w:val="20"/>
          <w:szCs w:val="20"/>
          <w:color w:val="auto"/>
        </w:rPr>
      </w:pPr>
      <w:r>
        <w:rPr>
          <w:rFonts w:ascii="Arial" w:cs="Arial" w:eastAsia="Arial" w:hAnsi="Arial"/>
          <w:sz w:val="15"/>
          <w:szCs w:val="15"/>
          <w:color w:val="auto"/>
        </w:rPr>
        <w:t>During year ended December 31, 2018, no changes, other than those in conjunction with certain remediation efforts described below, were identified to our internal control over financial reporting that materially affected, or were reasonably likely to materially affect, our internal control over financial reporting.</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its audits of our consolidated financial statements as of, and for the year ended, December 31, 2017, BDO China Shu Lun Pan Certified Public Accountants LLP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GAAP and to prepare and review our consolidated financial statements and related disclosures to fulfill GAAP and Securities and Exchange Commission financial reporting requirements.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9" w:name="page100"/>
    <w:bookmarkEnd w:id="99"/>
    <w:p>
      <w:pPr>
        <w:ind w:right="240"/>
        <w:spacing w:after="0" w:line="268" w:lineRule="auto"/>
        <w:rPr>
          <w:sz w:val="20"/>
          <w:szCs w:val="20"/>
          <w:color w:val="auto"/>
        </w:rPr>
      </w:pPr>
      <w:r>
        <w:rPr>
          <w:rFonts w:ascii="Arial" w:cs="Arial" w:eastAsia="Arial" w:hAnsi="Arial"/>
          <w:sz w:val="18"/>
          <w:szCs w:val="18"/>
          <w:color w:val="auto"/>
        </w:rPr>
        <w:t>In the nine months ended September 30, 2018, we hired additional accounting and finance personnel and engaged outside consulting firms in order to improve our internal control over the financial reporting process.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will continue to monitor the effectiveness of our internal control over financial reporting and will seek to employ any additional tools and resources deemed necessary to enhance our internal control over financial reporting.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12"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See “Item 8. Financial Statements and Supplementary Data – Index to Consolidated Financial Statements” above and “Exhibit Index” below.</w:t>
      </w:r>
    </w:p>
    <w:p>
      <w:pPr>
        <w:spacing w:after="0" w:line="180" w:lineRule="exact"/>
        <w:rPr>
          <w:rFonts w:ascii="Arial" w:cs="Arial" w:eastAsia="Arial" w:hAnsi="Arial"/>
          <w:sz w:val="16"/>
          <w:szCs w:val="16"/>
          <w:color w:val="auto"/>
        </w:rPr>
      </w:pPr>
    </w:p>
    <w:p>
      <w:pPr>
        <w:ind w:left="760" w:hanging="752"/>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jc w:val="right"/>
              <w:ind w:right="4552"/>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1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03</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Restated Certificate of Incorporation of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r:id="rId11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04</w:t>
              </w:r>
            </w:hyperlink>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Restated Bylaws of ACM Research,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1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8"/>
              </w:rPr>
              <w:t>Form of Warrant dated November 2, 2017 issued to the underwriters of ACM Research, Inc.'s initial public offering exercisable for an 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 80,000 shares of Class A common stock</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79"/>
              </w:rPr>
              <w:t>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0"/>
              </w:rPr>
              <w:t>Senior Secured Promissory Note dated March 30, 2018 issued by Shengxin (Shanghai) Management Consulting Limited Partnership to ACM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Research (Shanghai),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Intercompany Promissory Note dated March 30, 2018 issued by ACM Research (Shanghai), Inc. to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01(a)</w:t>
              </w:r>
            </w:hyperlink>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10.01(b)</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Amendment dated February 28, 2018 between ACM Research, Inc. and D&amp;J Construction,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01(c)</w:t>
              </w:r>
            </w:hyperlink>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Lease Amendment dated February 4, 2019 between ACM Research, Inc. and D&amp;J Construction,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10.02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Agreement dated April 26, 2018 between ACM Research (Shanghai), Inc. and Shanghai Zhangjiang Group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79"/>
              </w:rPr>
              <w:t>10.03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Lease Agreement dated January 18, 2018 between ACM Research (Shanghai), Inc. and Shanghai Shengyu Culture Development Co.,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04</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Securities Purchase Agreement dated March 14, 2017 by and among ACM Research, Inc., Shengxin (Shanghai) Management Consulting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Limited Partnership and ACM Research (Shanghai),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12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05</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7"/>
              </w:rPr>
              <w:t>Securities Purchase Agreement dated March 23, 2017 between ACM Research, Inc. and Shanghai Science and Technology Venture Capital Co.,</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Ltd., as amended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12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06</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9"/>
              </w:rPr>
              <w:t>Securities Purchase Agreement dated August 31, 2017 by and among ACM Research, Inc., Shanghai Pudong High-Tech Investment Co., Ltd.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Pudong Science and Technology (Cayman) Co.,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12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07</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3"/>
              </w:rPr>
              <w:t>Securities Purchase Agreement dated August 31, 2017 by and among ACM Research, Inc., Shanghai Zhangjiang Science &amp; Technology</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Venture Capital Co., Ltd. and Zhangjiang AJ Company Limited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12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08</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91"/>
              </w:rPr>
              <w:t>Ordinary Share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79"/>
              </w:rPr>
            </w:pPr>
            <w:hyperlink r:id="rId12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09</w:t>
              </w:r>
            </w:hyperlink>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w w:val="89"/>
              </w:rPr>
              <w:t>Class A Common Stock Purchase Agreement dated September 6, 2017 by and among ACM Research, Inc., Ninebell Co., Ltd. and Moon-Soo</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Choi</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12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10</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92"/>
              </w:rPr>
              <w:t>Form of Second Amended and Restated Registration Rights Agreement to be entered into between ACM Research, Inc. and certain of its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12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11</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3"/>
              </w:rPr>
              <w:t>Stock Purchase Agreement, dated October 11, 2017, by and among ACM Research, Inc., Xunxin (Shanghai) Capital Co., Limited, Xinxin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(Hongkong) Capital Co., Limited and David H. Wang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12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12</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79"/>
              </w:rPr>
            </w:pPr>
            <w:hyperlink r:id="rId13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13</w:t>
              </w:r>
            </w:hyperlink>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w w:val="93"/>
              </w:rPr>
              <w:t>Nomination and Voting Agreement, dated October 11, 2017, by and among Xinxin (Hongkong) Capital Co., Limited, ACM Research, Inc.,</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David H. Wang, and the individuals named therein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13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14</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8"/>
              </w:rPr>
              <w:t>Voting Agreement, dated March 23, 2017, by and among Shanghai Technology Venture Capital Co., Ltd. (also known as Shanghai Science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Technology Venture Capital Co., Ltd.) and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0000EE"/>
            </w:tcBorders>
            <w:gridSpan w:val="3"/>
          </w:tcPr>
          <w:p>
            <w:pPr>
              <w:spacing w:after="0" w:line="176" w:lineRule="exact"/>
              <w:rPr>
                <w:rFonts w:ascii="Arial" w:cs="Arial" w:eastAsia="Arial" w:hAnsi="Arial"/>
                <w:sz w:val="18"/>
                <w:szCs w:val="18"/>
                <w:color w:val="0000EE"/>
                <w:w w:val="82"/>
              </w:rPr>
            </w:pPr>
            <w:hyperlink r:id="rId132">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15+</w:t>
              </w:r>
            </w:hyperlink>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2016 Omnibus Incentive Plan of ACM Research, Inc.</w:t>
            </w: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4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r:id="rId13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15(a)+</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15(b)+</w:t>
              </w:r>
            </w:hyperlink>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15(c)+</w:t>
              </w:r>
            </w:hyperlink>
          </w:p>
        </w:tc>
        <w:tc>
          <w:tcPr>
            <w:tcW w:w="1026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0000EE"/>
              <w:bottom w:val="single" w:sz="8" w:color="0000EE"/>
            </w:tcBorders>
            <w:gridSpan w:val="2"/>
          </w:tcPr>
          <w:p>
            <w:pPr>
              <w:spacing w:after="0" w:line="176" w:lineRule="exact"/>
              <w:rPr>
                <w:rFonts w:ascii="Arial" w:cs="Arial" w:eastAsia="Arial" w:hAnsi="Arial"/>
                <w:sz w:val="18"/>
                <w:szCs w:val="18"/>
                <w:color w:val="0000EE"/>
                <w:w w:val="82"/>
              </w:rPr>
            </w:pPr>
            <w:hyperlink r:id="rId136">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16+</w:t>
              </w:r>
            </w:hyperlink>
          </w:p>
        </w:tc>
        <w:tc>
          <w:tcPr>
            <w:tcW w:w="20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Form of Nonstatutory Stock Option Agreement of ACM Research,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2"/>
              </w:rPr>
            </w:pPr>
            <w:hyperlink r:id="rId137">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17+</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1998 Stock Option Plan of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17(a)+</w:t>
              </w:r>
            </w:hyperlink>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Form of Incentive Stock Option Agreement under 1998 Stock Option Plan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17(b)+</w:t>
              </w:r>
            </w:hyperlink>
          </w:p>
        </w:tc>
        <w:tc>
          <w:tcPr>
            <w:tcW w:w="1026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Form of Non-statutory Stock Option Agreement under 1998 Stock Option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79"/>
              </w:rPr>
            </w:pPr>
            <w:hyperlink r:id="rId14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18</w:t>
              </w:r>
            </w:hyperlink>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Form of Indemnification Agreement entered into between ACM Research, Inc. and certain of its directors and officers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2"/>
              </w:rPr>
            </w:pPr>
            <w:hyperlink r:id="rId141">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19+</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82"/>
              </w:rPr>
              <w:t>10.20+</w:t>
            </w: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6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rPr>
              <w:t>Advisory Board Agreement dated May 1, 2016 by and between ACM Research, Inc. and Chenming Hu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10.21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Line of Credit Agreement dated January 19, 2018 between ACM Research (Shanghai), Inc. and Shanghai Rural Commercial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79"/>
              </w:rPr>
              <w:t>10.22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7"/>
              </w:rPr>
              <w:t>Line of Credit Agreement dated February 2, 2018 between ACM Research (Shanghai), Inc. and Bank of Shanghai Pudong Branch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10.23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Line of Credit Agreement dated August 24, 2018 between ACM Research (Shanghai), Inc. and Bank of China Shanghai Pudong Branch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79"/>
              </w:rPr>
              <w:t>10.24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Advisory Board Agreement dated May 1, 2016 by and between ACM Research, Inc. and Chenming Hu</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10.25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Warrant Exercise Agreement dated March 30, 2018 by and among ACM Research, Inc., ACM Research (Shanghai), Inc., and Shengxin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(Shanghai) Management Consulting Limited Partnership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79"/>
              </w:rPr>
              <w:t>21.01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List of Subsidiaries of ACM Research, Inc.</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01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Consent of BDO China Shu Lan Pan Certified Public Accountants LLP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31.01</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6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w w:val="90"/>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31.02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79"/>
              </w:rPr>
              <w:t>32.01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906 of the Sarbanes-Oxley Act of 2002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7"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0" w:firstLine="486"/>
        <w:spacing w:after="0" w:line="268"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 as of March 14, 2019.</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ACM RESEARCH, INC.</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19" w:lineRule="exact"/>
        <w:rPr>
          <w:sz w:val="20"/>
          <w:szCs w:val="20"/>
          <w:color w:val="auto"/>
        </w:rPr>
      </w:pPr>
    </w:p>
    <w:p>
      <w:pPr>
        <w:ind w:right="40" w:firstLine="486"/>
        <w:spacing w:after="0" w:line="268"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in the capacities indicated on March 14,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120" w:type="dxa"/>
            <w:vAlign w:val="bottom"/>
          </w:tcPr>
          <w:p>
            <w:pPr>
              <w:spacing w:after="0"/>
              <w:rPr>
                <w:sz w:val="20"/>
                <w:szCs w:val="20"/>
                <w:color w:val="auto"/>
              </w:rPr>
            </w:pPr>
          </w:p>
        </w:tc>
        <w:tc>
          <w:tcPr>
            <w:tcW w:w="6720" w:type="dxa"/>
            <w:vAlign w:val="bottom"/>
            <w:tcBorders>
              <w:bottom w:val="single" w:sz="8" w:color="auto"/>
            </w:tcBorders>
          </w:tcPr>
          <w:p>
            <w:pPr>
              <w:ind w:left="3180"/>
              <w:spacing w:after="0"/>
              <w:rPr>
                <w:sz w:val="20"/>
                <w:szCs w:val="20"/>
                <w:color w:val="auto"/>
              </w:rPr>
            </w:pPr>
            <w:r>
              <w:rPr>
                <w:rFonts w:ascii="Arial" w:cs="Arial" w:eastAsia="Arial" w:hAnsi="Arial"/>
                <w:sz w:val="18"/>
                <w:szCs w:val="18"/>
                <w:b w:val="1"/>
                <w:bCs w:val="1"/>
                <w:color w:val="auto"/>
              </w:rPr>
              <w:t>Title</w:t>
            </w:r>
          </w:p>
        </w:tc>
      </w:tr>
      <w:tr>
        <w:trPr>
          <w:trHeight w:val="439"/>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H. Wang</w:t>
            </w: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0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David H. Wang</w:t>
            </w:r>
          </w:p>
        </w:tc>
        <w:tc>
          <w:tcPr>
            <w:tcW w:w="1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Chief Executive Officer, President and Director</w:t>
            </w:r>
          </w:p>
        </w:tc>
      </w:tr>
      <w:tr>
        <w:trPr>
          <w:trHeight w:val="222"/>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4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Lisa Feng</w:t>
            </w: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0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8"/>
              </w:rPr>
              <w:t>Lisa Feng</w:t>
            </w:r>
          </w:p>
        </w:tc>
        <w:tc>
          <w:tcPr>
            <w:tcW w:w="1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Interim Chief Financial Officer, Chief Accounting Officer and Treasurer</w:t>
            </w:r>
          </w:p>
        </w:tc>
      </w:tr>
      <w:tr>
        <w:trPr>
          <w:trHeight w:val="222"/>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r>
        <w:trPr>
          <w:trHeight w:val="44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Haiping Dun</w:t>
            </w: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Haiping Dun</w:t>
            </w:r>
          </w:p>
        </w:tc>
        <w:tc>
          <w:tcPr>
            <w:tcW w:w="1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Chenming Hu</w:t>
            </w: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Chenming Hu</w:t>
            </w:r>
          </w:p>
        </w:tc>
        <w:tc>
          <w:tcPr>
            <w:tcW w:w="1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Tracy Liu</w:t>
            </w: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Tracy Liu</w:t>
            </w:r>
          </w:p>
        </w:tc>
        <w:tc>
          <w:tcPr>
            <w:tcW w:w="1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Yinan Xiang</w:t>
            </w: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Yinan Xiang</w:t>
            </w:r>
          </w:p>
        </w:tc>
        <w:tc>
          <w:tcPr>
            <w:tcW w:w="1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Zhengfan Yang</w:t>
            </w:r>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28"/>
        </w:trPr>
        <w:tc>
          <w:tcPr>
            <w:tcW w:w="4580" w:type="dxa"/>
            <w:vAlign w:val="bottom"/>
          </w:tcPr>
          <w:p>
            <w:pPr>
              <w:ind w:left="1780"/>
              <w:spacing w:after="0"/>
              <w:rPr>
                <w:sz w:val="20"/>
                <w:szCs w:val="20"/>
                <w:color w:val="auto"/>
              </w:rPr>
            </w:pPr>
            <w:r>
              <w:rPr>
                <w:rFonts w:ascii="Arial" w:cs="Arial" w:eastAsia="Arial" w:hAnsi="Arial"/>
                <w:sz w:val="18"/>
                <w:szCs w:val="18"/>
                <w:b w:val="1"/>
                <w:bCs w:val="1"/>
                <w:color w:val="auto"/>
              </w:rPr>
              <w:t>Zhengfan Yang</w:t>
            </w:r>
          </w:p>
        </w:tc>
        <w:tc>
          <w:tcPr>
            <w:tcW w:w="1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783"/>
        </w:trPr>
        <w:tc>
          <w:tcPr>
            <w:tcW w:w="45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92"/>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420"/>
          </w:cols>
          <w:pgMar w:left="240" w:top="557" w:right="239" w:bottom="1440"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333-228734) and Form S-8 (No. 333-222702) of ACM Research, Inc. of our report dated March 14, 2019, relating to the consolidated financial statements, which appears in this Form 10-K for the year ended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BDO China Shu Lun Pan Certified Public Accountants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2"/>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lowerLetter"/>
      <w:start w:val="2"/>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16" Type="http://schemas.openxmlformats.org/officeDocument/2006/relationships/hyperlink" Target="http://www.sec.gov/Archives/edgar/data/1680062/000119312517342650/d407541dex301.htm" TargetMode="External"/><Relationship Id="rId117" Type="http://schemas.openxmlformats.org/officeDocument/2006/relationships/hyperlink" Target="http://www.sec.gov/Archives/edgar/data/1680062/000119312517342650/d407541dex302.htm" TargetMode="External"/><Relationship Id="rId118" Type="http://schemas.openxmlformats.org/officeDocument/2006/relationships/hyperlink" Target="http://www.sec.gov/Archives/edgar/data/1680062/000119312517330173/d311227dex402.htm" TargetMode="External"/><Relationship Id="rId119" Type="http://schemas.openxmlformats.org/officeDocument/2006/relationships/hyperlink" Target="http://www.sec.gov/Archives/edgar/data/1680062/000119312517283955/d311227dex1001.htm" TargetMode="External"/><Relationship Id="rId120" Type="http://schemas.openxmlformats.org/officeDocument/2006/relationships/hyperlink" Target="http://www.sec.gov/Archives/edgar/data/1680062/000165495419001232/acm_ex10-1.htm" TargetMode="External"/><Relationship Id="rId121" Type="http://schemas.openxmlformats.org/officeDocument/2006/relationships/hyperlink" Target="http://www.sec.gov/Archives/edgar/data/1680062/000119312517283955/d311227dex1003.htm" TargetMode="External"/><Relationship Id="rId122" Type="http://schemas.openxmlformats.org/officeDocument/2006/relationships/hyperlink" Target="http://www.sec.gov/Archives/edgar/data/1680062/000119312517312780/d311227dex1004.htm" TargetMode="External"/><Relationship Id="rId123" Type="http://schemas.openxmlformats.org/officeDocument/2006/relationships/hyperlink" Target="http://www.sec.gov/Archives/edgar/data/1680062/000119312517283955/d311227dex1005.htm" TargetMode="External"/><Relationship Id="rId124" Type="http://schemas.openxmlformats.org/officeDocument/2006/relationships/hyperlink" Target="http://www.sec.gov/Archives/edgar/data/1680062/000119312517283955/d311227dex1006.htm" TargetMode="External"/><Relationship Id="rId125" Type="http://schemas.openxmlformats.org/officeDocument/2006/relationships/hyperlink" Target="http://www.sec.gov/Archives/edgar/data/1680062/000119312517312780/d311227dex1007.htm" TargetMode="External"/><Relationship Id="rId126" Type="http://schemas.openxmlformats.org/officeDocument/2006/relationships/hyperlink" Target="http://www.sec.gov/Archives/edgar/data/1680062/000119312517312780/d311227dex1008.htm" TargetMode="External"/><Relationship Id="rId127" Type="http://schemas.openxmlformats.org/officeDocument/2006/relationships/hyperlink" Target="http://www.sec.gov/Archives/edgar/data/1680062/000119312517312780/d311227dex1009.htm" TargetMode="External"/><Relationship Id="rId128" Type="http://schemas.openxmlformats.org/officeDocument/2006/relationships/hyperlink" Target="http://www.sec.gov/Archives/edgar/data/1680062/000119312517312780/d311227dex1010.htm" TargetMode="External"/><Relationship Id="rId129" Type="http://schemas.openxmlformats.org/officeDocument/2006/relationships/hyperlink" Target="http://www.sec.gov/Archives/edgar/data/1680062/000119312517312780/d311227dex1011.htm" TargetMode="External"/><Relationship Id="rId130" Type="http://schemas.openxmlformats.org/officeDocument/2006/relationships/hyperlink" Target="http://www.sec.gov/Archives/edgar/data/1680062/000119312517312780/d311227dex1012.htm" TargetMode="External"/><Relationship Id="rId131" Type="http://schemas.openxmlformats.org/officeDocument/2006/relationships/hyperlink" Target="http://www.sec.gov/Archives/edgar/data/1680062/000119312517312780/d311227dex1013.htm" TargetMode="External"/><Relationship Id="rId132" Type="http://schemas.openxmlformats.org/officeDocument/2006/relationships/hyperlink" Target="http://www.sec.gov/Archives/edgar/data/1680062/000119312517364926/d481028dex1001.htm" TargetMode="External"/><Relationship Id="rId133" Type="http://schemas.openxmlformats.org/officeDocument/2006/relationships/hyperlink" Target="http://www.sec.gov/Archives/edgar/data/1680062/000119312517283955/d311227dex1010a.htm" TargetMode="External"/><Relationship Id="rId134" Type="http://schemas.openxmlformats.org/officeDocument/2006/relationships/hyperlink" Target="http://www.sec.gov/Archives/edgar/data/1680062/000119312517283955/d311227dex1010b.htm" TargetMode="External"/><Relationship Id="rId135" Type="http://schemas.openxmlformats.org/officeDocument/2006/relationships/hyperlink" Target="http://www.sec.gov/Archives/edgar/data/1680062/000119312517283955/d311227dex1010c.htm" TargetMode="External"/><Relationship Id="rId136" Type="http://schemas.openxmlformats.org/officeDocument/2006/relationships/hyperlink" Target="http://www.sec.gov/Archives/edgar/data/1680062/000119312517283955/d311227dex1011.htm" TargetMode="External"/><Relationship Id="rId137" Type="http://schemas.openxmlformats.org/officeDocument/2006/relationships/hyperlink" Target="http://www.sec.gov/Archives/edgar/data/1680062/000119312517283955/d311227dex1012.htm" TargetMode="External"/><Relationship Id="rId138" Type="http://schemas.openxmlformats.org/officeDocument/2006/relationships/hyperlink" Target="http://www.sec.gov/Archives/edgar/data/1680062/000119312517283955/d311227dex1012a.htm" TargetMode="External"/><Relationship Id="rId139" Type="http://schemas.openxmlformats.org/officeDocument/2006/relationships/hyperlink" Target="http://www.sec.gov/Archives/edgar/data/1680062/000119312517283955/d311227dex1012b.htm" TargetMode="External"/><Relationship Id="rId140" Type="http://schemas.openxmlformats.org/officeDocument/2006/relationships/hyperlink" Target="http://www.sec.gov/Archives/edgar/data/1680062/000119312517283955/d311227dex1013.htm" TargetMode="External"/><Relationship Id="rId141" Type="http://schemas.openxmlformats.org/officeDocument/2006/relationships/hyperlink" Target="http://www.sec.gov/Archives/edgar/data/1680062/000119312517283955/d311227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2019-12-28T14:43:35Z</dcterms:created>
  <dcterms:modified xsi:type="dcterms:W3CDTF">2019-12-28T14:43:35Z</dcterms:modified>
</cp:coreProperties>
</file>