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890905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916305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One)</w:t>
      </w:r>
    </w:p>
    <w:p>
      <w:pPr>
        <w:spacing w:after="0" w:line="3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340" w:right="1720" w:hanging="314"/>
        <w:spacing w:after="0" w:line="375" w:lineRule="auto"/>
        <w:tabs>
          <w:tab w:leader="none" w:pos="371"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88265</wp:posOffset>
            </wp:positionV>
            <wp:extent cx="52260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60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554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70"/>
        </w:trPr>
        <w:tc>
          <w:tcPr>
            <w:tcW w:w="554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620" w:type="dxa"/>
            <w:vAlign w:val="bottom"/>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518"/>
        </w:trPr>
        <w:tc>
          <w:tcPr>
            <w:tcW w:w="554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3620" w:type="dxa"/>
            <w:vAlign w:val="bottom"/>
          </w:tcPr>
          <w:p>
            <w:pPr>
              <w:spacing w:after="0"/>
              <w:rPr>
                <w:sz w:val="24"/>
                <w:szCs w:val="24"/>
                <w:color w:val="auto"/>
              </w:rPr>
            </w:pPr>
          </w:p>
        </w:tc>
      </w:tr>
      <w:tr>
        <w:trPr>
          <w:trHeight w:val="238"/>
        </w:trPr>
        <w:tc>
          <w:tcPr>
            <w:tcW w:w="55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362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70"/>
        </w:trPr>
        <w:tc>
          <w:tcPr>
            <w:tcW w:w="554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620" w:type="dxa"/>
            <w:vAlign w:val="bottom"/>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92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tcPr>
          <w:p>
            <w:pPr>
              <w:ind w:left="860"/>
              <w:spacing w:after="0"/>
              <w:rPr>
                <w:sz w:val="20"/>
                <w:szCs w:val="20"/>
                <w:color w:val="auto"/>
              </w:rPr>
            </w:pPr>
            <w:r>
              <w:rPr>
                <w:rFonts w:ascii="Wingdings" w:cs="Wingdings" w:eastAsia="Wingdings" w:hAnsi="Wingdings"/>
                <w:sz w:val="18"/>
                <w:szCs w:val="18"/>
                <w:b w:val="1"/>
                <w:bCs w:val="1"/>
                <w:color w:val="auto"/>
                <w:w w:val="86"/>
              </w:rPr>
              <w:t>o</w:t>
            </w:r>
          </w:p>
        </w:tc>
      </w:tr>
      <w:tr>
        <w:trPr>
          <w:trHeight w:val="24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20" w:type="dxa"/>
            <w:vAlign w:val="bottom"/>
          </w:tcPr>
          <w:p>
            <w:pPr>
              <w:ind w:left="320"/>
              <w:spacing w:after="0"/>
              <w:rPr>
                <w:sz w:val="20"/>
                <w:szCs w:val="20"/>
                <w:color w:val="auto"/>
              </w:rPr>
            </w:pPr>
            <w:r>
              <w:rPr>
                <w:rFonts w:ascii="Wingdings" w:cs="Wingdings" w:eastAsia="Wingdings" w:hAnsi="Wingdings"/>
                <w:sz w:val="18"/>
                <w:szCs w:val="18"/>
                <w:b w:val="1"/>
                <w:bCs w:val="1"/>
                <w:color w:val="auto"/>
              </w:rPr>
              <w:t>o</w:t>
            </w:r>
          </w:p>
        </w:tc>
        <w:tc>
          <w:tcPr>
            <w:tcW w:w="47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20" w:type="dxa"/>
            <w:vAlign w:val="bottom"/>
          </w:tcPr>
          <w:p>
            <w:pPr>
              <w:ind w:left="86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19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7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tcPr>
          <w:p>
            <w:pPr>
              <w:ind w:left="86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 w:lineRule="exact"/>
        <w:rPr>
          <w:sz w:val="24"/>
          <w:szCs w:val="24"/>
          <w:color w:val="auto"/>
        </w:rPr>
      </w:pPr>
    </w:p>
    <w:p>
      <w:pPr>
        <w:ind w:right="2080"/>
        <w:spacing w:after="0" w:line="29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the number of shares outstanding of each of the registrant’s classes of common stock, as of the latest practicable date.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Outstanding</w:t>
            </w:r>
          </w:p>
        </w:tc>
      </w:tr>
      <w:tr>
        <w:trPr>
          <w:trHeight w:val="27"/>
        </w:trPr>
        <w:tc>
          <w:tcPr>
            <w:tcW w:w="2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59,159,154 shares outstanding as of August 4, 2025</w:t>
            </w:r>
          </w:p>
        </w:tc>
      </w:tr>
      <w:tr>
        <w:trPr>
          <w:trHeight w:val="270"/>
        </w:trPr>
        <w:tc>
          <w:tcPr>
            <w:tcW w:w="20" w:type="dxa"/>
            <w:vAlign w:val="bottom"/>
          </w:tcPr>
          <w:p>
            <w:pPr>
              <w:spacing w:after="0"/>
              <w:rPr>
                <w:sz w:val="23"/>
                <w:szCs w:val="23"/>
                <w:color w:val="auto"/>
              </w:rPr>
            </w:pPr>
          </w:p>
        </w:tc>
        <w:tc>
          <w:tcPr>
            <w:tcW w:w="5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Common Stock, $0.0001 par value</w:t>
            </w:r>
          </w:p>
        </w:tc>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5,021,811 shares outstanding as of August 4, 2025</w:t>
            </w:r>
          </w:p>
        </w:tc>
      </w:tr>
      <w:tr>
        <w:trPr>
          <w:trHeight w:val="176"/>
        </w:trPr>
        <w:tc>
          <w:tcPr>
            <w:tcW w:w="20" w:type="dxa"/>
            <w:vAlign w:val="bottom"/>
          </w:tcPr>
          <w:p>
            <w:pPr>
              <w:spacing w:after="0"/>
              <w:rPr>
                <w:sz w:val="15"/>
                <w:szCs w:val="15"/>
                <w:color w:val="auto"/>
              </w:rPr>
            </w:pPr>
          </w:p>
        </w:tc>
        <w:tc>
          <w:tcPr>
            <w:tcW w:w="5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77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80" w:type="dxa"/>
            <w:vAlign w:val="bottom"/>
            <w:gridSpan w:val="9"/>
          </w:tcPr>
          <w:p>
            <w:pPr>
              <w:ind w:left="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PART I.</w:t>
            </w:r>
          </w:p>
        </w:tc>
        <w:tc>
          <w:tcPr>
            <w:tcW w:w="140" w:type="dxa"/>
            <w:vAlign w:val="bottom"/>
            <w:shd w:val="clear" w:color="auto" w:fill="CCEEFF"/>
          </w:tcPr>
          <w:p>
            <w:pPr>
              <w:spacing w:after="0"/>
              <w:rPr>
                <w:sz w:val="17"/>
                <w:szCs w:val="17"/>
                <w:color w:val="auto"/>
              </w:rPr>
            </w:pPr>
          </w:p>
        </w:tc>
        <w:tc>
          <w:tcPr>
            <w:tcW w:w="926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60" w:type="dxa"/>
            <w:vAlign w:val="bottom"/>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14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140" w:type="dxa"/>
            <w:vAlign w:val="bottom"/>
          </w:tcPr>
          <w:p>
            <w:pPr>
              <w:spacing w:after="0"/>
              <w:rPr>
                <w:sz w:val="17"/>
                <w:szCs w:val="17"/>
                <w:color w:val="auto"/>
              </w:rPr>
            </w:pPr>
          </w:p>
        </w:tc>
        <w:tc>
          <w:tcPr>
            <w:tcW w:w="926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4</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6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60" w:type="dxa"/>
            <w:vAlign w:val="bottom"/>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2025 and 2024</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40" w:type="dxa"/>
            <w:vAlign w:val="bottom"/>
            <w:tcBorders>
              <w:bottom w:val="single" w:sz="8" w:color="0000FF"/>
            </w:tcBorders>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 Equity for the Three and Six Months Ended June 30, 2025 and 2024</w:t>
            </w:r>
          </w:p>
        </w:tc>
        <w:tc>
          <w:tcPr>
            <w:tcW w:w="620" w:type="dxa"/>
            <w:vAlign w:val="bottom"/>
            <w:tcBorders>
              <w:bottom w:val="single" w:sz="8" w:color="CCEEFF"/>
            </w:tcBorders>
            <w:gridSpan w:val="2"/>
            <w:shd w:val="clear" w:color="auto" w:fill="CCEEFF"/>
          </w:tcPr>
          <w:p>
            <w:pPr>
              <w:spacing w:after="0"/>
              <w:rPr>
                <w:sz w:val="21"/>
                <w:szCs w:val="21"/>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6</w:t>
            </w: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0" w:type="dxa"/>
            <w:vAlign w:val="bottom"/>
            <w:gridSpan w:val="19"/>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8</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6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60" w:type="dxa"/>
            <w:vAlign w:val="bottom"/>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14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140" w:type="dxa"/>
            <w:vAlign w:val="bottom"/>
          </w:tcPr>
          <w:p>
            <w:pPr>
              <w:spacing w:after="0"/>
              <w:rPr>
                <w:sz w:val="17"/>
                <w:szCs w:val="17"/>
                <w:color w:val="auto"/>
              </w:rPr>
            </w:pPr>
          </w:p>
        </w:tc>
        <w:tc>
          <w:tcPr>
            <w:tcW w:w="926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30</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140" w:type="dxa"/>
            <w:vAlign w:val="bottom"/>
            <w:shd w:val="clear" w:color="auto" w:fill="CCEEFF"/>
          </w:tcPr>
          <w:p>
            <w:pPr>
              <w:spacing w:after="0"/>
              <w:rPr>
                <w:sz w:val="21"/>
                <w:szCs w:val="21"/>
                <w:color w:val="auto"/>
              </w:rPr>
            </w:pPr>
          </w:p>
        </w:tc>
        <w:tc>
          <w:tcPr>
            <w:tcW w:w="926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Risks</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50</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140" w:type="dxa"/>
            <w:vAlign w:val="bottom"/>
            <w:tcBorders>
              <w:top w:val="single" w:sz="8" w:color="CCEEFF"/>
            </w:tcBorders>
          </w:tcPr>
          <w:p>
            <w:pPr>
              <w:spacing w:after="0"/>
              <w:rPr>
                <w:sz w:val="17"/>
                <w:szCs w:val="17"/>
                <w:color w:val="auto"/>
              </w:rPr>
            </w:pPr>
          </w:p>
        </w:tc>
        <w:tc>
          <w:tcPr>
            <w:tcW w:w="4380" w:type="dxa"/>
            <w:vAlign w:val="bottom"/>
            <w:tcBorders>
              <w:top w:val="single" w:sz="8" w:color="0000FF"/>
            </w:tcBorders>
            <w:gridSpan w:val="12"/>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4880" w:type="dxa"/>
            <w:vAlign w:val="bottom"/>
            <w:tcBorders>
              <w:top w:val="single" w:sz="8" w:color="CCEEFF"/>
            </w:tcBorders>
            <w:gridSpan w:val="6"/>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50</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PART II.</w:t>
            </w: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0000FF"/>
            </w:tcBorders>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360" w:type="dxa"/>
            <w:vAlign w:val="bottom"/>
            <w:tcBorders>
              <w:bottom w:val="single" w:sz="8" w:color="CCEEFF"/>
            </w:tcBorders>
            <w:gridSpan w:val="12"/>
            <w:shd w:val="clear" w:color="auto" w:fill="CCEEFF"/>
          </w:tcPr>
          <w:p>
            <w:pPr>
              <w:spacing w:after="0"/>
              <w:rPr>
                <w:sz w:val="21"/>
                <w:szCs w:val="21"/>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51</w:t>
            </w:r>
          </w:p>
        </w:tc>
      </w:tr>
      <w:tr>
        <w:trPr>
          <w:trHeight w:val="202"/>
        </w:trPr>
        <w:tc>
          <w:tcPr>
            <w:tcW w:w="20" w:type="dxa"/>
            <w:vAlign w:val="bottom"/>
          </w:tcPr>
          <w:p>
            <w:pPr>
              <w:spacing w:after="0"/>
              <w:rPr>
                <w:sz w:val="17"/>
                <w:szCs w:val="17"/>
                <w:color w:val="auto"/>
              </w:rPr>
            </w:pPr>
          </w:p>
        </w:tc>
        <w:tc>
          <w:tcPr>
            <w:tcW w:w="114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9"/>
          </w:tcPr>
          <w:p>
            <w:pPr>
              <w:ind w:left="14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51</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Risk Factors</w:t>
            </w:r>
          </w:p>
        </w:tc>
        <w:tc>
          <w:tcPr>
            <w:tcW w:w="8340" w:type="dxa"/>
            <w:vAlign w:val="bottom"/>
            <w:tcBorders>
              <w:bottom w:val="single" w:sz="8" w:color="CCEEFF"/>
            </w:tcBorders>
            <w:gridSpan w:val="16"/>
            <w:shd w:val="clear" w:color="auto" w:fill="CCEEFF"/>
          </w:tcPr>
          <w:p>
            <w:pPr>
              <w:spacing w:after="0"/>
              <w:rPr>
                <w:sz w:val="21"/>
                <w:szCs w:val="21"/>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51</w:t>
            </w:r>
          </w:p>
        </w:tc>
      </w:tr>
      <w:tr>
        <w:trPr>
          <w:trHeight w:val="202"/>
        </w:trPr>
        <w:tc>
          <w:tcPr>
            <w:tcW w:w="20" w:type="dxa"/>
            <w:vAlign w:val="bottom"/>
          </w:tcPr>
          <w:p>
            <w:pPr>
              <w:spacing w:after="0"/>
              <w:rPr>
                <w:sz w:val="17"/>
                <w:szCs w:val="17"/>
                <w:color w:val="auto"/>
              </w:rPr>
            </w:pPr>
          </w:p>
        </w:tc>
        <w:tc>
          <w:tcPr>
            <w:tcW w:w="114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9"/>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51</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0000FF"/>
            </w:tcBorders>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20" w:type="dxa"/>
            <w:vAlign w:val="bottom"/>
            <w:tcBorders>
              <w:bottom w:val="single" w:sz="8" w:color="CCEEFF"/>
            </w:tcBorders>
            <w:gridSpan w:val="10"/>
            <w:shd w:val="clear" w:color="auto" w:fill="CCEEFF"/>
          </w:tcPr>
          <w:p>
            <w:pPr>
              <w:spacing w:after="0"/>
              <w:rPr>
                <w:sz w:val="21"/>
                <w:szCs w:val="21"/>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52</w:t>
            </w:r>
          </w:p>
        </w:tc>
      </w:tr>
      <w:tr>
        <w:trPr>
          <w:trHeight w:val="203"/>
        </w:trPr>
        <w:tc>
          <w:tcPr>
            <w:tcW w:w="20" w:type="dxa"/>
            <w:vAlign w:val="bottom"/>
          </w:tcPr>
          <w:p>
            <w:pPr>
              <w:spacing w:after="0"/>
              <w:rPr>
                <w:sz w:val="17"/>
                <w:szCs w:val="17"/>
                <w:color w:val="auto"/>
              </w:rPr>
            </w:pPr>
          </w:p>
        </w:tc>
        <w:tc>
          <w:tcPr>
            <w:tcW w:w="114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9"/>
          </w:tcPr>
          <w:p>
            <w:pPr>
              <w:ind w:left="14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52</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40" w:type="dxa"/>
            <w:vAlign w:val="bottom"/>
            <w:shd w:val="clear" w:color="auto" w:fill="CCEEFF"/>
          </w:tcPr>
          <w:p>
            <w:pPr>
              <w:spacing w:after="0"/>
              <w:rPr>
                <w:sz w:val="21"/>
                <w:szCs w:val="21"/>
                <w:color w:val="auto"/>
              </w:rPr>
            </w:pPr>
          </w:p>
        </w:tc>
        <w:tc>
          <w:tcPr>
            <w:tcW w:w="926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661DE8"/>
              </w:rPr>
              <w:t>Other Information</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51</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40" w:type="dxa"/>
            <w:vAlign w:val="bottom"/>
            <w:tcBorders>
              <w:top w:val="single" w:sz="8" w:color="CCEEFF"/>
            </w:tcBorders>
          </w:tcPr>
          <w:p>
            <w:pPr>
              <w:spacing w:after="0"/>
              <w:rPr>
                <w:sz w:val="17"/>
                <w:szCs w:val="17"/>
                <w:color w:val="auto"/>
              </w:rPr>
            </w:pPr>
          </w:p>
        </w:tc>
        <w:tc>
          <w:tcPr>
            <w:tcW w:w="1320" w:type="dxa"/>
            <w:vAlign w:val="bottom"/>
            <w:tcBorders>
              <w:top w:val="single" w:sz="8" w:color="661DE8"/>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7940" w:type="dxa"/>
            <w:vAlign w:val="bottom"/>
            <w:tcBorders>
              <w:top w:val="single" w:sz="8" w:color="CCEEFF"/>
            </w:tcBorders>
            <w:gridSpan w:val="15"/>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52</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3051F2"/>
              </w:rPr>
              <w:t>53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60" w:type="dxa"/>
            <w:vAlign w:val="bottom"/>
          </w:tcPr>
          <w:p>
            <w:pPr>
              <w:spacing w:after="0"/>
              <w:rPr>
                <w:sz w:val="4"/>
                <w:szCs w:val="4"/>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spacing w:after="0" w:line="2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conduct a substantial majority of our product development, manufacturing, support and services in mainland China through ACM Shanghai. We are not a mainland China operating company, and we do not conduct our operations in mainland China through the use of a variable interest entity or any other</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structure designed for the purpose of avoiding mainland China legal restrictions on direct foreign investments in mainland China-based companies. For a description of certain matters relating to our operations in mainland China,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ended December 31, 2024, and the Risk Factors included therein, as referenced or updated by the disclosure included in “Part II. Item 1A—Risk Factors” in this report.</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STATISTICAL DATA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("Gartner") in "Forecast: Semiconductor Capital Spending, Wafer Fab Equipment and Capacity, Worldwide, 2Q25 Update, Bob Johnson et al., July 8, 2025." GARTNER is a registered trademark and service mark of Gartner, Inc. and/or its affiliates in the U.S. and internationally and is used herein with permission. All rights reserved. The Gartner content described herein (the “Gartner Content”) represents research opinion or viewpoints published, as part of a syndicated subscription service, by Gartner, Inc. ("Gartner"), and is not a representation of fact. Gartner Content speaks as of its original publication date (and not as of the date of this report), and the opinions expressed in the Gartner Content are subject to change without notice. While we are not aware of any misstatements in the Gartner Content,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ectPr>
          <w:pgSz w:w="11900" w:h="16838" w:orient="portrait"/>
          <w:cols w:equalWidth="0" w:num="1">
            <w:col w:w="10139"/>
          </w:cols>
          <w:pgMar w:left="320" w:top="290" w:right="1440" w:bottom="1440" w:gutter="0" w:footer="0" w:header="0"/>
        </w:sectPr>
      </w:pPr>
    </w:p>
    <w:bookmarkStart w:id="4" w:name="page5"/>
    <w:bookmarkEnd w:id="4"/>
    <w:p>
      <w:pPr>
        <w:spacing w:after="0" w:line="200" w:lineRule="exact"/>
        <w:rPr>
          <w:sz w:val="20"/>
          <w:szCs w:val="20"/>
          <w:color w:val="auto"/>
        </w:rPr>
      </w:pPr>
    </w:p>
    <w:p>
      <w:pPr>
        <w:spacing w:after="0" w:line="363"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0054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and cash equivalents (note 2)</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Short-term time deposits (note 2)</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Short-term investments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 receivables, net (note 4)</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Inventories, net (note 5)</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Advances to related parties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00545"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0545" cy="17970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(note 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time deposits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(note 16)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investments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 (note 7)</w:t>
      </w:r>
    </w:p>
    <w:p>
      <w:pPr>
        <w:spacing w:after="0" w:line="1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0054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0054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Short-term borrowings (note 8)</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Current portion of long-term borrowings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Related parties accounts payable (note 13)</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Advances from customers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Income taxes payable (note 16)</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FIN-48 payable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payables and accrued expenses (note 9)</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0545" cy="179705"/>
                    </a:xfrm>
                    <a:prstGeom prst="rect">
                      <a:avLst/>
                    </a:prstGeom>
                    <a:noFill/>
                  </pic:spPr>
                </pic:pic>
              </a:graphicData>
            </a:graphic>
          </wp:anchor>
        </w:drawing>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0545" cy="180340"/>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0054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0054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Class A Common stock (note 14)</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Class B Common stock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Statutory surplus reserve (note 19)</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00545" cy="180340"/>
                    </a:xfrm>
                    <a:prstGeom prst="rect">
                      <a:avLst/>
                    </a:prstGeom>
                    <a:noFill/>
                  </pic:spPr>
                </pic:pic>
              </a:graphicData>
            </a:graphic>
          </wp:anchor>
        </w:drawing>
      </w:r>
    </w:p>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Total ACM Research, Inc. stockholders’ equity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0054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00545" cy="180340"/>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June 30,</w:t>
            </w:r>
          </w:p>
        </w:tc>
        <w:tc>
          <w:tcPr>
            <w:tcW w:w="2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242424"/>
                <w:w w:val="99"/>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242424"/>
                <w:w w:val="98"/>
              </w:rPr>
              <w:t>(Unaudited)</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40"/>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442,088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407,445</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19,373</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387,045</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41,859</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597,984</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1,645,653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1,483,379</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269,272</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270"/>
        </w:trPr>
        <w:tc>
          <w:tcPr>
            <w:tcW w:w="22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14,781</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20,452</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2,039,715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1,855,721</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50"/>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32,814</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44,472</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139,294</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243,949</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121,657</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641,233</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105,525</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759,815</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033"/>
        </w:trPr>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677,476</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30,514</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(63,372)</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904,625</w:t>
            </w:r>
          </w:p>
        </w:tc>
      </w:tr>
      <w:tr>
        <w:trPr>
          <w:trHeight w:val="270"/>
        </w:trPr>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191,281</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1,095,906</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2,039,715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1,855,721</w:t>
            </w:r>
          </w:p>
        </w:tc>
      </w:tr>
      <w:tr>
        <w:trPr>
          <w:trHeight w:val="27"/>
        </w:trPr>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3280"/>
          </w:cols>
          <w:pgMar w:left="340" w:top="175" w:right="699" w:bottom="92" w:gutter="0" w:footer="0" w:header="0"/>
        </w:sectPr>
      </w:pPr>
    </w:p>
    <w:p>
      <w:pPr>
        <w:spacing w:after="0" w:line="200" w:lineRule="exact"/>
        <w:rPr>
          <w:sz w:val="20"/>
          <w:szCs w:val="20"/>
          <w:color w:val="auto"/>
        </w:rPr>
      </w:pPr>
    </w:p>
    <w:p>
      <w:pPr>
        <w:spacing w:after="0" w:line="34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0860"/>
          </w:cols>
          <w:pgMar w:left="340" w:top="175" w:right="699" w:bottom="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75" w:right="699" w:bottom="92"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4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(note 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387,719</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354,671</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including cost of revenue from related parties of $16,518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178,766</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$25,917 for the three and six months ended June 30, 2025, respectively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$9,637 and $16,867 for the three and six months ended June 30, 2024,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 (note 13)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104,461</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175,905</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w:t>
            </w:r>
          </w:p>
        </w:tc>
        <w:tc>
          <w:tcPr>
            <w:tcW w:w="0" w:type="dxa"/>
            <w:vAlign w:val="bottom"/>
          </w:tcPr>
          <w:p>
            <w:pPr>
              <w:spacing w:after="0"/>
              <w:rPr>
                <w:sz w:val="1"/>
                <w:szCs w:val="1"/>
                <w:color w:val="auto"/>
              </w:rPr>
            </w:pPr>
          </w:p>
        </w:tc>
      </w:tr>
      <w:tr>
        <w:trPr>
          <w:trHeight w:val="243"/>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49,886</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31,886</w:t>
            </w:r>
          </w:p>
        </w:tc>
        <w:tc>
          <w:tcPr>
            <w:tcW w:w="0" w:type="dxa"/>
            <w:vAlign w:val="bottom"/>
          </w:tcPr>
          <w:p>
            <w:pPr>
              <w:spacing w:after="0"/>
              <w:rPr>
                <w:sz w:val="1"/>
                <w:szCs w:val="1"/>
                <w:color w:val="auto"/>
              </w:rPr>
            </w:pPr>
          </w:p>
        </w:tc>
      </w:tr>
      <w:tr>
        <w:trPr>
          <w:trHeight w:val="237"/>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72,767</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59,191</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129,540</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113,080</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62,825</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 on short-term investments (note 12)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short-term investments (note 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37"/>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38,161</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67,196</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(note 16)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0" w:type="dxa"/>
            <w:vAlign w:val="bottom"/>
          </w:tcPr>
          <w:p>
            <w:pPr>
              <w:spacing w:after="0"/>
              <w:rPr>
                <w:sz w:val="1"/>
                <w:szCs w:val="1"/>
                <w:color w:val="auto"/>
              </w:rPr>
            </w:pPr>
          </w:p>
        </w:tc>
      </w:tr>
      <w:tr>
        <w:trPr>
          <w:trHeight w:val="237"/>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53,491</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0" w:type="dxa"/>
            <w:vAlign w:val="bottom"/>
          </w:tcPr>
          <w:p>
            <w:pPr>
              <w:spacing w:after="0"/>
              <w:rPr>
                <w:sz w:val="1"/>
                <w:szCs w:val="1"/>
                <w:color w:val="auto"/>
              </w:rPr>
            </w:pPr>
          </w:p>
        </w:tc>
      </w:tr>
      <w:tr>
        <w:trPr>
          <w:trHeight w:val="237"/>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attributable to ACM Research, Inc.</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1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41,643</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61,283</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53,491</w:t>
            </w:r>
          </w:p>
        </w:tc>
        <w:tc>
          <w:tcPr>
            <w:tcW w:w="0" w:type="dxa"/>
            <w:vAlign w:val="bottom"/>
          </w:tcPr>
          <w:p>
            <w:pPr>
              <w:spacing w:after="0"/>
              <w:rPr>
                <w:sz w:val="1"/>
                <w:szCs w:val="1"/>
                <w:color w:val="auto"/>
              </w:rPr>
            </w:pPr>
          </w:p>
        </w:tc>
      </w:tr>
      <w:tr>
        <w:trPr>
          <w:trHeight w:val="24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 of nil</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40,175</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46,778</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ACM Research,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54,731</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ACM Research, Inc. per share of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used in computing</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 amounts (note 2):</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63,968,763</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62,178,369</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63,620,235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61,772,776</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67,464,856</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67,057,846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67,138,338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66,520,706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0960"/>
          </w:cols>
          <w:pgMar w:left="320" w:top="29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90" w:right="6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5"/>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5"/>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Statutory</w:t>
            </w:r>
          </w:p>
        </w:tc>
        <w:tc>
          <w:tcPr>
            <w:tcW w:w="220" w:type="dxa"/>
            <w:vAlign w:val="bottom"/>
          </w:tcPr>
          <w:p>
            <w:pPr>
              <w:spacing w:after="0"/>
              <w:rPr>
                <w:sz w:val="10"/>
                <w:szCs w:val="10"/>
                <w:color w:val="auto"/>
              </w:rPr>
            </w:pP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Stock Class A</w:t>
            </w: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Stock Class B</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Paid-</w:t>
            </w:r>
          </w:p>
        </w:tc>
        <w:tc>
          <w:tcPr>
            <w:tcW w:w="140" w:type="dxa"/>
            <w:vAlign w:val="bottom"/>
          </w:tcPr>
          <w:p>
            <w:pPr>
              <w:spacing w:after="0"/>
              <w:rPr>
                <w:sz w:val="12"/>
                <w:szCs w:val="12"/>
                <w:color w:val="auto"/>
              </w:rPr>
            </w:pPr>
          </w:p>
        </w:tc>
        <w:tc>
          <w:tcPr>
            <w:tcW w:w="780" w:type="dxa"/>
            <w:vAlign w:val="bottom"/>
            <w:gridSpan w:val="2"/>
            <w:vMerge w:val="restart"/>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Surplus</w:t>
            </w:r>
          </w:p>
        </w:tc>
        <w:tc>
          <w:tcPr>
            <w:tcW w:w="1220" w:type="dxa"/>
            <w:vAlign w:val="bottom"/>
            <w:gridSpan w:val="4"/>
            <w:vMerge w:val="restart"/>
          </w:tcPr>
          <w:p>
            <w:pPr>
              <w:jc w:val="center"/>
              <w:ind w:left="59"/>
              <w:spacing w:after="0" w:line="15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00" w:type="dxa"/>
            <w:vAlign w:val="bottom"/>
            <w:gridSpan w:val="3"/>
            <w:vMerge w:val="restart"/>
          </w:tcPr>
          <w:p>
            <w:pPr>
              <w:jc w:val="center"/>
              <w:ind w:left="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840" w:type="dxa"/>
            <w:vAlign w:val="bottom"/>
            <w:gridSpan w:val="2"/>
            <w:vMerge w:val="restart"/>
          </w:tcPr>
          <w:p>
            <w:pPr>
              <w:jc w:val="right"/>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gridSpan w:val="2"/>
          </w:tcPr>
          <w:p>
            <w:pPr>
              <w:spacing w:after="0"/>
              <w:rPr>
                <w:sz w:val="21"/>
                <w:szCs w:val="21"/>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9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122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58,832,925</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5,021,811</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700,191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280,380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30,514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(61,946)</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206,207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$ 1,155,353</w:t>
            </w:r>
          </w:p>
        </w:tc>
        <w:tc>
          <w:tcPr>
            <w:tcW w:w="0" w:type="dxa"/>
            <w:vAlign w:val="bottom"/>
          </w:tcPr>
          <w:p>
            <w:pPr>
              <w:spacing w:after="0"/>
              <w:rPr>
                <w:sz w:val="1"/>
                <w:szCs w:val="1"/>
                <w:color w:val="auto"/>
              </w:rPr>
            </w:pPr>
          </w:p>
        </w:tc>
      </w:tr>
      <w:tr>
        <w:trPr>
          <w:trHeight w:val="23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6,510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36,270</w:t>
            </w:r>
          </w:p>
        </w:tc>
        <w:tc>
          <w:tcPr>
            <w:tcW w:w="0" w:type="dxa"/>
            <w:vAlign w:val="bottom"/>
          </w:tcPr>
          <w:p>
            <w:pPr>
              <w:spacing w:after="0"/>
              <w:rPr>
                <w:sz w:val="1"/>
                <w:szCs w:val="1"/>
                <w:color w:val="auto"/>
              </w:rPr>
            </w:pPr>
          </w:p>
        </w:tc>
      </w:tr>
      <w:tr>
        <w:trPr>
          <w:trHeight w:val="212"/>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ACM</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Shanghai's shares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(6,988)</w:t>
            </w:r>
          </w:p>
        </w:tc>
        <w:tc>
          <w:tcPr>
            <w:tcW w:w="0" w:type="dxa"/>
            <w:vAlign w:val="bottom"/>
          </w:tcPr>
          <w:p>
            <w:pPr>
              <w:spacing w:after="0"/>
              <w:rPr>
                <w:sz w:val="1"/>
                <w:szCs w:val="1"/>
                <w:color w:val="auto"/>
              </w:rPr>
            </w:pPr>
          </w:p>
        </w:tc>
      </w:tr>
      <w:tr>
        <w:trPr>
          <w:trHeight w:val="202"/>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3,165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3,905</w:t>
            </w:r>
          </w:p>
        </w:tc>
        <w:tc>
          <w:tcPr>
            <w:tcW w:w="0" w:type="dxa"/>
            <w:vAlign w:val="bottom"/>
          </w:tcPr>
          <w:p>
            <w:pPr>
              <w:spacing w:after="0"/>
              <w:rPr>
                <w:sz w:val="1"/>
                <w:szCs w:val="1"/>
                <w:color w:val="auto"/>
              </w:rPr>
            </w:pPr>
          </w:p>
        </w:tc>
      </w:tr>
      <w:tr>
        <w:trPr>
          <w:trHeight w:val="25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264,046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3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9,770</w:t>
            </w:r>
          </w:p>
        </w:tc>
        <w:tc>
          <w:tcPr>
            <w:tcW w:w="0" w:type="dxa"/>
            <w:vAlign w:val="bottom"/>
          </w:tcPr>
          <w:p>
            <w:pPr>
              <w:spacing w:after="0"/>
              <w:rPr>
                <w:sz w:val="1"/>
                <w:szCs w:val="1"/>
                <w:color w:val="auto"/>
              </w:rPr>
            </w:pPr>
          </w:p>
        </w:tc>
      </w:tr>
      <w:tr>
        <w:trPr>
          <w:trHeight w:val="212"/>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contribution by non-</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controlling shareholder</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ACM Shanghai dividends</w:t>
            </w: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gridSpan w:val="2"/>
          </w:tcPr>
          <w:p>
            <w:pPr>
              <w:spacing w:after="0"/>
              <w:rPr>
                <w:sz w:val="20"/>
                <w:szCs w:val="20"/>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(7,578)</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(7,578)</w:t>
            </w:r>
          </w:p>
        </w:tc>
        <w:tc>
          <w:tcPr>
            <w:tcW w:w="0" w:type="dxa"/>
            <w:vAlign w:val="bottom"/>
          </w:tcPr>
          <w:p>
            <w:pPr>
              <w:spacing w:after="0"/>
              <w:rPr>
                <w:sz w:val="1"/>
                <w:szCs w:val="1"/>
                <w:color w:val="auto"/>
              </w:rPr>
            </w:pPr>
          </w:p>
        </w:tc>
      </w:tr>
      <w:tr>
        <w:trPr>
          <w:trHeight w:val="263"/>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59,096,971</w:t>
            </w: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5,021,811</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704,570</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310,140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30,514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(58,781)</w:t>
            </w:r>
          </w:p>
        </w:tc>
        <w:tc>
          <w:tcPr>
            <w:tcW w:w="2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205,239</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$ 1,191,689</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5"/>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5"/>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Stock Class A</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Stock Class B</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Statutory</w:t>
            </w:r>
          </w:p>
        </w:tc>
        <w:tc>
          <w:tcPr>
            <w:tcW w:w="220" w:type="dxa"/>
            <w:vAlign w:val="bottom"/>
          </w:tcPr>
          <w:p>
            <w:pPr>
              <w:spacing w:after="0"/>
              <w:rPr>
                <w:sz w:val="6"/>
                <w:szCs w:val="6"/>
                <w:color w:val="auto"/>
              </w:rPr>
            </w:pPr>
          </w:p>
        </w:tc>
        <w:tc>
          <w:tcPr>
            <w:tcW w:w="100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6"/>
                <w:szCs w:val="6"/>
                <w:color w:val="auto"/>
              </w:rPr>
            </w:pPr>
          </w:p>
        </w:tc>
        <w:tc>
          <w:tcPr>
            <w:tcW w:w="6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18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Paid-</w:t>
            </w: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18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in Capital</w:t>
            </w:r>
          </w:p>
        </w:tc>
        <w:tc>
          <w:tcPr>
            <w:tcW w:w="9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Reserve</w:t>
            </w:r>
          </w:p>
        </w:tc>
        <w:tc>
          <w:tcPr>
            <w:tcW w:w="12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56,986,777</w:t>
            </w:r>
          </w:p>
        </w:tc>
        <w:tc>
          <w:tcPr>
            <w:tcW w:w="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5,021,811</w:t>
            </w:r>
          </w:p>
        </w:tc>
        <w:tc>
          <w:tcPr>
            <w:tcW w:w="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646,800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174,260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30,060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(54,925)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164,591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960,793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7,189</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415,476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ACM Shanghai dividends</w:t>
            </w: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57,402,253</w:t>
            </w:r>
          </w:p>
        </w:tc>
        <w:tc>
          <w:tcPr>
            <w:tcW w:w="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5,021,811</w:t>
            </w:r>
          </w:p>
        </w:tc>
        <w:tc>
          <w:tcPr>
            <w:tcW w:w="6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659,462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198,470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30,060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(54,830)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168,219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$ 1,001,388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vMerge w:val="restart"/>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vMerge w:val="restart"/>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Statutory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gridSpan w:val="5"/>
            <w:vMerge w:val="restart"/>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Stock Class A</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gridSpan w:val="5"/>
            <w:vMerge w:val="restart"/>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Stock Class B</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Paid-</w:t>
            </w:r>
          </w:p>
        </w:tc>
        <w:tc>
          <w:tcPr>
            <w:tcW w:w="40" w:type="dxa"/>
            <w:vAlign w:val="bottom"/>
          </w:tcPr>
          <w:p>
            <w:pPr>
              <w:spacing w:after="0"/>
              <w:rPr>
                <w:sz w:val="12"/>
                <w:szCs w:val="12"/>
                <w:color w:val="auto"/>
              </w:rPr>
            </w:pPr>
          </w:p>
        </w:tc>
        <w:tc>
          <w:tcPr>
            <w:tcW w:w="860" w:type="dxa"/>
            <w:vAlign w:val="bottom"/>
            <w:gridSpan w:val="4"/>
            <w:vMerge w:val="restart"/>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Surplus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restart"/>
          </w:tcPr>
          <w:p>
            <w:pPr>
              <w:jc w:val="center"/>
              <w:ind w:right="20"/>
              <w:spacing w:after="0" w:line="15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2"/>
                <w:szCs w:val="12"/>
                <w:color w:val="auto"/>
              </w:rPr>
            </w:pPr>
          </w:p>
        </w:tc>
        <w:tc>
          <w:tcPr>
            <w:tcW w:w="720" w:type="dxa"/>
            <w:vAlign w:val="bottom"/>
            <w:gridSpan w:val="2"/>
            <w:vMerge w:val="restart"/>
          </w:tcPr>
          <w:p>
            <w:pPr>
              <w:jc w:val="right"/>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40" w:type="dxa"/>
            <w:vAlign w:val="bottom"/>
          </w:tcPr>
          <w:p>
            <w:pPr>
              <w:spacing w:after="0"/>
              <w:rPr>
                <w:sz w:val="21"/>
                <w:szCs w:val="21"/>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1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57,938,885</w:t>
            </w:r>
          </w:p>
        </w:tc>
        <w:tc>
          <w:tcPr>
            <w:tcW w:w="5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5,021,811</w:t>
            </w:r>
          </w:p>
        </w:tc>
        <w:tc>
          <w:tcPr>
            <w:tcW w:w="54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677,476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260,000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30,514</w:t>
            </w:r>
          </w:p>
        </w:tc>
        <w:tc>
          <w:tcPr>
            <w:tcW w:w="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(63,372)</w:t>
            </w: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191,281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1,095,906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11,143</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ACM</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Shanghai's shares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(6,988)</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adjustment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1,158,086</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8,316</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23,582</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contribution by non-</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controlling shareholder</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ACM Shanghai dividends</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(7,578)</w:t>
            </w: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(7,578)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59,096,971</w:t>
            </w:r>
          </w:p>
        </w:tc>
        <w:tc>
          <w:tcPr>
            <w:tcW w:w="5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5,021,811</w:t>
            </w:r>
          </w:p>
        </w:tc>
        <w:tc>
          <w:tcPr>
            <w:tcW w:w="54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704,570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310,140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30,514</w:t>
            </w:r>
          </w:p>
        </w:tc>
        <w:tc>
          <w:tcPr>
            <w:tcW w:w="20" w:type="dxa"/>
            <w:vAlign w:val="bottom"/>
            <w:shd w:val="clear" w:color="auto" w:fill="CCEEFF"/>
          </w:tcPr>
          <w:p>
            <w:pPr>
              <w:spacing w:after="0"/>
              <w:rPr>
                <w:sz w:val="22"/>
                <w:szCs w:val="22"/>
                <w:color w:val="auto"/>
              </w:rPr>
            </w:pPr>
          </w:p>
        </w:tc>
        <w:tc>
          <w:tcPr>
            <w:tcW w:w="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(58,781)</w:t>
            </w:r>
          </w:p>
        </w:tc>
        <w:tc>
          <w:tcPr>
            <w:tcW w:w="40" w:type="dxa"/>
            <w:vAlign w:val="bottom"/>
            <w:shd w:val="clear" w:color="auto" w:fill="CCEEFF"/>
          </w:tcPr>
          <w:p>
            <w:pPr>
              <w:spacing w:after="0"/>
              <w:rPr>
                <w:sz w:val="22"/>
                <w:szCs w:val="22"/>
                <w:color w:val="auto"/>
              </w:rPr>
            </w:pP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205,239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1,191,689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Statutory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gridSpan w:val="5"/>
            <w:vMerge w:val="restart"/>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Stock Class A</w:t>
            </w: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gridSpan w:val="5"/>
            <w:vMerge w:val="restart"/>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Stock Class B</w:t>
            </w: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Paid-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60" w:type="dxa"/>
            <w:vAlign w:val="bottom"/>
          </w:tcPr>
          <w:p>
            <w:pPr>
              <w:spacing w:after="0"/>
              <w:rPr>
                <w:sz w:val="13"/>
                <w:szCs w:val="13"/>
                <w:color w:val="auto"/>
              </w:rPr>
            </w:pPr>
          </w:p>
        </w:tc>
        <w:tc>
          <w:tcPr>
            <w:tcW w:w="11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3"/>
                <w:szCs w:val="13"/>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40" w:type="dxa"/>
            <w:vAlign w:val="bottom"/>
          </w:tcPr>
          <w:p>
            <w:pPr>
              <w:spacing w:after="0"/>
              <w:rPr>
                <w:sz w:val="20"/>
                <w:szCs w:val="20"/>
                <w:color w:val="auto"/>
              </w:rPr>
            </w:pP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Reserve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7"/>
              </w:rPr>
              <w:t>Interests</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87"/>
        </w:trPr>
        <w:tc>
          <w:tcPr>
            <w:tcW w:w="1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56,036,172</w:t>
            </w:r>
          </w:p>
        </w:tc>
        <w:tc>
          <w:tcPr>
            <w:tcW w:w="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5,021,811</w:t>
            </w:r>
          </w:p>
        </w:tc>
        <w:tc>
          <w:tcPr>
            <w:tcW w:w="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629,845</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156,827</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30,060</w:t>
            </w:r>
          </w:p>
        </w:tc>
        <w:tc>
          <w:tcPr>
            <w:tcW w:w="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(49,349)</w:t>
            </w: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158,772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926,162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11,848</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1,366,081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23,972</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ACM Shanghai dividends</w:t>
            </w: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57,402,253</w:t>
            </w:r>
          </w:p>
        </w:tc>
        <w:tc>
          <w:tcPr>
            <w:tcW w:w="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5,021,811</w:t>
            </w:r>
          </w:p>
        </w:tc>
        <w:tc>
          <w:tcPr>
            <w:tcW w:w="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659,462</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198,470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30,060</w:t>
            </w:r>
          </w:p>
        </w:tc>
        <w:tc>
          <w:tcPr>
            <w:tcW w:w="20" w:type="dxa"/>
            <w:vAlign w:val="bottom"/>
            <w:shd w:val="clear" w:color="auto" w:fill="CCEEFF"/>
          </w:tcPr>
          <w:p>
            <w:pPr>
              <w:spacing w:after="0"/>
              <w:rPr>
                <w:sz w:val="22"/>
                <w:szCs w:val="22"/>
                <w:color w:val="auto"/>
              </w:rPr>
            </w:pP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(54,830)</w:t>
            </w:r>
          </w:p>
        </w:tc>
        <w:tc>
          <w:tcPr>
            <w:tcW w:w="4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168,219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$ 1,001,388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8" w:name="page9"/>
    <w:bookmarkEnd w:id="8"/>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6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61,283</w:t>
            </w:r>
          </w:p>
        </w:tc>
        <w:tc>
          <w:tcPr>
            <w:tcW w:w="4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53,491</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from operations to net cash (used in) provided by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r>
      <w:tr>
        <w:trPr>
          <w:trHeight w:val="243"/>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Realized gain on short-term investments</w:t>
            </w:r>
          </w:p>
        </w:tc>
        <w:tc>
          <w:tcPr>
            <w:tcW w:w="320" w:type="dxa"/>
            <w:vAlign w:val="bottom"/>
          </w:tcPr>
          <w:p>
            <w:pPr>
              <w:spacing w:after="0"/>
              <w:rPr>
                <w:sz w:val="21"/>
                <w:szCs w:val="21"/>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43"/>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43"/>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43"/>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28,911</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Dividends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(44,508)</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w:t>
            </w:r>
          </w:p>
        </w:tc>
      </w:tr>
      <w:tr>
        <w:trPr>
          <w:trHeight w:val="243"/>
        </w:trPr>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(52,946)</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(64,889)</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Advances to related parties (note 13)</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43"/>
        </w:trPr>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Related parties accounts payable (note 13)</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r>
      <w:tr>
        <w:trPr>
          <w:trHeight w:val="243"/>
        </w:trPr>
        <w:tc>
          <w:tcPr>
            <w:tcW w:w="6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Advances from customers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26,333</w:t>
            </w:r>
          </w:p>
        </w:tc>
      </w:tr>
      <w:tr>
        <w:trPr>
          <w:trHeight w:val="243"/>
        </w:trPr>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43"/>
        </w:trPr>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FIN-48 payable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r>
      <w:tr>
        <w:trPr>
          <w:trHeight w:val="243"/>
        </w:trPr>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6"/>
        </w:trPr>
        <w:tc>
          <w:tcPr>
            <w:tcW w:w="65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(39,619)</w:t>
            </w:r>
          </w:p>
        </w:tc>
        <w:tc>
          <w:tcPr>
            <w:tcW w:w="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51,942</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75"/>
        </w:trPr>
        <w:tc>
          <w:tcPr>
            <w:tcW w:w="65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(31,458)</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(38,512)</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short-term investments (note 12)</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time deposits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(58,090)</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redemption and maturity of time deposits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27,261</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138,412</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Refund of deposit for land use right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long-term investments (note 11)</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r>
      <w:tr>
        <w:trPr>
          <w:trHeight w:val="236"/>
        </w:trPr>
        <w:tc>
          <w:tcPr>
            <w:tcW w:w="65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(31,295)</w:t>
            </w:r>
          </w:p>
        </w:tc>
        <w:tc>
          <w:tcPr>
            <w:tcW w:w="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31,889</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45,073</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23,936</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(25,175)</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89,485</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32,277</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contribution by non-controlling shareholder</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ACM Shanghai's shares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23,582</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110,973</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58,251</w:t>
            </w:r>
          </w:p>
        </w:tc>
      </w:tr>
      <w:tr>
        <w:trPr>
          <w:trHeight w:val="20"/>
        </w:trPr>
        <w:tc>
          <w:tcPr>
            <w:tcW w:w="6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162560</wp:posOffset>
            </wp:positionV>
            <wp:extent cx="6309360" cy="91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9360" cy="91440"/>
                    </a:xfrm>
                    <a:prstGeom prst="rect">
                      <a:avLst/>
                    </a:prstGeom>
                    <a:noFill/>
                  </pic:spPr>
                </pic:pic>
              </a:graphicData>
            </a:graphic>
          </wp:anchor>
        </w:drawing>
      </w:r>
    </w:p>
    <w:p>
      <w:pPr>
        <w:sectPr>
          <w:pgSz w:w="11900" w:h="16972" w:orient="portrait"/>
          <w:cols w:equalWidth="0" w:num="1">
            <w:col w:w="10600"/>
          </w:cols>
          <w:pgMar w:left="320" w:top="290" w:right="979" w:bottom="0" w:gutter="0" w:footer="0" w:header="0"/>
        </w:sectPr>
      </w:pPr>
    </w:p>
    <w:p>
      <w:pPr>
        <w:spacing w:after="0" w:line="265" w:lineRule="exact"/>
        <w:rPr>
          <w:sz w:val="20"/>
          <w:szCs w:val="20"/>
          <w:color w:val="auto"/>
        </w:rPr>
      </w:pPr>
    </w:p>
    <w:p>
      <w:pPr>
        <w:ind w:left="680"/>
        <w:spacing w:after="0"/>
        <w:tabs>
          <w:tab w:leader="none" w:pos="8180" w:val="left"/>
          <w:tab w:leader="none" w:pos="10160" w:val="left"/>
        </w:tabs>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r>
        <w:rPr>
          <w:sz w:val="20"/>
          <w:szCs w:val="20"/>
          <w:color w:val="auto"/>
        </w:rPr>
        <w:tab/>
      </w:r>
      <w:r>
        <w:rPr>
          <w:rFonts w:ascii="Times New Roman" w:cs="Times New Roman" w:eastAsia="Times New Roman" w:hAnsi="Times New Roman"/>
          <w:sz w:val="18"/>
          <w:szCs w:val="18"/>
          <w:color w:val="auto"/>
        </w:rPr>
        <w:t>1 517</w:t>
      </w:r>
      <w:r>
        <w:rPr>
          <w:sz w:val="20"/>
          <w:szCs w:val="20"/>
          <w:color w:val="auto"/>
        </w:rPr>
        <w:tab/>
      </w:r>
      <w:r>
        <w:rPr>
          <w:rFonts w:ascii="Times New Roman" w:cs="Times New Roman" w:eastAsia="Times New Roman" w:hAnsi="Times New Roman"/>
          <w:sz w:val="17"/>
          <w:szCs w:val="17"/>
          <w:color w:val="auto"/>
        </w:rPr>
        <w:t>(343)</w:t>
      </w:r>
    </w:p>
    <w:p>
      <w:pPr>
        <w:sectPr>
          <w:pgSz w:w="11900" w:h="16972" w:orient="portrait"/>
          <w:cols w:equalWidth="0" w:num="1">
            <w:col w:w="10600"/>
          </w:cols>
          <w:pgMar w:left="320" w:top="290" w:right="97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41,576</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141,739</w:t>
            </w:r>
          </w:p>
        </w:tc>
      </w:tr>
      <w:tr>
        <w:trPr>
          <w:trHeight w:val="27"/>
        </w:trPr>
        <w:tc>
          <w:tcPr>
            <w:tcW w:w="6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411,310</w:t>
            </w:r>
          </w:p>
        </w:tc>
        <w:tc>
          <w:tcPr>
            <w:tcW w:w="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183,173</w:t>
            </w:r>
          </w:p>
        </w:tc>
      </w:tr>
      <w:tr>
        <w:trPr>
          <w:trHeight w:val="26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452,886</w:t>
            </w:r>
          </w:p>
        </w:tc>
        <w:tc>
          <w:tcPr>
            <w:tcW w:w="4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324,912</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6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paid, net of capitalized interest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43"/>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w:t>
            </w:r>
          </w:p>
        </w:tc>
      </w:tr>
      <w:tr>
        <w:trPr>
          <w:trHeight w:val="27"/>
        </w:trPr>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in consolidated</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5"/>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442,088</w:t>
            </w:r>
          </w:p>
        </w:tc>
        <w:tc>
          <w:tcPr>
            <w:tcW w:w="46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324,031</w:t>
            </w:r>
          </w:p>
        </w:tc>
      </w:tr>
      <w:tr>
        <w:trPr>
          <w:trHeight w:val="27"/>
        </w:trPr>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4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63"/>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452,886</w:t>
            </w:r>
          </w:p>
        </w:tc>
        <w:tc>
          <w:tcPr>
            <w:tcW w:w="4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324,912</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6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6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Cashless exercise of stock options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of prepayment for property to property, plant, and equipment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short-term investments included in other receivables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r>
      <w:tr>
        <w:trPr>
          <w:trHeight w:val="27"/>
        </w:trPr>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from other non-current assets to long term investment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w:t>
            </w: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from inventories to property, plant and equipment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6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plant and equipment through other payable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w:t>
            </w:r>
          </w:p>
        </w:tc>
        <w:tc>
          <w:tcPr>
            <w:tcW w:w="4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33,479</w:t>
            </w:r>
          </w:p>
        </w:tc>
      </w:tr>
      <w:tr>
        <w:trPr>
          <w:trHeight w:val="27"/>
        </w:trPr>
        <w:tc>
          <w:tcPr>
            <w:tcW w:w="6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88900</wp:posOffset>
            </wp:positionV>
            <wp:extent cx="6309360" cy="76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9360" cy="768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980" w:top="270" w:right="9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ACM Research, Inc. (“ACM” or “ACM Research”) and its subsidiaries (collectively with ACM, the “Company”) develop, manufacture and sell capital equipment to the global semiconductor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direct or indirect interests in the following subsidiaries: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Effective interest held as at</w:t>
            </w:r>
          </w:p>
        </w:tc>
      </w:tr>
      <w:tr>
        <w:trPr>
          <w:trHeight w:val="248"/>
        </w:trPr>
        <w:tc>
          <w:tcPr>
            <w:tcW w:w="30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subsidiaries</w:t>
            </w: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Place and date of incorporation</w:t>
            </w:r>
          </w:p>
        </w:tc>
        <w:tc>
          <w:tcPr>
            <w:tcW w:w="25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Principal Activities</w:t>
            </w:r>
          </w:p>
        </w:tc>
        <w:tc>
          <w:tcPr>
            <w:tcW w:w="14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30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ACM Research (Shanghai), Inc. ("ACM</w:t>
            </w: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Mainland China, May 2005</w:t>
            </w:r>
          </w:p>
        </w:tc>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operating</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w:t>
            </w:r>
          </w:p>
        </w:tc>
        <w:tc>
          <w:tcPr>
            <w:tcW w:w="286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1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ACM Research (Wuxi), Inc. ("ACM</w:t>
            </w: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Mainland China, July 2011</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services</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Wuxi")</w:t>
            </w:r>
          </w:p>
        </w:tc>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CleanChip Technologies Limited</w:t>
            </w: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Hong Kong, June 2017</w:t>
            </w:r>
          </w:p>
        </w:tc>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Trading partner between</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("CleanChip")</w:t>
            </w:r>
          </w:p>
        </w:tc>
        <w:tc>
          <w:tcPr>
            <w:tcW w:w="286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ACM Shanghai and its</w:t>
            </w: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1"/>
        </w:trPr>
        <w:tc>
          <w:tcPr>
            <w:tcW w:w="30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customers</w:t>
            </w:r>
          </w:p>
        </w:tc>
        <w:tc>
          <w:tcPr>
            <w:tcW w:w="1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ACM Research Korea CO., LTD. ("ACM Republic of Korea ("South Korea"),</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marketing, R&amp;D,</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2017</w:t>
            </w: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ACM Research ( Lingang), Inc. ("ACM</w:t>
            </w: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Mainland China, March 2019</w:t>
            </w:r>
          </w:p>
        </w:tc>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of production</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Lingang")</w:t>
            </w:r>
          </w:p>
        </w:tc>
        <w:tc>
          <w:tcPr>
            <w:tcW w:w="286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ACM Research (CA), Inc. ("ACM</w:t>
            </w: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April 2019</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Procurement for ACM</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860" w:type="dxa"/>
            <w:vAlign w:val="bottom"/>
          </w:tcPr>
          <w:p>
            <w:pPr>
              <w:spacing w:after="0"/>
              <w:rPr>
                <w:sz w:val="20"/>
                <w:szCs w:val="20"/>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Shanghai</w:t>
            </w: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ACM Research (Cayman), Inc.</w:t>
            </w: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Cayman Islands, April 2019</w:t>
            </w:r>
          </w:p>
        </w:tc>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Administrative function</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1"/>
        </w:trPr>
        <w:tc>
          <w:tcPr>
            <w:tcW w:w="30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(inactive)</w:t>
            </w:r>
          </w:p>
        </w:tc>
        <w:tc>
          <w:tcPr>
            <w:tcW w:w="1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ACM Research (Singapore) PTE. Ltd.</w:t>
            </w: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Singapore, August 2021</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marketing, business</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("ACM Singapore")</w:t>
            </w:r>
          </w:p>
        </w:tc>
        <w:tc>
          <w:tcPr>
            <w:tcW w:w="2860" w:type="dxa"/>
            <w:vAlign w:val="bottom"/>
          </w:tcPr>
          <w:p>
            <w:pPr>
              <w:spacing w:after="0"/>
              <w:rPr>
                <w:sz w:val="20"/>
                <w:szCs w:val="20"/>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ACM Research (Beijing), Inc. ("ACM</w:t>
            </w: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Mainland China, February 2022</w:t>
            </w:r>
          </w:p>
        </w:tc>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marketing, business</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Beijing")</w:t>
            </w:r>
          </w:p>
        </w:tc>
        <w:tc>
          <w:tcPr>
            <w:tcW w:w="286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1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Hanguk ACM CO., LTD</w:t>
            </w: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 Korea, March 2022</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services, business</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34"/>
        </w:trPr>
        <w:tc>
          <w:tcPr>
            <w:tcW w:w="30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880" w:type="dxa"/>
            <w:vAlign w:val="bottom"/>
            <w:gridSpan w:val="2"/>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ACM-Wooil Microelectronics (Shanghai) Mainland China, June 2023</w:t>
            </w: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Component development and</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286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1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ACM Research (Chengdu), Inc. ("ACM</w:t>
            </w: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Mainland China, December 2024</w:t>
            </w: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services</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Chengdu")</w:t>
            </w:r>
          </w:p>
        </w:tc>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Shengyi Micro Semiconductor</w:t>
            </w: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Mainland China, December 2024</w:t>
            </w: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development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 Co., Ltd.</w:t>
            </w:r>
          </w:p>
        </w:tc>
        <w:tc>
          <w:tcPr>
            <w:tcW w:w="286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Yusheng Micro Semiconductor</w:t>
            </w: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Mainland China, June 2023</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Component development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Co., Ltd.</w:t>
            </w:r>
          </w:p>
        </w:tc>
        <w:tc>
          <w:tcPr>
            <w:tcW w:w="2860" w:type="dxa"/>
            <w:vAlign w:val="bottom"/>
          </w:tcPr>
          <w:p>
            <w:pPr>
              <w:spacing w:after="0"/>
              <w:rPr>
                <w:sz w:val="20"/>
                <w:szCs w:val="20"/>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production</w:t>
            </w: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and 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been prepared in accordance with U.S. generally accepted accounting principles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2024 included in ACM’s Annual Report on Form 10-K.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June 30, 2025 and the results of operations for the three and six months ended June 30, 2025 are not necessarily indicative of the results to be expected for any future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certain long-term investments, stock-based compensation arrangements, realization of deferred tax assets, uncertain tax positions, assessment for impairment of long-lived assets and long-term investments, allowance for credit losses, inventory valuation, useful lives of property, plant and equipment, and useful lives of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evaluates these estimates and assumptions on a regular basis. Actual results could differ from those estimates and assumptions.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cash and cash equivalents, according to jurisdiction as of June 30, 2025 and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9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56,308</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 Hong Kong</w:t>
            </w:r>
          </w:p>
        </w:tc>
        <w:tc>
          <w:tcPr>
            <w:tcW w:w="4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255,853</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4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6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407,445</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462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4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in mainland China do not include short-term and long-term time deposits which in aggregate totaled $31,019 and $30,552 at June 30, 2025 and December 31, 2024,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held in the U.S. exceeds the Federal Deposit Insurance Corporation insurance limits and is subject to risk of loss. No losses have been experienced to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amounts held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restrictions and limitations on its ability to transfer funds to ACM or among the Company's other subsidiaries. However, cash held in mainland China does exceed applicable insurance limits and is subject to risk of loss, although no such losses have been experienced to date.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ACM California periodically procures goods and services on behalf of ACM Shanghai and ACM Lingang. For these transactions, ACM Shanghai and ACM Lingang make cash payments to ACM California in accordance with applicable transfer pricing arrangements. For the three months ended June 30, 2025 and 2024, cash payments from ACM Shanghai and ACM Lingang to ACM California for the procurement of goods and services were $3,509 and $9,751, respectively. For the six months ended June 30, 2025 and 2024, cash payments from ACM Shanghai and ACM Lingang to ACM California for the procurement of goods and services were $6,183 and $14,399, respectively. ACM California periodically borrows funds for working capital advances from its direct parent, CleanChip. ACM California repays or renews these intercompany loans in accordance with their terms.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sales through CleanChip and ACM Research, a certain amount of sales or advanced payments from customers is repatriated back to ACM Shanghai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 accordance with applicable transfer pricing arrangements.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held in Hong Kong exceed the Hong Kong Deposit Insurance Corporation insurance limits and are subject to risk of loss. No losses have been experienced to date. There are no additional restrictions for the transfer of cash from bank accounts in the U.S., South Korea, Singapore and Hong Kong.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and 2024, with the exception of sales and services-related transfer-pricing payments in the ordinary course of business, no transfers, or distributions have been made between ACM Research and its subsidiaries, including ACM Shanghai, or to holders of ACM Research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Time Deposits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deposits are deposited with banks in mainland China with fixed terms and interest rates which could be withdrawn before maturity and are presented as short-term deposits and long-term deposits in the accompanying condensed consolidated financial statements based on their expected dates of maturity. They are also subject to the risk control regulatory standards described above upon maturity.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and 2024, interest income related to time deposits was $547 and $622, respectively. For the six months ended June 30, 2025 and 2024, interest income related to time deposits was $831 and $1,246,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all of the Company's restricted cash was held by financial institutions located in mainland China, Hong Kong and South Korea, and mainly represents cash secured to guarantee delivery of tools.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Valuations based on quoted prices in active markets for identical assets or liabilities with sufficient volume and frequency of transactions.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primarily include its cash, cash equivalents, restricted cash, short term and long term deposits, short-term and long-term investments, other receivables, accounts receivable, accounts payable, and short-term and long-term borrowings. The estimated fair value of cash and cash equivalents, restricted cash, short-term time deposits, accounts receivable, other receivables, accounts payable, and short-term borrowings approximate their respective carrying value due to the short period of time to their maturities.</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 in its entirety, requires judgment and considers factors specific to the investment. The inputs or methodology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for valuing financial instruments are not necessarily an indication of the risks associated with investment in those instruments.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426085</wp:posOffset>
            </wp:positionV>
            <wp:extent cx="51346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34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Quoted Prices in Active</w:t>
            </w:r>
          </w:p>
        </w:tc>
        <w:tc>
          <w:tcPr>
            <w:tcW w:w="260" w:type="dxa"/>
            <w:vAlign w:val="bottom"/>
          </w:tcPr>
          <w:p>
            <w:pPr>
              <w:spacing w:after="0"/>
              <w:rPr>
                <w:sz w:val="18"/>
                <w:szCs w:val="18"/>
                <w:color w:val="auto"/>
              </w:rPr>
            </w:pPr>
          </w:p>
        </w:tc>
        <w:tc>
          <w:tcPr>
            <w:tcW w:w="20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Markets for Identical</w:t>
            </w:r>
          </w:p>
        </w:tc>
        <w:tc>
          <w:tcPr>
            <w:tcW w:w="22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Observable Inputs (Level</w:t>
            </w: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Liabilities (Level 1)</w:t>
            </w:r>
          </w:p>
        </w:tc>
        <w:tc>
          <w:tcPr>
            <w:tcW w:w="260" w:type="dxa"/>
            <w:vAlign w:val="bottom"/>
          </w:tcPr>
          <w:p>
            <w:pPr>
              <w:spacing w:after="0"/>
              <w:rPr>
                <w:sz w:val="20"/>
                <w:szCs w:val="20"/>
                <w:color w:val="auto"/>
              </w:rPr>
            </w:pPr>
          </w:p>
        </w:tc>
        <w:tc>
          <w:tcPr>
            <w:tcW w:w="20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2)</w:t>
            </w: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60" w:type="dxa"/>
            <w:vAlign w:val="bottom"/>
          </w:tcPr>
          <w:p>
            <w:pPr>
              <w:spacing w:after="0"/>
              <w:rPr>
                <w:sz w:val="20"/>
                <w:szCs w:val="20"/>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73,828</w:t>
            </w:r>
          </w:p>
        </w:tc>
      </w:tr>
      <w:tr>
        <w:trPr>
          <w:trHeight w:val="243"/>
        </w:trPr>
        <w:tc>
          <w:tcPr>
            <w:tcW w:w="3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260" w:type="dxa"/>
            <w:vAlign w:val="bottom"/>
          </w:tcPr>
          <w:p>
            <w:pPr>
              <w:spacing w:after="0"/>
              <w:rPr>
                <w:sz w:val="21"/>
                <w:szCs w:val="21"/>
                <w:color w:val="auto"/>
              </w:rPr>
            </w:pPr>
          </w:p>
        </w:tc>
        <w:tc>
          <w:tcPr>
            <w:tcW w:w="20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r>
      <w:tr>
        <w:trPr>
          <w:trHeight w:val="237"/>
        </w:trPr>
        <w:tc>
          <w:tcPr>
            <w:tcW w:w="3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94,943</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4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100,334</w:t>
            </w:r>
          </w:p>
        </w:tc>
      </w:tr>
      <w:tr>
        <w:trPr>
          <w:trHeight w:val="27"/>
        </w:trPr>
        <w:tc>
          <w:tcPr>
            <w:tcW w:w="3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3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50,967</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r>
      <w:tr>
        <w:trPr>
          <w:trHeight w:val="243"/>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0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3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did not have any assets and liabilities measured at fair value on a non-recurring basis as of June 30, 2025, and the Company did not recognize any unrealized gains (upward adjustments) or unrealized losses (downward adjustments) resulting from observable price changes in orderly transactions for an identical or similar investment of the same issuer for its long-term investments accounted for using measurement alternatives during the three and six months ended June 30, 2025 and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for fair value information related to the Company’s outstanding long-term borrowings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Net Income per Share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of common stock are calculated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29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53,491</w:t>
            </w:r>
          </w:p>
        </w:tc>
        <w:tc>
          <w:tcPr>
            <w:tcW w:w="0" w:type="dxa"/>
            <w:vAlign w:val="bottom"/>
          </w:tcPr>
          <w:p>
            <w:pPr>
              <w:spacing w:after="0"/>
              <w:rPr>
                <w:sz w:val="1"/>
                <w:szCs w:val="1"/>
                <w:color w:val="auto"/>
              </w:rPr>
            </w:pPr>
          </w:p>
        </w:tc>
      </w:tr>
      <w:tr>
        <w:trPr>
          <w:trHeight w:val="225"/>
        </w:trPr>
        <w:tc>
          <w:tcPr>
            <w:tcW w:w="4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basic</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41,643</w:t>
            </w:r>
          </w:p>
        </w:tc>
        <w:tc>
          <w:tcPr>
            <w:tcW w:w="0" w:type="dxa"/>
            <w:vAlign w:val="bottom"/>
          </w:tcPr>
          <w:p>
            <w:pPr>
              <w:spacing w:after="0"/>
              <w:rPr>
                <w:sz w:val="1"/>
                <w:szCs w:val="1"/>
                <w:color w:val="auto"/>
              </w:rPr>
            </w:pPr>
          </w:p>
        </w:tc>
      </w:tr>
      <w:tr>
        <w:trPr>
          <w:trHeight w:val="205"/>
        </w:trPr>
        <w:tc>
          <w:tcPr>
            <w:tcW w:w="436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w w:val="99"/>
              </w:rPr>
              <w:t>Less: Dilutive effect arising from stock-based awards</w:t>
            </w: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ACM Shanghai</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63,968,763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62,178,369</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63,620,235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61,772,776</w:t>
            </w:r>
          </w:p>
        </w:tc>
        <w:tc>
          <w:tcPr>
            <w:tcW w:w="0" w:type="dxa"/>
            <w:vAlign w:val="bottom"/>
          </w:tcPr>
          <w:p>
            <w:pPr>
              <w:spacing w:after="0"/>
              <w:rPr>
                <w:sz w:val="1"/>
                <w:szCs w:val="1"/>
                <w:color w:val="auto"/>
              </w:rPr>
            </w:pPr>
          </w:p>
        </w:tc>
      </w:tr>
      <w:tr>
        <w:trPr>
          <w:trHeight w:val="243"/>
        </w:trPr>
        <w:tc>
          <w:tcPr>
            <w:tcW w:w="4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Effect of potentially dilutive share-based awards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4,879,477</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4,747,930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67,464,856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67,057,846</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67,138,338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66,520,706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and diluted net income per share of common stock is presented using the two-class method, which allocates undistributed earnings to common stock and any participating securities according to dividend rights and participation rights on a proportionate basis. Under the two-class method, basic net income per share of common stock is computed by dividing the sum of distributed and undistributed earnings attributable to common stockholders by the weighted average number of shares of common stock outstanding during the period. ACM Research did not have any participating securities outstanding during the three and six months ended June 30, 2025 and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ACM Research is authorized to issue Class A and Class B common stock. The two classes of common stock are substantially identical in all material respects, except for voting rights. Since ACM Research did not declare cash dividends during the three and six months ended June 30, 2025 or 2024, the net income per share of common stock attributable to each class is the same under the “two-class” method. As such, the two classes of common stock have been presented on a combined basis in the condensed consolidated statements of comprehensive income and in the above computation of net income per share of common stock.</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Diluted net income per share of common stock reflects the potential dilution from securities, such as stock options that could share in ACM Research’s earnings. Certain potentially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stock options exercisable into shares of the Company’s common stock of 1,338,186 and 1,321,311 for the three and six months ended June 30, 2025, respectively and 702,850 and 714,850 for the three and six months ended June 30, 2024, respectively.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and cash equivalents, time deposits, and accounts receivable. The Company deposits and invests its cash and cash equivalents and time deposits with financial institutions that management believes are creditworthy.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potentially subject to concentrations of credit risks in its revenue and accounts receivable.</w:t>
      </w:r>
    </w:p>
    <w:p>
      <w:pPr>
        <w:spacing w:after="0" w:line="225" w:lineRule="exact"/>
        <w:rPr>
          <w:sz w:val="20"/>
          <w:szCs w:val="20"/>
          <w:color w:val="auto"/>
        </w:rPr>
      </w:pPr>
    </w:p>
    <w:p>
      <w:pPr>
        <w:jc w:val="both"/>
        <w:ind w:firstLine="8"/>
        <w:spacing w:after="0" w:line="266"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concentration.</w:t>
      </w:r>
      <w:r>
        <w:rPr>
          <w:rFonts w:ascii="Times New Roman" w:cs="Times New Roman" w:eastAsia="Times New Roman" w:hAnsi="Times New Roman"/>
          <w:sz w:val="18"/>
          <w:szCs w:val="18"/>
          <w:color w:val="auto"/>
        </w:rPr>
        <w:t xml:space="preserve"> For the three months ended June 30, 2025 and 2024, four customers accounted for 66.5% and four customers accounted for 57.9% of revenue, respectively. For the six months ended June 30, 2025 and 2024, three customers accounted for 49.9% and three customers accounted for 51.9% of revenue, respectively.</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receivable concentration.</w:t>
      </w:r>
      <w:r>
        <w:rPr>
          <w:rFonts w:ascii="Times New Roman" w:cs="Times New Roman" w:eastAsia="Times New Roman" w:hAnsi="Times New Roman"/>
          <w:sz w:val="18"/>
          <w:szCs w:val="18"/>
          <w:color w:val="auto"/>
        </w:rPr>
        <w:t xml:space="preserve"> As of June 30, 2025 and December 31, 2024, four customers accounted for 49.5% and four customers accounted for 57.1%, respectively, of the Company’s accounts receivables. The Company believes that the accounts receivable balances due from these customers do not represent a significant credit risk based on past collection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 Not Yet Adopted</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ASU requires disaggregated information about a reporting entity’s effective tax rate reconciliation as well as additional information on income taxes paid. The ASU is effective on a prospective basis for annual periods beginning after December 15, 2024. Retrospective application is permitted. Early adoption is also permitted for annual financial statements that have not yet been issued or made available for issuance. The Company is currently evaluating the provisions of this ASU.</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which requires additional disclosures about specific types of expenses included in the expense captions presented on the face of the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as well as disclosures about selling expenses. In January 2025, the FASB issued ASU 2025-01, which clarifies the effective date of ASU 2024-</w:t>
      </w:r>
    </w:p>
    <w:p>
      <w:pPr>
        <w:spacing w:after="0" w:line="1" w:lineRule="exact"/>
        <w:rPr>
          <w:sz w:val="20"/>
          <w:szCs w:val="20"/>
          <w:color w:val="auto"/>
        </w:rPr>
      </w:pPr>
    </w:p>
    <w:p>
      <w:pPr>
        <w:jc w:val="both"/>
        <w:ind w:firstLine="8"/>
        <w:spacing w:after="0" w:line="255" w:lineRule="auto"/>
        <w:tabs>
          <w:tab w:leader="none" w:pos="2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2024-03 is effective for fiscal years beginning after December 15, 2026, and interim periods within fiscal years beginning after December 15, 2027. This ASU should be applied prospectively with the option to apply the standard retrospectively. The Company is currently evaluating the provisions of this ASU.</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assesses revenues based upon the nature or type of goods or services it provides and the geographic location of the customer facility. The following tables present disaggregated revenue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0"/>
                <w:szCs w:val="20"/>
                <w:color w:val="auto"/>
              </w:rPr>
            </w:pPr>
          </w:p>
        </w:tc>
        <w:tc>
          <w:tcPr>
            <w:tcW w:w="310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7"/>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05"/>
        </w:trPr>
        <w:tc>
          <w:tcPr>
            <w:tcW w:w="4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Single Wafer Cleaning, Tahoe and Semi-Critical Cleaning</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154,961</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153,221</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284,530</w:t>
            </w:r>
          </w:p>
        </w:tc>
        <w:tc>
          <w:tcPr>
            <w:tcW w:w="420" w:type="dxa"/>
            <w:vAlign w:val="bottom"/>
            <w:tcBorders>
              <w:bottom w:val="single" w:sz="8" w:color="CCEEFF"/>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262,691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5"/>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ECP (front-end and packaging), Furnace and Other</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38,962</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75,646</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64,762</w:t>
            </w:r>
          </w:p>
        </w:tc>
        <w:tc>
          <w:tcPr>
            <w:tcW w:w="1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Packaging (excluding ECP), Services &amp; Spares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6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by product category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215,372</w:t>
            </w: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202,480</w:t>
            </w: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387,719</w:t>
            </w:r>
          </w:p>
        </w:tc>
        <w:tc>
          <w:tcPr>
            <w:tcW w:w="42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354,671</w:t>
            </w:r>
          </w:p>
        </w:tc>
        <w:tc>
          <w:tcPr>
            <w:tcW w:w="100" w:type="dxa"/>
            <w:vAlign w:val="bottom"/>
          </w:tcPr>
          <w:p>
            <w:pPr>
              <w:spacing w:after="0"/>
              <w:rPr>
                <w:sz w:val="22"/>
                <w:szCs w:val="22"/>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substantially all of the Group's revenue were derived from customers with the PRC, and therefore no geographical segments are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 balances were as follows as of:</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64"/>
        </w:trPr>
        <w:tc>
          <w:tcPr>
            <w:tcW w:w="1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3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134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134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243,949</w:t>
            </w:r>
          </w:p>
        </w:tc>
      </w:tr>
      <w:tr>
        <w:trPr>
          <w:trHeight w:val="243"/>
        </w:trPr>
        <w:tc>
          <w:tcPr>
            <w:tcW w:w="1340" w:type="dxa"/>
            <w:vAlign w:val="bottom"/>
          </w:tcPr>
          <w:p>
            <w:pPr>
              <w:spacing w:after="0"/>
              <w:rPr>
                <w:sz w:val="21"/>
                <w:szCs w:val="21"/>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r>
      <w:tr>
        <w:trPr>
          <w:trHeight w:val="27"/>
        </w:trPr>
        <w:tc>
          <w:tcPr>
            <w:tcW w:w="134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1340" w:type="dxa"/>
            <w:vAlign w:val="bottom"/>
          </w:tcPr>
          <w:p>
            <w:pPr>
              <w:spacing w:after="0"/>
              <w:rPr>
                <w:sz w:val="24"/>
                <w:szCs w:val="24"/>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252,486</w:t>
            </w:r>
          </w:p>
        </w:tc>
      </w:tr>
      <w:tr>
        <w:trPr>
          <w:trHeight w:val="20"/>
        </w:trPr>
        <w:tc>
          <w:tcPr>
            <w:tcW w:w="134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revenues recognized from amounts included in contract liabilities at the beginning of the period: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r>
      <w:tr>
        <w:trPr>
          <w:trHeight w:val="27"/>
        </w:trPr>
        <w:tc>
          <w:tcPr>
            <w:tcW w:w="5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55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 recognized from amounts included in contract liabilities at the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58,122 $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86,183</w:t>
            </w:r>
          </w:p>
        </w:tc>
      </w:tr>
      <w:tr>
        <w:trPr>
          <w:trHeight w:val="27"/>
        </w:trPr>
        <w:tc>
          <w:tcPr>
            <w:tcW w:w="5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and December 31, 2024, accounts receivable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453,444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405,392</w:t>
            </w:r>
          </w:p>
        </w:tc>
        <w:tc>
          <w:tcPr>
            <w:tcW w:w="100" w:type="dxa"/>
            <w:vAlign w:val="bottom"/>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(19,782)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(18,347)</w:t>
            </w:r>
          </w:p>
        </w:tc>
        <w:tc>
          <w:tcPr>
            <w:tcW w:w="100" w:type="dxa"/>
            <w:vAlign w:val="bottom"/>
          </w:tcPr>
          <w:p>
            <w:pPr>
              <w:spacing w:after="0"/>
              <w:rPr>
                <w:sz w:val="21"/>
                <w:szCs w:val="2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433,662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387,045</w:t>
            </w:r>
          </w:p>
        </w:tc>
        <w:tc>
          <w:tcPr>
            <w:tcW w:w="100" w:type="dxa"/>
            <w:vAlign w:val="bottom"/>
          </w:tcPr>
          <w:p>
            <w:pPr>
              <w:spacing w:after="0"/>
              <w:rPr>
                <w:sz w:val="24"/>
                <w:szCs w:val="24"/>
                <w:color w:val="auto"/>
              </w:rPr>
            </w:pPr>
          </w:p>
        </w:tc>
      </w:tr>
      <w:tr>
        <w:trPr>
          <w:trHeight w:val="20"/>
        </w:trPr>
        <w:tc>
          <w:tcPr>
            <w:tcW w:w="640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8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movement of the allowance for credit losses for the six months ended June 30, 2025 and 2024 is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7"/>
        </w:trPr>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the year</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(18,347)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(4,830)</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(1,954)</w:t>
            </w:r>
          </w:p>
        </w:tc>
      </w:tr>
      <w:tr>
        <w:trPr>
          <w:trHeight w:val="27"/>
        </w:trPr>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8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the end of the period</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(19,782)</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collectability by reviewing accounts receivable on a general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INVENTORIES, NET</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2025, and December 31, 2024, inventories consisted of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4"/>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224,086</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80,767</w:t>
            </w:r>
          </w:p>
        </w:tc>
      </w:tr>
      <w:tr>
        <w:trPr>
          <w:trHeight w:val="27"/>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293,131</w:t>
            </w:r>
          </w:p>
        </w:tc>
      </w:tr>
      <w:tr>
        <w:trPr>
          <w:trHeight w:val="26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648,278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597,984</w:t>
            </w:r>
          </w:p>
        </w:tc>
      </w:tr>
      <w:tr>
        <w:trPr>
          <w:trHeight w:val="21"/>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Raw materials increased by $61,482 for the six months ended June 30, 2025 based on the Company's production plans and strategic purchases to mitigate supply chain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value of finished goods inventory, which is comprised of first-tools at customers' physical locations, for which customers were contractually obligated to take ownership upon acceptance totaled $187,100 and $206,018,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2025 and 2024, the provisions for inventory of $1,102 and $1,984 were recognized in cost of revenue,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and 2024, the provisions for inventory of $5,625 and $3,009 were recognized in cost of revenue,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2025 and December 31, 2024, property, plant and equipment consisted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4"/>
        </w:trPr>
        <w:tc>
          <w:tcPr>
            <w:tcW w:w="8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plants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139,311</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37,038</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97,916</w:t>
            </w:r>
          </w:p>
        </w:tc>
      </w:tr>
      <w:tr>
        <w:trPr>
          <w:trHeight w:val="237"/>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294,154</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Total accumulated depreciation</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r>
      <w:tr>
        <w:trPr>
          <w:trHeight w:val="26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290,944</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269,272</w:t>
            </w: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2025 and 2024 was $3,517 and $2,209, respectively. Depreciation expense for the six months ended June 30, 2025 and 2024 was $5,904 and $4,684,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and plants includes $34,890 for the Lingang housing property which is pledged as security for loans from the China Merchants Bank (note 10).</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Construction in progress primarily reflects costs incurred for certain facilities related to the construction of ACM Shanghai’s Lingang development and production center.</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OTHER LONG-TERM ASSETS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64"/>
        </w:trPr>
        <w:tc>
          <w:tcPr>
            <w:tcW w:w="7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for property, plant and equipment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7"/>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deposit for land use right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for investment in Ninebell Co., Ltd. ("Ninebell") (note 13)</w:t>
            </w:r>
          </w:p>
        </w:tc>
        <w:tc>
          <w:tcPr>
            <w:tcW w:w="2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16,737</w:t>
            </w:r>
          </w:p>
        </w:tc>
      </w:tr>
      <w:tr>
        <w:trPr>
          <w:trHeight w:val="27"/>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6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20,452</w:t>
            </w:r>
          </w:p>
        </w:tc>
      </w:tr>
      <w:tr>
        <w:trPr>
          <w:trHeight w:val="21"/>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SHORT-TERM BORROWINGS</w:t>
            </w:r>
          </w:p>
        </w:tc>
        <w:tc>
          <w:tcPr>
            <w:tcW w:w="128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June 30, 2025 and December 31, 2024, short-term borrowings consisted of the following:</w:t>
            </w:r>
          </w:p>
        </w:tc>
        <w:tc>
          <w:tcPr>
            <w:tcW w:w="1280" w:type="dxa"/>
            <w:vAlign w:val="bottom"/>
          </w:tcPr>
          <w:p>
            <w:pPr>
              <w:spacing w:after="0"/>
              <w:rPr>
                <w:sz w:val="24"/>
                <w:szCs w:val="24"/>
                <w:color w:val="auto"/>
              </w:rPr>
            </w:pPr>
          </w:p>
        </w:tc>
      </w:tr>
      <w:tr>
        <w:trPr>
          <w:trHeight w:val="464"/>
        </w:trPr>
        <w:tc>
          <w:tcPr>
            <w:tcW w:w="6220" w:type="dxa"/>
            <w:vAlign w:val="bottom"/>
          </w:tcPr>
          <w:p>
            <w:pPr>
              <w:spacing w:after="0"/>
              <w:rPr>
                <w:sz w:val="24"/>
                <w:szCs w:val="24"/>
                <w:color w:val="auto"/>
              </w:rPr>
            </w:pPr>
          </w:p>
        </w:tc>
        <w:tc>
          <w:tcPr>
            <w:tcW w:w="11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3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Line of credit up to RMB 200,000 from China Merchants Bank,</w:t>
            </w:r>
          </w:p>
        </w:tc>
        <w:tc>
          <w:tcPr>
            <w:tcW w:w="1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bl>
    <w:p>
      <w:pPr>
        <w:spacing w:after="0" w:line="36" w:lineRule="exact"/>
        <w:rPr>
          <w:sz w:val="20"/>
          <w:szCs w:val="20"/>
          <w:color w:val="auto"/>
        </w:rPr>
      </w:pPr>
    </w:p>
    <w:p>
      <w:pPr>
        <w:sectPr>
          <w:pgSz w:w="11900" w:h="16838" w:orient="portrait"/>
          <w:cols w:equalWidth="0" w:num="1">
            <w:col w:w="11240"/>
          </w:cols>
          <w:pgMar w:left="320" w:top="115" w:right="339" w:bottom="1440" w:gutter="0" w:footer="0" w:header="0"/>
        </w:sectPr>
      </w:pPr>
    </w:p>
    <w:p>
      <w:pPr>
        <w:ind w:left="320" w:hanging="186"/>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February 27, 2025 with an annual interest rate of 2.60%.</w:t>
      </w:r>
    </w:p>
    <w:p>
      <w:pPr>
        <w:spacing w:after="0" w:line="63" w:lineRule="exact"/>
        <w:rPr>
          <w:rFonts w:ascii="Times New Roman" w:cs="Times New Roman" w:eastAsia="Times New Roman" w:hAnsi="Times New Roman"/>
          <w:sz w:val="18"/>
          <w:szCs w:val="18"/>
          <w:color w:val="auto"/>
        </w:rPr>
      </w:pPr>
    </w:p>
    <w:p>
      <w:pPr>
        <w:ind w:left="320" w:hanging="186"/>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February 28, 2025 with an annual interest rate of 2.60%.</w:t>
      </w:r>
    </w:p>
    <w:p>
      <w:pPr>
        <w:spacing w:after="0" w:line="63" w:lineRule="exact"/>
        <w:rPr>
          <w:rFonts w:ascii="Times New Roman" w:cs="Times New Roman" w:eastAsia="Times New Roman" w:hAnsi="Times New Roman"/>
          <w:sz w:val="18"/>
          <w:szCs w:val="18"/>
          <w:color w:val="auto"/>
        </w:rPr>
      </w:pPr>
    </w:p>
    <w:p>
      <w:pPr>
        <w:ind w:left="320" w:hanging="186"/>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March 1, 2025 with an annual interest rate of 2.60%.</w:t>
      </w:r>
    </w:p>
    <w:p>
      <w:pPr>
        <w:spacing w:after="0" w:line="63" w:lineRule="exact"/>
        <w:rPr>
          <w:rFonts w:ascii="Times New Roman" w:cs="Times New Roman" w:eastAsia="Times New Roman" w:hAnsi="Times New Roman"/>
          <w:sz w:val="18"/>
          <w:szCs w:val="18"/>
          <w:color w:val="auto"/>
        </w:rPr>
      </w:pPr>
    </w:p>
    <w:p>
      <w:pPr>
        <w:ind w:left="320" w:hanging="186"/>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March 5, 2025 with an annual interest rate of 2.60%.</w:t>
      </w:r>
    </w:p>
    <w:p>
      <w:pPr>
        <w:spacing w:after="0" w:line="63" w:lineRule="exact"/>
        <w:rPr>
          <w:rFonts w:ascii="Times New Roman" w:cs="Times New Roman" w:eastAsia="Times New Roman" w:hAnsi="Times New Roman"/>
          <w:sz w:val="18"/>
          <w:szCs w:val="18"/>
          <w:color w:val="auto"/>
        </w:rPr>
      </w:pPr>
    </w:p>
    <w:p>
      <w:pPr>
        <w:ind w:left="320" w:hanging="186"/>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March 8, 2025 with an annual interest rate of 2.60%.</w:t>
      </w:r>
    </w:p>
    <w:p>
      <w:pPr>
        <w:spacing w:after="0" w:line="63" w:lineRule="exact"/>
        <w:rPr>
          <w:rFonts w:ascii="Times New Roman" w:cs="Times New Roman" w:eastAsia="Times New Roman" w:hAnsi="Times New Roman"/>
          <w:sz w:val="18"/>
          <w:szCs w:val="18"/>
          <w:color w:val="auto"/>
        </w:rPr>
      </w:pPr>
    </w:p>
    <w:p>
      <w:pPr>
        <w:ind w:left="320" w:hanging="186"/>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August 27, 2025 with an annual interest rate of 2.60%.</w:t>
      </w:r>
    </w:p>
    <w:p>
      <w:pPr>
        <w:spacing w:after="0" w:line="63" w:lineRule="exact"/>
        <w:rPr>
          <w:rFonts w:ascii="Times New Roman" w:cs="Times New Roman" w:eastAsia="Times New Roman" w:hAnsi="Times New Roman"/>
          <w:sz w:val="18"/>
          <w:szCs w:val="18"/>
          <w:color w:val="auto"/>
        </w:rPr>
      </w:pPr>
    </w:p>
    <w:p>
      <w:pPr>
        <w:ind w:left="320" w:hanging="186"/>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September 12, 2025 with an annual interest rate of 2.60%.</w:t>
      </w:r>
    </w:p>
    <w:p>
      <w:pPr>
        <w:spacing w:after="0" w:line="63" w:lineRule="exact"/>
        <w:rPr>
          <w:rFonts w:ascii="Times New Roman" w:cs="Times New Roman" w:eastAsia="Times New Roman" w:hAnsi="Times New Roman"/>
          <w:sz w:val="18"/>
          <w:szCs w:val="18"/>
          <w:color w:val="auto"/>
        </w:rPr>
      </w:pPr>
    </w:p>
    <w:p>
      <w:pPr>
        <w:ind w:left="320" w:hanging="186"/>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March 12, 2026 with an annual interest rate of 2.28%.</w:t>
      </w:r>
    </w:p>
    <w:p>
      <w:pPr>
        <w:spacing w:after="0" w:line="63" w:lineRule="exact"/>
        <w:rPr>
          <w:rFonts w:ascii="Times New Roman" w:cs="Times New Roman" w:eastAsia="Times New Roman" w:hAnsi="Times New Roman"/>
          <w:sz w:val="18"/>
          <w:szCs w:val="18"/>
          <w:color w:val="auto"/>
        </w:rPr>
      </w:pPr>
    </w:p>
    <w:p>
      <w:pPr>
        <w:ind w:left="320" w:hanging="186"/>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March 12, 2026 with an annual interest rate of 2.28%.</w:t>
      </w:r>
    </w:p>
    <w:p>
      <w:pPr>
        <w:spacing w:after="0" w:line="63" w:lineRule="exact"/>
        <w:rPr>
          <w:rFonts w:ascii="Times New Roman" w:cs="Times New Roman" w:eastAsia="Times New Roman" w:hAnsi="Times New Roman"/>
          <w:sz w:val="18"/>
          <w:szCs w:val="18"/>
          <w:color w:val="auto"/>
        </w:rPr>
      </w:pPr>
    </w:p>
    <w:p>
      <w:pPr>
        <w:ind w:left="420" w:hanging="286"/>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March 12, 2026 with an annual interest rate of 2.28%</w:t>
      </w:r>
    </w:p>
    <w:p>
      <w:pPr>
        <w:spacing w:after="0" w:line="5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Line of credit up to RMB 400,000 from Bank of China,</w:t>
      </w:r>
    </w:p>
    <w:p>
      <w:pPr>
        <w:spacing w:after="0" w:line="67" w:lineRule="exact"/>
        <w:rPr>
          <w:rFonts w:ascii="Times New Roman" w:cs="Times New Roman" w:eastAsia="Times New Roman" w:hAnsi="Times New Roman"/>
          <w:sz w:val="18"/>
          <w:szCs w:val="18"/>
          <w:color w:val="auto"/>
        </w:rPr>
      </w:pPr>
    </w:p>
    <w:p>
      <w:pPr>
        <w:ind w:left="380" w:hanging="192"/>
        <w:spacing w:after="0"/>
        <w:tabs>
          <w:tab w:leader="none" w:pos="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March 20, 2025 with an annual interest rate of 2.75%.</w:t>
      </w:r>
    </w:p>
    <w:p>
      <w:pPr>
        <w:spacing w:after="0" w:line="63" w:lineRule="exact"/>
        <w:rPr>
          <w:rFonts w:ascii="Times New Roman" w:cs="Times New Roman" w:eastAsia="Times New Roman" w:hAnsi="Times New Roman"/>
          <w:sz w:val="18"/>
          <w:szCs w:val="18"/>
          <w:color w:val="auto"/>
        </w:rPr>
      </w:pPr>
    </w:p>
    <w:p>
      <w:pPr>
        <w:ind w:left="380" w:hanging="192"/>
        <w:spacing w:after="0"/>
        <w:tabs>
          <w:tab w:leader="none" w:pos="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September 22, 2025 with an annual interest rate of 2.50%.</w:t>
      </w:r>
    </w:p>
    <w:p>
      <w:pPr>
        <w:spacing w:after="0" w:line="63" w:lineRule="exact"/>
        <w:rPr>
          <w:rFonts w:ascii="Times New Roman" w:cs="Times New Roman" w:eastAsia="Times New Roman" w:hAnsi="Times New Roman"/>
          <w:sz w:val="18"/>
          <w:szCs w:val="18"/>
          <w:color w:val="auto"/>
        </w:rPr>
      </w:pPr>
    </w:p>
    <w:p>
      <w:pPr>
        <w:ind w:left="400" w:hanging="194"/>
        <w:spacing w:after="0"/>
        <w:tabs>
          <w:tab w:leader="none" w:pos="4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April 14, 2026 with an annual interest rate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-2193925</wp:posOffset>
            </wp:positionV>
            <wp:extent cx="545211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545211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545211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545211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545211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545211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545211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1714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Line of credit up to RMB 100,000 from Bank of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45211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171450"/>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due on June 30, 2026 with an annual interest rate of 2.11%.</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Line of credit up to KRW 2,000,000 from Industrial Bank of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45211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171450"/>
                    </a:xfrm>
                    <a:prstGeom prst="rect">
                      <a:avLst/>
                    </a:prstGeom>
                    <a:noFill/>
                  </pic:spPr>
                </pic:pic>
              </a:graphicData>
            </a:graphic>
          </wp:anchor>
        </w:drawing>
      </w:r>
    </w:p>
    <w:p>
      <w:pPr>
        <w:spacing w:after="0" w:line="59" w:lineRule="exact"/>
        <w:rPr>
          <w:sz w:val="20"/>
          <w:szCs w:val="20"/>
          <w:color w:val="auto"/>
        </w:rPr>
      </w:pPr>
    </w:p>
    <w:p>
      <w:pPr>
        <w:ind w:left="320" w:hanging="186"/>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on December 16, 2025 with an annual interest rate of 4.43%.</w:t>
      </w:r>
    </w:p>
    <w:p>
      <w:pPr>
        <w:spacing w:after="0" w:line="5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tabs>
          <w:tab w:leader="none" w:pos="940" w:val="left"/>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1,322</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7"/>
          <w:szCs w:val="17"/>
          <w:color w:val="auto"/>
        </w:rPr>
        <w:t>1,322</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7"/>
          <w:szCs w:val="17"/>
          <w:color w:val="auto"/>
        </w:rPr>
        <w:t>1,322</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7"/>
          <w:szCs w:val="17"/>
          <w:color w:val="auto"/>
        </w:rPr>
        <w:t>1,322</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7"/>
          <w:szCs w:val="17"/>
          <w:color w:val="auto"/>
        </w:rPr>
        <w:t>1,253</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1,328</w:t>
      </w:r>
      <w:r>
        <w:rPr>
          <w:rFonts w:ascii="Times New Roman" w:cs="Times New Roman" w:eastAsia="Times New Roman" w:hAnsi="Times New Roman"/>
          <w:sz w:val="17"/>
          <w:szCs w:val="17"/>
          <w:color w:val="auto"/>
        </w:rPr>
        <w:t>1,322</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1,328</w:t>
      </w:r>
      <w:r>
        <w:rPr>
          <w:rFonts w:ascii="Times New Roman" w:cs="Times New Roman" w:eastAsia="Times New Roman" w:hAnsi="Times New Roman"/>
          <w:sz w:val="17"/>
          <w:szCs w:val="17"/>
          <w:color w:val="auto"/>
        </w:rPr>
        <w:t>1,322</w:t>
      </w:r>
    </w:p>
    <w:p>
      <w:pPr>
        <w:spacing w:after="0" w:line="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1,398</w:t>
      </w:r>
      <w:r>
        <w:rPr>
          <w:rFonts w:ascii="Arial" w:cs="Arial" w:eastAsia="Arial" w:hAnsi="Arial"/>
          <w:sz w:val="18"/>
          <w:szCs w:val="18"/>
          <w:color w:val="auto"/>
        </w:rPr>
        <w:t>—</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1,398</w:t>
      </w:r>
      <w:r>
        <w:rPr>
          <w:rFonts w:ascii="Arial" w:cs="Arial" w:eastAsia="Arial" w:hAnsi="Arial"/>
          <w:sz w:val="18"/>
          <w:szCs w:val="18"/>
          <w:color w:val="auto"/>
        </w:rPr>
        <w:t>—</w:t>
      </w:r>
    </w:p>
    <w:p>
      <w:pPr>
        <w:spacing w:after="0" w:line="63"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8"/>
          <w:szCs w:val="18"/>
          <w:color w:val="auto"/>
        </w:rPr>
        <w:t>13,978</w:t>
      </w:r>
      <w:r>
        <w:rPr>
          <w:sz w:val="20"/>
          <w:szCs w:val="20"/>
          <w:color w:val="auto"/>
        </w:rPr>
        <w:tab/>
      </w:r>
      <w:r>
        <w:rPr>
          <w:rFonts w:ascii="Arial" w:cs="Arial" w:eastAsia="Arial" w:hAnsi="Arial"/>
          <w:sz w:val="18"/>
          <w:szCs w:val="18"/>
          <w:color w:val="auto"/>
        </w:rPr>
        <w:t>—</w:t>
      </w:r>
    </w:p>
    <w:p>
      <w:pPr>
        <w:spacing w:after="0" w:line="3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16,706</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5,591</w:t>
      </w:r>
      <w:r>
        <w:rPr>
          <w:rFonts w:ascii="Times New Roman" w:cs="Times New Roman" w:eastAsia="Times New Roman" w:hAnsi="Times New Roman"/>
          <w:sz w:val="17"/>
          <w:szCs w:val="17"/>
          <w:color w:val="auto"/>
        </w:rPr>
        <w:t>5,569</w:t>
      </w:r>
    </w:p>
    <w:p>
      <w:pPr>
        <w:spacing w:after="0" w:line="62"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8"/>
          <w:szCs w:val="18"/>
          <w:color w:val="auto"/>
        </w:rPr>
        <w:t>13,978</w:t>
      </w:r>
      <w:r>
        <w:rPr>
          <w:sz w:val="20"/>
          <w:szCs w:val="20"/>
          <w:color w:val="auto"/>
        </w:rPr>
        <w:tab/>
      </w:r>
      <w:r>
        <w:rPr>
          <w:rFonts w:ascii="Arial" w:cs="Arial" w:eastAsia="Arial" w:hAnsi="Arial"/>
          <w:sz w:val="18"/>
          <w:szCs w:val="18"/>
          <w:color w:val="auto"/>
        </w:rPr>
        <w:t>—</w:t>
      </w:r>
    </w:p>
    <w:p>
      <w:pPr>
        <w:spacing w:after="0" w:line="332"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8"/>
          <w:szCs w:val="18"/>
          <w:color w:val="auto"/>
        </w:rPr>
        <w:t>13,970</w:t>
      </w:r>
      <w:r>
        <w:rPr>
          <w:sz w:val="20"/>
          <w:szCs w:val="20"/>
          <w:color w:val="auto"/>
        </w:rPr>
        <w:tab/>
      </w:r>
      <w:r>
        <w:rPr>
          <w:rFonts w:ascii="Arial" w:cs="Arial" w:eastAsia="Arial" w:hAnsi="Arial"/>
          <w:sz w:val="18"/>
          <w:szCs w:val="18"/>
          <w:color w:val="auto"/>
        </w:rPr>
        <w:t>—</w:t>
      </w:r>
    </w:p>
    <w:p>
      <w:pPr>
        <w:spacing w:after="0" w:line="3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7"/>
          <w:szCs w:val="17"/>
          <w:color w:val="auto"/>
        </w:rPr>
        <w:t>1,354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508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53" w:lineRule="exact"/>
        <w:rPr>
          <w:sz w:val="20"/>
          <w:szCs w:val="20"/>
          <w:color w:val="auto"/>
        </w:rPr>
      </w:pPr>
    </w:p>
    <w:p>
      <w:pPr>
        <w:spacing w:after="0"/>
        <w:tabs>
          <w:tab w:leader="none" w:pos="620" w:val="left"/>
          <w:tab w:leader="none" w:pos="17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52,969 $</w:t>
      </w:r>
      <w:r>
        <w:rPr>
          <w:sz w:val="20"/>
          <w:szCs w:val="20"/>
          <w:color w:val="auto"/>
        </w:rPr>
        <w:tab/>
      </w:r>
      <w:r>
        <w:rPr>
          <w:rFonts w:ascii="Times New Roman" w:cs="Times New Roman" w:eastAsia="Times New Roman" w:hAnsi="Times New Roman"/>
          <w:sz w:val="18"/>
          <w:szCs w:val="18"/>
          <w:b w:val="1"/>
          <w:bCs w:val="1"/>
          <w:color w:val="auto"/>
        </w:rPr>
        <w:t>32,814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36830</wp:posOffset>
            </wp:positionV>
            <wp:extent cx="15087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0876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62865</wp:posOffset>
            </wp:positionV>
            <wp:extent cx="15087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000"/>
          </w:cols>
          <w:pgMar w:left="320" w:top="115" w:right="339" w:bottom="1440" w:gutter="0" w:footer="0" w:header="0"/>
          <w:type w:val="continuous"/>
        </w:sectPr>
      </w:pP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covenants for the $13,970 short-term facility of Bank of China require ACM Shanghai’s year-end outstanding interest-bearing debt not to exceed five times of its annual EBITDA, and to comply with other non-financial covenants, or Bank of China has the right to suspend the facility, or request ACM Shanghai to accelerate repayment or provide credit enhancement.</w:t>
      </w:r>
    </w:p>
    <w:p>
      <w:pPr>
        <w:sectPr>
          <w:pgSz w:w="11900" w:h="16838" w:orient="portrait"/>
          <w:cols w:equalWidth="0" w:num="1">
            <w:col w:w="11240"/>
          </w:cols>
          <w:pgMar w:left="320" w:top="115"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OTHER PAYABLES AND ACCRUED EXPENSES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June 30, 2025 and December 31, 2024, other payables and accrued expenses consisted of the following:</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64"/>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20,180</w:t>
            </w:r>
          </w:p>
        </w:tc>
      </w:tr>
      <w:tr>
        <w:trPr>
          <w:trHeight w:val="27"/>
        </w:trPr>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21,677</w:t>
            </w:r>
          </w:p>
        </w:tc>
      </w:tr>
      <w:tr>
        <w:trPr>
          <w:trHeight w:val="27"/>
        </w:trPr>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machine sales fees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Lingang construction fees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28,103</w:t>
            </w:r>
          </w:p>
        </w:tc>
      </w:tr>
      <w:tr>
        <w:trPr>
          <w:trHeight w:val="27"/>
        </w:trPr>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 income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investments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r>
      <w:tr>
        <w:trPr>
          <w:trHeight w:val="27"/>
        </w:trPr>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w:t>
            </w:r>
          </w:p>
        </w:tc>
      </w:tr>
      <w:tr>
        <w:trPr>
          <w:trHeight w:val="27"/>
        </w:trPr>
        <w:tc>
          <w:tcPr>
            <w:tcW w:w="7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payables and accrued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provides standard warranties on its products. The liability amount is based on actual historical warranty spending activity by type of product, customer, and geographic region, modified for any known differences such as the impact of product reliability improvements.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accrued warranty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3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3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13,242</w:t>
            </w:r>
          </w:p>
        </w:tc>
        <w:tc>
          <w:tcPr>
            <w:tcW w:w="118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11,339</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12,710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3,172</w:t>
            </w: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5,706</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7"/>
        </w:trPr>
        <w:tc>
          <w:tcPr>
            <w:tcW w:w="3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Utilized</w:t>
            </w:r>
          </w:p>
        </w:tc>
        <w:tc>
          <w:tcPr>
            <w:tcW w:w="10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(2,868)</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6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13,544</w:t>
            </w:r>
          </w:p>
        </w:tc>
        <w:tc>
          <w:tcPr>
            <w:tcW w:w="118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11,273</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13,544</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w:t>
            </w:r>
          </w:p>
        </w:tc>
      </w:tr>
      <w:tr>
        <w:trPr>
          <w:trHeight w:val="20"/>
        </w:trPr>
        <w:tc>
          <w:tcPr>
            <w:tcW w:w="3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BORROWINGS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and December 31, 2024, long-term borrowings consisted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44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6"/>
        </w:trPr>
        <w:tc>
          <w:tcPr>
            <w:tcW w:w="544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from China Merchants Bank</w:t>
            </w:r>
          </w:p>
        </w:tc>
        <w:tc>
          <w:tcPr>
            <w:tcW w:w="130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from Agricultural Bank of China</w:t>
            </w:r>
          </w:p>
        </w:tc>
        <w:tc>
          <w:tcPr>
            <w:tcW w:w="1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from Bank of China</w:t>
            </w:r>
          </w:p>
        </w:tc>
        <w:tc>
          <w:tcPr>
            <w:tcW w:w="1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28,258</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from Bank of Shanghai</w:t>
            </w:r>
          </w:p>
        </w:tc>
        <w:tc>
          <w:tcPr>
            <w:tcW w:w="1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from China CITIC Bank</w:t>
            </w:r>
          </w:p>
        </w:tc>
        <w:tc>
          <w:tcPr>
            <w:tcW w:w="1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27,775</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from China Everbright Bank</w:t>
            </w:r>
          </w:p>
        </w:tc>
        <w:tc>
          <w:tcPr>
            <w:tcW w:w="1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55,774</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55,549</w:t>
            </w: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from Industrial and Commercial Bank of China</w:t>
            </w:r>
          </w:p>
        </w:tc>
        <w:tc>
          <w:tcPr>
            <w:tcW w:w="1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41,864</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(44,472)</w:t>
            </w:r>
          </w:p>
        </w:tc>
      </w:tr>
      <w:tr>
        <w:trPr>
          <w:trHeight w:val="27"/>
        </w:trPr>
        <w:tc>
          <w:tcPr>
            <w:tcW w:w="5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162,991</w:t>
            </w:r>
          </w:p>
        </w:tc>
        <w:tc>
          <w:tcPr>
            <w:tcW w:w="16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105,525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ACM Shanghai entered into a long-term loan facility, of $5,588 from Bank of China, and drew down the full amount. The loan carries interest at 65 basis points below the one-year PBOC benchmark rate resulting in an effective interest rate of 2.4% for the six months ended June 30, 2025. Principal repayments shall be made in 6 installments beginning June 2025, with final maturity in June 2028. Certain covenants for the facility require ACM Shanghai’s year-end outstanding interest-bearing debt not to exceed five times of its annual EBITDA, and to comply with other non-financial covenants, or Bank of China has the right to suspend the facility, or request ACM Shanghai to accelerate repayment or provide credit enhancement.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2025, ACM Research entered into a long-term loan facility, of $27,940 from China CITIC Bank, of which it drew the full amount. The loan carries interest at 50 basis points above the one-year PBOC benchmark rate. As of June 30, 2025, the effective interest rate on this obligation was 3.6%. Principal repayments shall be made in 6 installments beginning January 2025, with final maturity in January 2028.</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ACM Shanghai entered into a long-term loan facility of $41,910 from Industrial and Commercial Bank of China for the purpose of funding its working capital. In February 2025, ACM Shanghai drew down $20,955 under this facility for ACM Shanghai's project expenditures. In April 2025, ACM Shanghai drew down another $20,955 under this facility. The loan carries interest at 75 basis points below the one-year PBOC benchmark rate, resulting in an effective rate of 2.4% for the six months ended June 30, 2025. Principal repayment shall be made in 6 installments beginning May 2025, with final maturity in November 2027.</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ACM Shanghai entered into a long-term loan facility of $139,700 from Bank of China for its project expenditures. In February 2025, ACM Shanghai drew down $953 under this facility. In the second quarter of 2025, ACM Shanghai drew down $3,465 under this facility. The loan carries interest at 90 basis points below the five-year PBOC benchmark rate, resulting in an effective rate of 2.7% for the six months ended June 30, 2025. Principal repayment shall be made in 12 installments till December 2028, with final maturity in June 2034. Certain covenants for the facility require ACM Shanghai’s year-end outstanding interest-bearing debt not to exceed five times of its annual EBITDA, and to comply with other non-financial covenants, or Bank of China has the right to suspend the facility, or request ACM Shanghai to accelerate repayment or provide credit enhancement.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ACM Shanghai entered into a long-term loan facility, of $139,700, from China Merchants Bank for project expenditures. In January 2025, ACM Shanghai drew down $3,005 under this facility. In the second quarter of 2025, ACM Shanghai drew down $3,213 under this facility. The loan carries interest at 65 basis points below the five-year PBOC</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benchmark rate, resulting in an effective rate of 3.0%, for the six months ended June 30, 2025. Principal repayments shall be made in 14 installments beginning February 2028, with final maturity in August 2034. Certain covenants for the facility require ACM Shanghai to either repay 50% of the outstanding principal within two months, or repay the loan in accordance with revised payment schedule, if ACM Shanghai does not complete, within three years after the initial drawdown, or before January 2028, a Private Offering with more than RMB 900,000 of proceeds.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ACM Lingang entered into a long-term loan facility, of $41,910 from the Agricultural Bank of China. ACM Shanghai drew down $13,067 in 2024 and further drew down $3,492 under this facility in the second quarter of 2025. The loan carries interest at 107 basis points below the five-year PBOC benchmark rate. As of June 30, 2025, the effective interest rate on this obligation was 2.4%. Principal repayments shall be made in 18 installments beginning November 2025, with final maturity in April 2034.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total carrying amount of long-term loans was $225,130 and $149,997, compared with an estimated fair value of $208,940 and $141,264, respectively. The fair value of the long-term loans is estimated by discounting cash flows using interest rates currently available for debts with similar terms and maturities (Level 2 fair value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principal payments for the outstanding long-term loans, including the current portion, as of June 30, 2025 are as follows:</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94949"/>
        </w:rPr>
        <w:t>Year Ending 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76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60" w:type="dxa"/>
            <w:vAlign w:val="bottom"/>
            <w:tcBorders>
              <w:top w:val="single" w:sz="8" w:color="auto"/>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34,262</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100,384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45,332</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46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15,256</w:t>
            </w:r>
          </w:p>
        </w:tc>
      </w:tr>
      <w:tr>
        <w:trPr>
          <w:trHeight w:val="237"/>
        </w:trPr>
        <w:tc>
          <w:tcPr>
            <w:tcW w:w="976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225,130</w:t>
            </w:r>
          </w:p>
        </w:tc>
      </w:tr>
      <w:tr>
        <w:trPr>
          <w:trHeight w:val="27"/>
        </w:trPr>
        <w:tc>
          <w:tcPr>
            <w:tcW w:w="9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INVESTMENTS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2024, ACM Shanghai entered into an investment agreement with Ninebell and in December 2024, paid consideration of $16,737 which represented 20% equity interests of Ninebell. The share certificate was issued on January 1, 2025. After the share purchase transaction closed on January 1, 2025, the Company owned 36.2% equity interests of Ninebell.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investment balance primarily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Initial investment dates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Investment entity</w:t>
            </w:r>
          </w:p>
        </w:tc>
        <w:tc>
          <w:tcPr>
            <w:tcW w:w="1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Percent ownership by</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Investment purchase</w:t>
            </w:r>
          </w:p>
        </w:tc>
      </w:tr>
      <w:tr>
        <w:trPr>
          <w:trHeight w:val="234"/>
        </w:trPr>
        <w:tc>
          <w:tcPr>
            <w:tcW w:w="3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ACM and subsidiaries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price</w:t>
            </w:r>
          </w:p>
        </w:tc>
      </w:tr>
      <w:tr>
        <w:trPr>
          <w:trHeight w:val="27"/>
        </w:trPr>
        <w:tc>
          <w:tcPr>
            <w:tcW w:w="3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investee</w:t>
            </w:r>
          </w:p>
        </w:tc>
        <w:tc>
          <w:tcPr>
            <w:tcW w:w="20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Ninebell</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ACM Research</w:t>
            </w: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7"/>
        </w:trPr>
        <w:tc>
          <w:tcPr>
            <w:tcW w:w="3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Ninebell</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2025</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Wooil Flucon Co., ("Wooil")</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ACM Singapore</w:t>
            </w: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3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25"/>
        </w:trPr>
        <w:tc>
          <w:tcPr>
            <w:tcW w:w="3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Hefei Shixi ChanhengIntegrated Circuit</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2019</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 30,000 ($4,200)</w:t>
            </w: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IndustryVenture Capital FundPartnership (LP)</w:t>
            </w:r>
          </w:p>
        </w:tc>
        <w:tc>
          <w:tcPr>
            <w:tcW w:w="2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4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(“Hefei Shixi”)</w:t>
            </w:r>
          </w:p>
        </w:tc>
        <w:tc>
          <w:tcPr>
            <w:tcW w:w="20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25"/>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Shengyi Semiconductor Technology Co., Ltd.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2019</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("Shengyi")</w:t>
            </w:r>
          </w:p>
        </w:tc>
        <w:tc>
          <w:tcPr>
            <w:tcW w:w="2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D</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2024</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14.3%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 30,000 ($4,230)</w:t>
            </w:r>
          </w:p>
        </w:tc>
      </w:tr>
      <w:tr>
        <w:trPr>
          <w:trHeight w:val="221"/>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Investments accounted for using measurement</w:t>
            </w:r>
          </w:p>
        </w:tc>
        <w:tc>
          <w:tcPr>
            <w:tcW w:w="20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alternative:</w:t>
            </w:r>
          </w:p>
        </w:tc>
        <w:tc>
          <w:tcPr>
            <w:tcW w:w="2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6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Shengyi</w:t>
            </w:r>
          </w:p>
        </w:tc>
        <w:tc>
          <w:tcPr>
            <w:tcW w:w="208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174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tcBorders>
              <w:bottom w:val="single" w:sz="8" w:color="BFE4FF"/>
            </w:tcBorders>
            <w:shd w:val="clear" w:color="auto" w:fill="BFE4FF"/>
          </w:tcPr>
          <w:p>
            <w:pPr>
              <w:jc w:val="center"/>
              <w:ind w:left="90"/>
              <w:spacing w:after="0"/>
              <w:rPr>
                <w:sz w:val="20"/>
                <w:szCs w:val="20"/>
                <w:color w:val="auto"/>
              </w:rPr>
            </w:pPr>
            <w:r>
              <w:rPr>
                <w:rFonts w:ascii="Times New Roman" w:cs="Times New Roman" w:eastAsia="Times New Roman" w:hAnsi="Times New Roman"/>
                <w:sz w:val="18"/>
                <w:szCs w:val="18"/>
                <w:color w:val="auto"/>
                <w:w w:val="95"/>
              </w:rPr>
              <w:t>1.0%</w:t>
            </w:r>
          </w:p>
        </w:tc>
        <w:tc>
          <w:tcPr>
            <w:tcW w:w="20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RMB 6,100 ($900)</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A</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4.4%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 30,000 ($4,200)</w:t>
            </w:r>
          </w:p>
        </w:tc>
      </w:tr>
      <w:tr>
        <w:trPr>
          <w:trHeight w:val="27"/>
        </w:trPr>
        <w:tc>
          <w:tcPr>
            <w:tcW w:w="3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6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Company B</w:t>
            </w:r>
          </w:p>
        </w:tc>
        <w:tc>
          <w:tcPr>
            <w:tcW w:w="208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November 2023</w:t>
            </w:r>
          </w:p>
        </w:tc>
        <w:tc>
          <w:tcPr>
            <w:tcW w:w="174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tcBorders>
              <w:bottom w:val="single" w:sz="8" w:color="BFE4FF"/>
            </w:tcBorders>
            <w:shd w:val="clear" w:color="auto" w:fill="BFE4FF"/>
          </w:tcPr>
          <w:p>
            <w:pPr>
              <w:jc w:val="center"/>
              <w:ind w:left="90"/>
              <w:spacing w:after="0"/>
              <w:rPr>
                <w:sz w:val="20"/>
                <w:szCs w:val="20"/>
                <w:color w:val="auto"/>
              </w:rPr>
            </w:pPr>
            <w:r>
              <w:rPr>
                <w:rFonts w:ascii="Times New Roman" w:cs="Times New Roman" w:eastAsia="Times New Roman" w:hAnsi="Times New Roman"/>
                <w:sz w:val="18"/>
                <w:szCs w:val="18"/>
                <w:color w:val="auto"/>
                <w:w w:val="95"/>
              </w:rPr>
              <w:t>1.2%</w:t>
            </w:r>
          </w:p>
        </w:tc>
        <w:tc>
          <w:tcPr>
            <w:tcW w:w="20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RMB 6,600 ($930)</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5.0%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 12,500 ($1,760)</w:t>
            </w:r>
          </w:p>
        </w:tc>
      </w:tr>
      <w:tr>
        <w:trPr>
          <w:trHeight w:val="27"/>
        </w:trPr>
        <w:tc>
          <w:tcPr>
            <w:tcW w:w="3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50"/>
        </w:trPr>
        <w:tc>
          <w:tcPr>
            <w:tcW w:w="36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Company E</w:t>
            </w:r>
          </w:p>
        </w:tc>
        <w:tc>
          <w:tcPr>
            <w:tcW w:w="208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174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tcBorders>
              <w:bottom w:val="single" w:sz="8" w:color="BFE4FF"/>
            </w:tcBorders>
            <w:shd w:val="clear" w:color="auto" w:fill="BFE4FF"/>
          </w:tcPr>
          <w:p>
            <w:pPr>
              <w:jc w:val="center"/>
              <w:ind w:left="90"/>
              <w:spacing w:after="0"/>
              <w:rPr>
                <w:sz w:val="20"/>
                <w:szCs w:val="20"/>
                <w:color w:val="auto"/>
              </w:rPr>
            </w:pPr>
            <w:r>
              <w:rPr>
                <w:rFonts w:ascii="Times New Roman" w:cs="Times New Roman" w:eastAsia="Times New Roman" w:hAnsi="Times New Roman"/>
                <w:sz w:val="18"/>
                <w:szCs w:val="18"/>
                <w:color w:val="auto"/>
                <w:w w:val="95"/>
              </w:rPr>
              <w:t>0.6%</w:t>
            </w:r>
          </w:p>
        </w:tc>
        <w:tc>
          <w:tcPr>
            <w:tcW w:w="1740" w:type="dxa"/>
            <w:vAlign w:val="bottom"/>
            <w:tcBorders>
              <w:bottom w:val="single" w:sz="8" w:color="BFE4FF"/>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RMB 10,000 ($1,403)</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F</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16.7%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 10,000 ($1,391)</w:t>
            </w:r>
          </w:p>
        </w:tc>
      </w:tr>
      <w:tr>
        <w:trPr>
          <w:trHeight w:val="27"/>
        </w:trPr>
        <w:tc>
          <w:tcPr>
            <w:tcW w:w="3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 for sale debt securities:</w:t>
            </w:r>
          </w:p>
        </w:tc>
        <w:tc>
          <w:tcPr>
            <w:tcW w:w="20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G</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ACM Shanghai</w:t>
            </w:r>
          </w:p>
        </w:tc>
        <w:tc>
          <w:tcPr>
            <w:tcW w:w="1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2.9%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 30,000 ($4,179)</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investment balance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investee:</w:t>
            </w:r>
          </w:p>
        </w:tc>
        <w:tc>
          <w:tcPr>
            <w:tcW w:w="30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Ninebell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Wooil</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Shengyi</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Hefei Shixi</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D</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40,132</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20,544</w:t>
            </w:r>
          </w:p>
        </w:tc>
      </w:tr>
      <w:tr>
        <w:trPr>
          <w:trHeight w:val="27"/>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Investments accounted for using measurement alternative: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Shengyi</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A</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B</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C</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F</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7"/>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11,200</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11,153</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 for sale debt securities:</w:t>
            </w: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G</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7"/>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37,063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SHORT-TERM INVESTMENTS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2025 and December 31, 2024, the components of short-term investments were as follows:</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4"/>
        </w:trPr>
        <w:tc>
          <w:tcPr>
            <w:tcW w:w="8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listed in Shanghai Stock Exchange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17,731</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 value</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r>
      <w:tr>
        <w:trPr>
          <w:trHeight w:val="27"/>
        </w:trPr>
        <w:tc>
          <w:tcPr>
            <w:tcW w:w="8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2025 and 2024, the net gains (losses) recognized on equity securities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9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Unrealized gain (loss) recognized on short-term</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still held at June 30</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realized on short-term investments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gain (loss) recognized on short-term in</w:t>
            </w:r>
          </w:p>
        </w:tc>
        <w:tc>
          <w:tcPr>
            <w:tcW w:w="960" w:type="dxa"/>
            <w:vAlign w:val="bottom"/>
            <w:vMerge w:val="restart"/>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2,784</w:t>
            </w:r>
          </w:p>
        </w:tc>
        <w:tc>
          <w:tcPr>
            <w:tcW w:w="3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c>
          <w:tcPr>
            <w:tcW w:w="3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1,702</w:t>
            </w:r>
          </w:p>
        </w:tc>
        <w:tc>
          <w:tcPr>
            <w:tcW w:w="3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w:t>
            </w:r>
          </w:p>
        </w:tc>
        <w:tc>
          <w:tcPr>
            <w:tcW w:w="0" w:type="dxa"/>
            <w:vAlign w:val="bottom"/>
          </w:tcPr>
          <w:p>
            <w:pPr>
              <w:spacing w:after="0"/>
              <w:rPr>
                <w:sz w:val="1"/>
                <w:szCs w:val="1"/>
                <w:color w:val="auto"/>
              </w:rPr>
            </w:pPr>
          </w:p>
        </w:tc>
      </w:tr>
      <w:tr>
        <w:trPr>
          <w:trHeight w:val="25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500" w:type="dxa"/>
            <w:vAlign w:val="bottom"/>
            <w:tcBorders>
              <w:bottom w:val="single" w:sz="8" w:color="auto"/>
            </w:tcBorders>
            <w:vMerge w:val="continue"/>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2025, the Company received dividends of $54 and $54 from short-term investments.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recognized a realized gain of $0 and $273 in proceeds from the sale of short-term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BALANCES AND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Ninebell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Ninebell is an equity investee of ACM and ACM Shanghai (note 11) and is the Company’s principal supplier of robotic delivery system subassemblies used in single-wafer cleaning equipment. The Company purchases equipment from Ninebell for production in the ordinary course of business. The Company pays for a portion of the equipment in advance and is obligated to pay the remaining amounts upon receipt of the product.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Shengyi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Shengyi is an equity investee of ACM Shanghai (note 11) and is one of the Company’s component suppliers in mainland China. The Company purchases components from Shengyi for production in the ordinary course of business. The Company incurs a service fee related to installation and hook-up fees which is recorded within cost of revenue on the Company’s condensed consolidated statements of comprehensive income. The Company pays for a portion of the raw materials in advance and is obligated to pay the remaining amount upon receipt of the product.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related party outstanding balances are short-term in nature and are expected to be settled in 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related party transactions in the Company’s condensed consolidated 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Advances to related parties</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08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Ninebell</w:t>
            </w:r>
          </w:p>
        </w:tc>
        <w:tc>
          <w:tcPr>
            <w:tcW w:w="1180" w:type="dxa"/>
            <w:vAlign w:val="bottom"/>
            <w:tcBorders>
              <w:bottom w:val="single" w:sz="8" w:color="CFF0FC"/>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Shengyi</w:t>
            </w: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8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0"/>
        </w:trPr>
        <w:tc>
          <w:tcPr>
            <w:tcW w:w="80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0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0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Ninebell</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Shengyi</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r>
      <w:tr>
        <w:trPr>
          <w:trHeight w:val="27"/>
        </w:trPr>
        <w:tc>
          <w:tcPr>
            <w:tcW w:w="80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16,133</w:t>
            </w:r>
          </w:p>
        </w:tc>
      </w:tr>
      <w:tr>
        <w:trPr>
          <w:trHeight w:val="20"/>
        </w:trPr>
        <w:tc>
          <w:tcPr>
            <w:tcW w:w="8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Purchases of materials</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Ninebell</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w:t>
            </w:r>
          </w:p>
        </w:tc>
        <w:tc>
          <w:tcPr>
            <w:tcW w:w="120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Shengyi</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120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Service fee charged by</w:t>
            </w: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Shengyi</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1,899</w:t>
            </w:r>
          </w:p>
        </w:tc>
        <w:tc>
          <w:tcPr>
            <w:tcW w:w="4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47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which is subject to approval from a majority of common stockholders.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number of shares of Class A common stock issued and outstanding was 59,096,971 and 57,938,885,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number of shares of Class B common stock issued and outstanding was 5,021,811 and 5,021,811,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issued option grants for 72,000 shares to employees and board members under its 2016 Omnibus Incentive Plan. The share-based awards are accounted for as equity awards, are only subject to service vesting conditions, and vest over a period of 4 years for employees and 0.25 year for board members. The Company did not grant any non-employee stock options during the six months ended 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options granted to employees is estimated on the grant date using the Black-Scholes valuation with following assumptions: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75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27"/>
        </w:trPr>
        <w:tc>
          <w:tcPr>
            <w:tcW w:w="75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 of common stock(1)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$24.33-$29.18</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$23.02-$31.92</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years(2)</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5.50-6.25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5.81-6.25</w:t>
            </w:r>
          </w:p>
        </w:tc>
      </w:tr>
      <w:tr>
        <w:trPr>
          <w:trHeight w:val="27"/>
        </w:trPr>
        <w:tc>
          <w:tcPr>
            <w:tcW w:w="7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Volatility(3)</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83.14%-83.28%</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84.87%-85.48%</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4.18%-4.25%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4.23%-4.49%</w:t>
            </w:r>
          </w:p>
        </w:tc>
      </w:tr>
      <w:tr>
        <w:trPr>
          <w:trHeight w:val="27"/>
        </w:trPr>
        <w:tc>
          <w:tcPr>
            <w:tcW w:w="7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dividend(5)</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7"/>
        </w:trPr>
        <w:tc>
          <w:tcPr>
            <w:tcW w:w="7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Class A common stock value was closing market price of the Class A common stock on the grant date.</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of share options is based on the average of the vesting period and the contractual term for each grant.</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is calculated based on the historical volatility of ACM in the period equal to the expected term of each grant.</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is based on the yields of U.S. Treasury securities with maturities similar to the expected term of the share options in effect at the time of grant.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 Expected dividend is assumed to be nil as ACM has no history or expectation of paying a dividend on its Class A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the condensed consolidated statements of comprehensive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3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bottom w:val="single" w:sz="8" w:color="CFF0FC"/>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2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1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4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4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28,911</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and foreign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ACM Shanghai has shown a three-year historical cumulative profit and has projections of future income. As a result, the Company does not maintain a valuation allowance. 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tax rate differs from statutory rates of 21% for U.S. federal income tax purposes and 25% for Chinese income tax purposes due to the effects of the valuation allowance and certain permanent differences from book-tax differences, including stock based compensation, deemed dividend income under Subchapter F of the U.S. Internal Revenue Code of 1986, as amended (Subpart F), and global intangible low-taxed income (GILTI) inclusions, and R&amp;D super deduction. As a result, the Company recorded income tax expense of $4,044 and $13,705 during the six months ended June 30, 2025 and 2024, respectively. The decrease in the Company's effective income tax rate for the six months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ended June 30, 2025 compared to the same period of the prior year was primarily due to a lower estimated effective tax rate for ACM Shanghai and other factors.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change in Section 174 made by the Tax Cuts and Jobs Act of 2017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total unrecognized tax benefits of $16,774 as of June 30, 2025 and December 31, 2024. If recognized, the net impact to the effective rate would be $16,638. The Company does not expect any reversal of unrecognized tax benefits in the next 12 months. The Company will recognize interest and penalties, when they occur, related to uncertain tax provisions as a component of tax expense. For the six months ended June 30, 2025 and 2024, $2,664 and $677 of interest and penalties was recognized,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state and foreign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four mainland China subsidiaries, ACM Shanghai, ACM Wuxi, ACM Beijing, and ACM Lingang, are liable for mainland China corporate income taxes at the rates of 15%, 25%, 25% and 25%, respectively. Pursuant to the Corporate Income Tax Law of mainland China, the Company's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2021, and 2024 effective until December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had $1,994 of open capital commitments to construction contracts.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Covenants in ACM Lingang’s Grant Contract for State-owned Construction Land Use Right in Shanghai City (Category of R&amp;D Headquarters and Industrial Projects) with the China (Shanghai) Pilot Free Trade Zone Lingang Special Area Administration require, among other things, that ACM Lingang pay liquidated damages in the event that within 6 years after the land use right is obtained in July 2020, the Company does not (i) generate a minimum specified amount of annual sales of products manufactured on the granted land or (ii) pay to mainland China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contingencies, including legal proceedings, investigations, and environmental claims arising out of the normal course of business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un-estimable damages.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ACM's subsidiary, ACM Korea, received inquiries from the Seoul Customs Office regarding certain goods produced and shipped by ACM Korea to overseas markets. ACM Korea is fully cooperating, and has responded to follow-up requests for additional information. The investigation is on-going and in its preliminary stages, and as such, this matter is subject to uncertainties and further developments as it proceeds. Although the Company cannot predict the outcome of this, or any other related governmental inquiries or proceedings that may occur, the Company does not believe at this time it will have a material effect on its consolidated financial condition or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has evaluated all other proceedings and claims that existed as of June 30, 2025. In the opinion of management, except with respect to the ACM Korea customs matter described above, no provision for liability nor disclosure was required as of June 30, 2025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had no material outstanding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identifies operating segments according to how the business activities are managed and evaluated. The Company’s chief operating decision maker (“CODM”) has been identified as ACM’s Chief Executive Officer. The Company's operating segments include ACM Research and ACM Shanghai. As the Company is engaged in the development, manufacture and sale of capital equipment to global semiconductor manufacturers, and each of the operating segments share similar economic and other qualitative characteristics, the results of the Company’s operating segments are aggregated into one reportable segment.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assesses financial performance for the Company and decides how to allocate resources based on consolidated revenue, gross margin and income from operations. The CODM considers forecasts and actual results on a regular basis when assessing the operating results and making resource decisions. The allocation decisions include top down targets for research and development, sales and marketing, and general and administration expenses, and also specific budgets for research and development on new product initiatives, or sales and marketing to target specific customer or geographic regions.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expenses within income from operations, as well as within net income, include consolidated cost of revenue, sales and marketing, research and development, and general and administrative, and which are each separately presented in the Company’s condensed consolidated statements of comprehensive income. Other segment items within net income include interest income, interest expense, income (loss) from equity method investments and other expense (income), net, which are each separately presented on the Company’s condensed consolidated statements of comprehensive income.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by geographic location is determined by the location of customers’ facilities to which products were shipped. Long-lived assets consist primarily of property, plant and equipment, and right-of-use assets and are attributed to the geographic location in which the respective asset is located.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Long-lived assets by geographic region were as follows: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8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Long-lived assets by geography:</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Mainland China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296,545</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287,888</w:t>
            </w:r>
          </w:p>
        </w:tc>
        <w:tc>
          <w:tcPr>
            <w:tcW w:w="0" w:type="dxa"/>
            <w:vAlign w:val="bottom"/>
          </w:tcPr>
          <w:p>
            <w:pPr>
              <w:spacing w:after="0"/>
              <w:rPr>
                <w:sz w:val="1"/>
                <w:szCs w:val="1"/>
                <w:color w:val="auto"/>
              </w:rPr>
            </w:pPr>
          </w:p>
        </w:tc>
      </w:tr>
      <w:tr>
        <w:trPr>
          <w:trHeight w:val="243"/>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South Korea</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0" w:type="dxa"/>
            <w:vAlign w:val="bottom"/>
          </w:tcPr>
          <w:p>
            <w:pPr>
              <w:spacing w:after="0"/>
              <w:rPr>
                <w:sz w:val="1"/>
                <w:szCs w:val="1"/>
                <w:color w:val="auto"/>
              </w:rPr>
            </w:pPr>
          </w:p>
        </w:tc>
      </w:tr>
      <w:tr>
        <w:trPr>
          <w:trHeight w:val="26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314,998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307,219</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STATUTORY SURPLUS RESERVE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mainland China’s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mainland China (“mainland China GAAP”).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Appropriations to the statutory surplus reserve are required to be at least 10% of the after-tax net income determined in accordance with mainland China GAAP until the reserve is equal to 50% of the entities’ registered capital. The amount is calculated annually at the end of each calendar year. The balances of statutory reserve funds was $30,514 as of both June 30, 2025 and December 31, 2024, and is presented as statutory surplus reserve on the Company’s condensed consolidated balance sheets.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2024, or our Annual Report. The following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Factors that could cause or contribute to these differences include those discussed in Part I, Item 1A. “Risk Factors” in our Annual Report, as well as those discussed below and elsewhere in this report, particularly in the section titled “Item 1A – Risk Factors” in Part II below.</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South Korea, and we conduct, through ACM Research, sales and marketing activities focused on sales of ACM Shanghai products in North America, Europe and certain regions in Asia outside mainland China.</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companies. ACM Research has a direct ownership interest in ACM Shanghai as the result of its holding 81.1%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Select Market. This determination was based on the aforementioned facts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Report on Form 10-K for the year ended December 31, 2024.</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ordinary course of business, ACM Shanghai is required to obtain certain operating permits and licenses necessary for us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w:t>
      </w:r>
    </w:p>
    <w:p>
      <w:pPr>
        <w:jc w:val="both"/>
        <w:spacing w:after="0" w:line="258" w:lineRule="auto"/>
        <w:rPr>
          <w:sz w:val="20"/>
          <w:szCs w:val="20"/>
          <w:color w:val="auto"/>
        </w:rPr>
      </w:pPr>
      <w:r>
        <w:rPr>
          <w:rFonts w:ascii="Times New Roman" w:cs="Times New Roman" w:eastAsia="Times New Roman" w:hAnsi="Times New Roman"/>
          <w:sz w:val="18"/>
          <w:szCs w:val="18"/>
          <w:color w:val="auto"/>
        </w:rPr>
        <w:t>such required permits and licenses. However, from time to time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regulatory authorities, and it could have a material adverse effect on our business, financial condition, results of operations, reputation and prospects and on the trading price of ACM Research Class A common stock, which could decline in value or become worthless.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depicts our corporate organization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657850" cy="2160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A detailed description of how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is transferred through our organization is set forth under “Note 2 – Summary of Significant Accounting Policies – Cash and Cash Equivalents”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financial statements included in this report.</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Holding Foreign Companies Accountable Act, or the HFCA Act, requires that the Public Company Accounting Oversight Board, or the PCAOB, determine whether it is unable to inspect or completely investigate registered public accounting firms located in a non-U.S. jurisdiction because of a position taken by one or more authorities in any non-U.S. jurisdiction. Under current regulations, if ACM Research were to be included on the U.S. Securities and Exchange Commission’s (“SEC”) "Conclusive list of issuers identified under the HFCA Act"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 See “Item 1A. Risk Factors —Risks Related to International Aspects of Our Business—We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 in our Report on Form 10-K for the year ended December 31, 2024 for more information.</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on December 2, 2024, the U.S. Department of Commerce’s Bureau of Industry and Security (“BIS”) promulgated a final rule naming a number of companies to the BIS Entity List (the "BIS Entity List"). Among the 140 companies added to the BIS Entity List were two subsidiaries of ACM Research, ACM Shanghai, located in the People’s Republic of China, and ACM Korea, a direct subsidiary of ACM Shanghai, which is located in South Korea, and other related entities. In general terms, the new BIS Entity List designations prohibit any party worldwide from furnishing hardware, software, or technologies that are subject to U.S. export controls jurisdiction, directly or indirectly to ACM Shanghai or ACM Korea without obtaining authorization. See “Item 1A. Risk Factors—Regulatory Risks—Our operations in mainland China and South Korea, including the import of components, technology, and activities of U.S. personnel therein, may be further impacted by the addition of ACM Shanghai, ACM Korea and related entities to the BIS Entity List” in our Report on Form 10-K for the year ended December 31, 2024, for more information.</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15, 2024, the U.S. Department of the Treasury published a final rule implementing a framework for the regulation of outbound foreign investment from the United States. The new program, known as the Outbound Investment Security Program (“OISP”) was codified in the United States Code of Federal Regulations at 31 C.F.R. Part 850, effective as of January 2, 2025. The OISP marks a shift in U.S. economic policy, as historically the United States government declined to restrict outbound investment from the United States for national security reasons. Going forward, the investment activities of multinational companies, including ACM Research are subject to both Committee on Foreign Investment in the United States (“CFIUS”) and OISP requirements, which together will limit cross-border investment opportunities, especially as they relate to China. See “Item 1A. Risk Factors— Regulatory Risks—The U.S. Government has implemented an outbound investment review mechanism, which may prevent us from taking advantage of investment opportunities outside the United States that could otherwise be advantageous to our stockholders” in our Report on Form 10-K for the year ended December 31, 2024,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Report on Form 10-K for the year ended December 31, 2024, in particular, the risk factors addressing the following issues:</w:t>
      </w:r>
    </w:p>
    <w:p>
      <w:pPr>
        <w:spacing w:after="0" w:line="251" w:lineRule="exact"/>
        <w:rPr>
          <w:sz w:val="20"/>
          <w:szCs w:val="20"/>
          <w:color w:val="auto"/>
        </w:rPr>
      </w:pPr>
    </w:p>
    <w:p>
      <w:pPr>
        <w:jc w:val="both"/>
        <w:ind w:firstLine="8"/>
        <w:spacing w:after="0" w:line="255" w:lineRule="auto"/>
        <w:tabs>
          <w:tab w:leader="none" w:pos="1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operations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13" w:lineRule="exact"/>
        <w:rPr>
          <w:rFonts w:ascii="Times New Roman" w:cs="Times New Roman" w:eastAsia="Times New Roman" w:hAnsi="Times New Roman"/>
          <w:sz w:val="18"/>
          <w:szCs w:val="18"/>
          <w:color w:val="auto"/>
        </w:rPr>
      </w:pPr>
    </w:p>
    <w:p>
      <w:pPr>
        <w:ind w:right="20" w:firstLine="8"/>
        <w:spacing w:after="0" w:line="273" w:lineRule="auto"/>
        <w:tabs>
          <w:tab w:leader="none" w:pos="1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 central government authorities may intervene in, or influence, ACM Shanghai’s mainland China-based operations at any time, and those authorities’ rules and regulations in mainland China can change quickly with little or no advance notice.</w:t>
      </w:r>
    </w:p>
    <w:p>
      <w:pPr>
        <w:spacing w:after="0" w:line="1" w:lineRule="exact"/>
        <w:rPr>
          <w:rFonts w:ascii="Times New Roman" w:cs="Times New Roman" w:eastAsia="Times New Roman" w:hAnsi="Times New Roman"/>
          <w:sz w:val="18"/>
          <w:szCs w:val="18"/>
          <w:color w:val="auto"/>
        </w:rPr>
      </w:pPr>
    </w:p>
    <w:p>
      <w:pPr>
        <w:jc w:val="both"/>
        <w:ind w:firstLine="8"/>
        <w:spacing w:after="0" w:line="274" w:lineRule="auto"/>
        <w:tabs>
          <w:tab w:leader="none" w:pos="1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Past statements and regulatory actions by mainland China central government authorities with respect to the use of VIEs and to data security and anti-monopoly concerns have not affected our ability to conduct our business operations in mainland China. For further information, see “Item 1A. Risk Factors</w:t>
      </w:r>
    </w:p>
    <w:p>
      <w:pPr>
        <w:spacing w:after="0"/>
        <w:rPr>
          <w:sz w:val="20"/>
          <w:szCs w:val="20"/>
          <w:color w:val="auto"/>
        </w:rPr>
      </w:pPr>
      <w:r>
        <w:rPr>
          <w:rFonts w:ascii="Times New Roman" w:cs="Times New Roman" w:eastAsia="Times New Roman" w:hAnsi="Times New Roman"/>
          <w:sz w:val="18"/>
          <w:szCs w:val="18"/>
          <w:color w:val="auto"/>
        </w:rPr>
        <w:t>—Risks Related to International Aspects of Our Business” in our Report on Form 10-K for the year ended December 31, 2024, for more informa</w:t>
      </w:r>
      <w:r>
        <w:rPr>
          <w:rFonts w:ascii="Times New Roman" w:cs="Times New Roman" w:eastAsia="Times New Roman" w:hAnsi="Times New Roman"/>
          <w:sz w:val="21"/>
          <w:szCs w:val="21"/>
          <w:color w:val="auto"/>
        </w:rPr>
        <w:t>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2009 we have delivered more than 1,255 tools to our customers, more than 1,050 of which were repeat orders or acceptances upon contractual performance obligations having been met and thereby generated revenue for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based on third-party reports and on customer and other information, that our current product portfolio addresses approximately $20 billion of the 2025 global wafer fab equipment, or WFE, market. By product line, we estimate an approximately $7.0 billion market opportunity is addressed by our wafer cleaning equipment, $5.1 billion by our Plasma-Enhanced Chemical Vapor Deposition, or PECVD, equipment, $2.9 billion by our Track equipment, $2.6 billion by our furnace equipment, $1.4 billion by our electro-chemical plating, or ECP, equipment, and more than $1.2 billion by our stress-free polishing, advanced packaging, wafer processing, and other processing equipment.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Gartner estimates the total worldwide semiconductor Wafer Fab Equipment ("WFE") market grew by 8.6% from $102.8 billion in 2023 to $111.6 billion in 2024, and estimates will increase by 4.7% to $116.8 billion in 2025. Gartner estimates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WFE grew by 21.1%, from $33.3 billion in 2023 to $40.4 billion in 2024, and is expected to decrease by 17.1% to $33.5 billion in 2025.</w:t>
      </w:r>
      <w:r>
        <w:rPr>
          <w:rFonts w:ascii="Times New Roman" w:cs="Times New Roman" w:eastAsia="Times New Roman" w:hAnsi="Times New Roman"/>
          <w:sz w:val="23"/>
          <w:szCs w:val="23"/>
          <w:color w:val="auto"/>
          <w:vertAlign w:val="superscript"/>
        </w:rPr>
        <w:t>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ACM Shanghai Proposed Private Offering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2024, ACM Research announced ACM Shanghai's intended plan to offer up to 43.6 million of its ordinary shares, subject to market conditions, the approval of ACM Shanghai’s stockholders, completion of the review process by the Shanghai Stock Exchange, completion of the registration process by the China Securities Regulatory Commission, and other factors, in a private offering to qualified buyers, in compliance with the requirements of the China Securities Regulatory Commission, which would constitute up to 10% of ACM Shanghai’s share capital prior to the transaction (the “Private Offering”).</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ACM Research estimates that if consummated in full, the proposed Private Offering would generate gross proceeds of up to RMB 4.5 billion ($642.2 million) to ACM Shanghai, whose management would have broad discretion over the use of such proceeds. It is unlikely that any of such proceeds would be distributed to ACM Research. ACM Research's equity interest in ACM Shanghai, if the proposed Private Offering is consummated in full, would decline from 81.1% to approximately 74.6%. As of June 30, 2025 and the date of this report, the proposed Private Offering has not been completed.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ACM Shanghai Dividend &amp; Share Repurchase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2025, ACM Shanghai held its Annual Stockholder Meeting in Shanghai, China. During this meeting, ACM Shanghai approved and adopted various resolutions, including a proposed dividend to be paid to the stockholders of ACM Shanghai for an aggregate total of approximately RMB 288.3 million (approximately $40.1 million based on currency exchange rates as of June 12, 2025). The payment is expected to be paid by the end of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ACM Research owns 81.1% of the outstanding shares of ACM Shanghai. It is possible that ACM Shanghai may not pay the dividend per the approved resolutions, and even if paid, the net amount and the timing of any proceeds to be repatriated by ACM Research to the United States would be uncertain. If the proposed dividend is paid, ACM Research intends to use the net proceeds, if any, for working capital and general corporate purposes.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three-months ended June 30, 2025, ACM Shanghai repurchased 443,400 of its shares traded on the Shanghai Stock Exchange for total consideration of $7.0 million. These shares have not been cancelled.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Mainland China Government Research and Development Funding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2008, ACM Shanghai has received various government grants for the development and commercialization of certain technologies, and the development of the R&amp;D and production center in the Lingang Special Area of Shanghai.</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governmental grants contain certain operating conditions, and we are required to complete a government due diligence process once the project is complete. The grants therefore are recorded as long-term liabilities upon receipt, although we are not required to return any funds received by ACM Shanghai.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amounts are recognized in our condensed consolidated statements of comprehensive income as follows:</w:t>
      </w:r>
    </w:p>
    <w:p>
      <w:pPr>
        <w:spacing w:after="0" w:line="50" w:lineRule="exact"/>
        <w:rPr>
          <w:sz w:val="20"/>
          <w:szCs w:val="20"/>
          <w:color w:val="auto"/>
        </w:rPr>
      </w:pPr>
    </w:p>
    <w:p>
      <w:pPr>
        <w:jc w:val="both"/>
        <w:ind w:left="660" w:hanging="328"/>
        <w:spacing w:after="0" w:line="242"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subsidies relating to current expenses are recorded as reductions of those expenses in the periods in which the current expenses are recorded. Such subsidies included in our condensed consolidated statements of comprehensive income were $0.5 million and $0.1 million, in the three months ended June 30, 2025 and 2024, respectively, and $0.8 million and $0.6 million in the six months ended June 30, 2025 and 2024, respectively.</w:t>
      </w:r>
    </w:p>
    <w:p>
      <w:pPr>
        <w:spacing w:after="0" w:line="2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subsidies related to depreciable assets are credited to income over the useful lives of the related assets for which the grant was received. Government subsidies related to VAT reduction are credited to income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1" w:lineRule="exact"/>
        <w:rPr>
          <w:sz w:val="20"/>
          <w:szCs w:val="20"/>
          <w:color w:val="auto"/>
        </w:rPr>
      </w:pPr>
    </w:p>
    <w:p>
      <w:pPr>
        <w:ind w:right="1100" w:firstLine="8"/>
        <w:spacing w:after="0" w:line="229" w:lineRule="auto"/>
        <w:tabs>
          <w:tab w:leader="none" w:pos="103"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information contains statistical data and estimates, including forecasts, that are based on information provided by Gartner®, "Forecast: Semiconductor Capital Spending, Wafer Fab Equipment and Capacity, Worldwide, 2Q25 Update, Bob Johnson et al., 29 July 2025."</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period received. Such subsidies included in our condensed consolidated statements of comprehensive income were $0.4 million and $0.0 million, in the three months ended June 30, 2025 and 2024, respectively, and $0.7 million and $1.8 million in the six months ended June 30,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discussion of recent accounting pronouncements is included in our Report on Form 10-K for the year ended December 31, 2024 and is updated in note 2 to the condensed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ACM Shanghai sold a total number of shares representing 8.3% of its outstanding ACM Shanghai shares, after which ACM Research held the remaining 91.7% of ACM Shanghai’s outstanding shares. In 2021 ACM Shanghai sold a total number of shares representing an additional 10% of its outstanding ACM Shanghai shares in its STAR IPO, after which ACM Research held the remaining 82.5% of ACM Shanghai’s outstanding shares. ACM Research's ownership has since declined to 81.1% due to the exercise of stock options related to ACM Shanghai shares. As a result, we reflect the portion of our net income allocable to the minority holders of ACM Shanghai shares as net income attributable to non-controlling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our condensed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condensed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 assumptions, judgments and estimates involved in the accounting for the following accounting policies have the greatest potential impact on our condensed consolidated financial statements, and we therefore consider these to be our critical accounting estimates. For information on our significant accounting policies, see note 2 in the notes to our condensed consolidated financial statements in Part I, Item 1 of this report and in note 2 to the Consolidated Financial Statements in Part II, Item 8 in our Report on Form 10-K for the year ended December 31, 2024, which describes the significant accounting policies and methods used in the preparation of the our financial statements. There have been no material changes to the critical accounting estimates included in our Form 10-K for the year ended December 31,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as percentages of revenue:</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gridSpan w:val="2"/>
          </w:tcPr>
          <w:p>
            <w:pPr>
              <w:ind w:left="4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52.2</w:t>
            </w:r>
          </w:p>
        </w:tc>
        <w:tc>
          <w:tcPr>
            <w:tcW w:w="38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Pr>
          <w:p>
            <w:pPr>
              <w:spacing w:after="0"/>
              <w:rPr>
                <w:sz w:val="21"/>
                <w:szCs w:val="21"/>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margin</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47.8</w:t>
            </w:r>
          </w:p>
        </w:tc>
        <w:tc>
          <w:tcPr>
            <w:tcW w:w="3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21"/>
                <w:szCs w:val="21"/>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3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29.2</w:t>
            </w:r>
          </w:p>
        </w:tc>
        <w:tc>
          <w:tcPr>
            <w:tcW w:w="380" w:type="dxa"/>
            <w:vAlign w:val="bottom"/>
          </w:tcPr>
          <w:p>
            <w:pPr>
              <w:spacing w:after="0"/>
              <w:rPr>
                <w:sz w:val="20"/>
                <w:szCs w:val="20"/>
                <w:color w:val="auto"/>
              </w:rPr>
            </w:pPr>
          </w:p>
        </w:tc>
        <w:tc>
          <w:tcPr>
            <w:tcW w:w="1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20"/>
                <w:szCs w:val="20"/>
                <w:color w:val="auto"/>
              </w:rPr>
            </w:pPr>
          </w:p>
        </w:tc>
        <w:tc>
          <w:tcPr>
            <w:tcW w:w="17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c>
          <w:tcPr>
            <w:tcW w:w="3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tcPr>
          <w:p>
            <w:pPr>
              <w:spacing w:after="0"/>
              <w:rPr>
                <w:sz w:val="20"/>
                <w:szCs w:val="20"/>
                <w:color w:val="auto"/>
              </w:rPr>
            </w:pPr>
          </w:p>
        </w:tc>
        <w:tc>
          <w:tcPr>
            <w:tcW w:w="1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7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short-term investments</w:t>
            </w:r>
          </w:p>
        </w:tc>
        <w:tc>
          <w:tcPr>
            <w:tcW w:w="1900" w:type="dxa"/>
            <w:vAlign w:val="bottom"/>
            <w:tcBorders>
              <w:bottom w:val="single" w:sz="8" w:color="CCEEFF"/>
            </w:tcBorders>
            <w:gridSpan w:val="3"/>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5"/>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20"/>
                <w:szCs w:val="20"/>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6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ACM Research,</w:t>
            </w:r>
          </w:p>
        </w:tc>
        <w:tc>
          <w:tcPr>
            <w:tcW w:w="10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380" w:type="dxa"/>
            <w:vAlign w:val="bottom"/>
            <w:shd w:val="clear" w:color="auto" w:fill="CCEEFF"/>
          </w:tcPr>
          <w:p>
            <w:pPr>
              <w:spacing w:after="0"/>
              <w:rPr>
                <w:sz w:val="17"/>
                <w:szCs w:val="17"/>
                <w:color w:val="auto"/>
              </w:rPr>
            </w:pP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40" w:type="dxa"/>
            <w:vAlign w:val="bottom"/>
            <w:shd w:val="clear" w:color="auto" w:fill="CCEEFF"/>
          </w:tcPr>
          <w:p>
            <w:pPr>
              <w:spacing w:after="0"/>
              <w:rPr>
                <w:sz w:val="17"/>
                <w:szCs w:val="17"/>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58"/>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w:t>
            </w:r>
          </w:p>
        </w:tc>
        <w:tc>
          <w:tcPr>
            <w:tcW w:w="640" w:type="dxa"/>
            <w:vAlign w:val="bottom"/>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40" w:type="dxa"/>
            <w:vAlign w:val="bottom"/>
            <w:vMerge w:val="continue"/>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74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
                <w:szCs w:val="2"/>
                <w:color w:val="auto"/>
              </w:rPr>
            </w:pP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wafer cleaning, Tahoe and semi-critical cleaning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ECP (front-end and packaging), furnace and other</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0" w:type="dxa"/>
            <w:vAlign w:val="bottom"/>
          </w:tcPr>
          <w:p>
            <w:pPr>
              <w:spacing w:after="0"/>
              <w:rPr>
                <w:sz w:val="1"/>
                <w:szCs w:val="1"/>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packaging (excluding ECP), services &amp;</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61"/>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spares</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215,372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202,480</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6.4 %</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revenue for three months ended June 30, 2025 as compared to the same period in 2024 reflects higher sales of single wafer cleaning, Tahoe and semi-critical cleaning equipment, ECP (front-end and packaging), furnace and other</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technologies, and Advanced packaging (excluding ECP), services and spares. We attribute the increase to a longer term commitment by our mainland China-based customers to increase production capacity to achieve a greater share of the global semiconductor market together with the market share changes and product cycles.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20" w:type="dxa"/>
            <w:vAlign w:val="bottom"/>
          </w:tcPr>
          <w:p>
            <w:pPr>
              <w:spacing w:after="0"/>
              <w:rPr>
                <w:sz w:val="20"/>
                <w:szCs w:val="20"/>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110,911</w:t>
            </w:r>
          </w:p>
        </w:tc>
        <w:tc>
          <w:tcPr>
            <w:tcW w:w="42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105,696</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104,461</w:t>
            </w:r>
          </w:p>
        </w:tc>
        <w:tc>
          <w:tcPr>
            <w:tcW w:w="42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96,784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4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70 bps</w:t>
            </w:r>
          </w:p>
        </w:tc>
        <w:tc>
          <w:tcPr>
            <w:tcW w:w="0" w:type="dxa"/>
            <w:vAlign w:val="bottom"/>
          </w:tcPr>
          <w:p>
            <w:pPr>
              <w:spacing w:after="0"/>
              <w:rPr>
                <w:sz w:val="1"/>
                <w:szCs w:val="1"/>
                <w:color w:val="auto"/>
              </w:rPr>
            </w:pPr>
          </w:p>
        </w:tc>
      </w:tr>
      <w:tr>
        <w:trPr>
          <w:trHeight w:val="27"/>
        </w:trPr>
        <w:tc>
          <w:tcPr>
            <w:tcW w:w="35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7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and gross profit increased due to the increased sales volume, and a slight increase in gross margin. The change in gross margin versus the prior-year period was primarily due to revenue mix between product categories. Gross margin may vary from period to period, primarily related to the level of utilization and the timing and mix of revenue. We expect gross margin to be between 42.0% and 48.0% for the foreseeable future.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20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0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960" w:type="dxa"/>
            <w:vAlign w:val="bottom"/>
            <w:tcBorders>
              <w:bottom w:val="single" w:sz="8" w:color="CFF0FC"/>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17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29.0 %</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25,968</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30.2 %</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7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4.7 %</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6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59,191</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22.9 %</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 </w:t>
      </w:r>
      <w:r>
        <w:rPr>
          <w:rFonts w:ascii="Times New Roman" w:cs="Times New Roman" w:eastAsia="Times New Roman" w:hAnsi="Times New Roman"/>
          <w:sz w:val="18"/>
          <w:szCs w:val="18"/>
          <w:color w:val="auto"/>
        </w:rPr>
        <w:t>increased due to a $3.0 million increase in commissions, professional services, travel and entertainment, outside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expenses and a $2.9 million increase in personnel costs, offset by a $0.9 million decrease in stock-based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 consists primarily of:</w:t>
      </w:r>
    </w:p>
    <w:p>
      <w:pPr>
        <w:spacing w:after="0" w:line="225" w:lineRule="exact"/>
        <w:rPr>
          <w:sz w:val="20"/>
          <w:szCs w:val="20"/>
          <w:color w:val="auto"/>
        </w:rPr>
      </w:pPr>
    </w:p>
    <w:p>
      <w:pPr>
        <w:ind w:left="1140" w:right="20" w:hanging="646"/>
        <w:spacing w:after="0" w:line="261"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personnel associated with pre-sale and after-sale services and support and other sales and marketing activities, including stock-based compensation;</w:t>
      </w:r>
    </w:p>
    <w:p>
      <w:pPr>
        <w:ind w:left="1140" w:hanging="646"/>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commissions paid to independent sales representatives;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sales consultants;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trade shows;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tools built for promotional purposes for potential new customers;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entertainment; and</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and utilities.</w:t>
      </w:r>
    </w:p>
    <w:p>
      <w:pPr>
        <w:spacing w:after="0" w:line="207" w:lineRule="exact"/>
        <w:rPr>
          <w:sz w:val="20"/>
          <w:szCs w:val="20"/>
          <w:color w:val="auto"/>
        </w:rPr>
      </w:pPr>
    </w:p>
    <w:p>
      <w:pPr>
        <w:ind w:left="80" w:right="20"/>
        <w:spacing w:after="0" w:line="282" w:lineRule="auto"/>
        <w:rPr>
          <w:sz w:val="20"/>
          <w:szCs w:val="20"/>
          <w:color w:val="auto"/>
        </w:rPr>
      </w:pPr>
      <w:r>
        <w:rPr>
          <w:rFonts w:ascii="Times New Roman" w:cs="Times New Roman" w:eastAsia="Times New Roman" w:hAnsi="Times New Roman"/>
          <w:sz w:val="18"/>
          <w:szCs w:val="18"/>
          <w:color w:val="auto"/>
        </w:rPr>
        <w:t>We expect that, for the foreseeable future, sales and marketing expenses will increase in dollars, as we incur additional costs associated with growing our customer base in mainland China and regions outside of mainland China.</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increased due to an increase of $6.1 million in costs of components for tools built for product development purposes,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$2.3 million in personnel and travel and entertainment costs, and a net increase of $1.0 million in depreciation, outside services and other costs, offset by a decrease of $1.6 million in stock-based compensation.</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represented 15.7% and 12.8% of our revenue in the three months ended June 30, 2025 and 2024, respectively. Excluding grant amounts received from mainland China governmental authorities (see "Mainland China Government Research and Development Funding’’), gross research and development expense totaled $34.3 million, or 15.9% of total revenue, in the three months ended June 30, 2025 as compared to $26.1 million, or 12.9% of revenue, in the corresponding period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consists primarily of:</w:t>
      </w:r>
    </w:p>
    <w:p>
      <w:pPr>
        <w:spacing w:after="0" w:line="225" w:lineRule="exact"/>
        <w:rPr>
          <w:sz w:val="20"/>
          <w:szCs w:val="20"/>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personnel associated with our research and development activities, including stock based compensation;</w:t>
      </w:r>
    </w:p>
    <w:p>
      <w:pPr>
        <w:spacing w:after="0" w:line="2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components and other research and development supplies;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tools built for product development purposes;</w:t>
      </w:r>
    </w:p>
    <w:p>
      <w:pPr>
        <w:spacing w:after="0" w:line="9" w:lineRule="exact"/>
        <w:rPr>
          <w:rFonts w:ascii="Times New Roman" w:cs="Times New Roman" w:eastAsia="Times New Roman" w:hAnsi="Times New Roman"/>
          <w:sz w:val="18"/>
          <w:szCs w:val="18"/>
          <w:color w:val="auto"/>
        </w:rPr>
      </w:pPr>
    </w:p>
    <w:p>
      <w:pPr>
        <w:ind w:left="1140" w:hanging="646"/>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expense associated with the research of technical requirements for product development purposes and testing of concepts under consideration;</w:t>
      </w: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costs of software used for research and development purposes; and</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and utilities.</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increased primarily reflecting a $1.7 million net increase in personnel costs, professional services costs, and other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general and administrative expenses and a $0.6 million increase in allowance for credit losses offset by a $1.6 million decrease in stock-based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consists primarily of:</w:t>
      </w:r>
    </w:p>
    <w:p>
      <w:pPr>
        <w:spacing w:after="0" w:line="225" w:lineRule="exact"/>
        <w:rPr>
          <w:sz w:val="20"/>
          <w:szCs w:val="20"/>
          <w:color w:val="auto"/>
        </w:rPr>
      </w:pPr>
    </w:p>
    <w:p>
      <w:pPr>
        <w:ind w:left="1140" w:hanging="646"/>
        <w:spacing w:after="0" w:line="261"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executive, accounting and finance, human resources, information technology, and other administrative personnel, including stock-based compensation;</w:t>
      </w: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including accounting and corporate legal and defense fees;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expenses including insurance;</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and utilities.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for the foreseeable future, general and administrative expenses will increase in dollars, as we incur additional costs associated with growing our business, operating ACM Research, as a public company in the United States and operating ACM Shanghai as a public company in mainland China.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Interest expense, and Other (expense)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32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8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Borders>
              <w:bottom w:val="single" w:sz="8" w:color="CFF0FC"/>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4,013</w:t>
            </w:r>
          </w:p>
        </w:tc>
        <w:tc>
          <w:tcPr>
            <w:tcW w:w="42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7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68.5 %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(1,757)</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88.5 %</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7"/>
        </w:trPr>
        <w:tc>
          <w:tcPr>
            <w:tcW w:w="362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restricted cash accounts, and time deposits and interest expense is incurred on our borrowings. The change in interest income is a result of changes in balances of cash, cash equivalents, time deposits, while the change in interest expense is due to borrowings, together with changes in interest rates on the respective balances.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income, net primarily reflects (a) loss recognized from the impact of exchange rates on our working-capital which was $(0.9) million for the three months ended June 30, 2025 compared to $2.4 million recognized from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impact of exchange rates on our working capital for the three months ended June 30, 2024, and (b) government subsidies, as described under “Mainland China Government Research and Development Funding” above, and other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 on short-term investment, and income (loss) from equity method investments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0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0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short term investments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short term investments</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164.8 %</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10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(355.1)%</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7"/>
        </w:trPr>
        <w:tc>
          <w:tcPr>
            <w:tcW w:w="400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800" w:type="dxa"/>
            <w:vAlign w:val="bottom"/>
            <w:shd w:val="clear" w:color="auto" w:fill="CFF0FC"/>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Realized gain on short-term investments includes dividends received during the period. The unrealized on short-term investments is based on a change in the market value of ACM Shanghai’s short-term investments (note 12). Income (loss) from equity investments is due to an increase of net income from investments in affiliates (note 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components of income tax expense for the indicated periods:</w:t>
      </w:r>
    </w:p>
    <w:p>
      <w:pPr>
        <w:spacing w:after="0" w:line="275"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36830</wp:posOffset>
            </wp:positionV>
            <wp:extent cx="2091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7" w:lineRule="exact"/>
        <w:rPr>
          <w:sz w:val="20"/>
          <w:szCs w:val="20"/>
          <w:color w:val="auto"/>
        </w:rPr>
      </w:pPr>
    </w:p>
    <w:p>
      <w:pPr>
        <w:ind w:left="6220"/>
        <w:spacing w:after="0"/>
        <w:tabs>
          <w:tab w:leader="none" w:pos="79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36830</wp:posOffset>
            </wp:positionV>
            <wp:extent cx="20916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7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64896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8960" cy="171450"/>
                    </a:xfrm>
                    <a:prstGeom prst="rect">
                      <a:avLst/>
                    </a:prstGeom>
                    <a:noFill/>
                  </pic:spPr>
                </pic:pic>
              </a:graphicData>
            </a:graphic>
          </wp:anchor>
        </w:drawing>
      </w:r>
    </w:p>
    <w:p>
      <w:pPr>
        <w:spacing w:after="0" w:line="45" w:lineRule="exact"/>
        <w:rPr>
          <w:sz w:val="20"/>
          <w:szCs w:val="20"/>
          <w:color w:val="auto"/>
        </w:rPr>
      </w:pPr>
    </w:p>
    <w:p>
      <w:pPr>
        <w:ind w:left="20"/>
        <w:spacing w:after="0"/>
        <w:tabs>
          <w:tab w:leader="none" w:pos="5600" w:val="left"/>
          <w:tab w:leader="none" w:pos="6640" w:val="left"/>
          <w:tab w:leader="none" w:pos="8340" w:val="left"/>
        </w:tabs>
        <w:rPr>
          <w:sz w:val="20"/>
          <w:szCs w:val="20"/>
          <w:color w:val="auto"/>
        </w:rPr>
      </w:pPr>
      <w:r>
        <w:rPr>
          <w:rFonts w:ascii="Times New Roman" w:cs="Times New Roman" w:eastAsia="Times New Roman" w:hAnsi="Times New Roman"/>
          <w:sz w:val="18"/>
          <w:szCs w:val="18"/>
          <w:color w:val="auto"/>
        </w:rPr>
        <w:t>Income tax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(1,891)  $</w:t>
      </w:r>
      <w:r>
        <w:rPr>
          <w:sz w:val="20"/>
          <w:szCs w:val="20"/>
          <w:color w:val="auto"/>
        </w:rPr>
        <w:tab/>
      </w:r>
      <w:r>
        <w:rPr>
          <w:rFonts w:ascii="Times New Roman" w:cs="Times New Roman" w:eastAsia="Times New Roman" w:hAnsi="Times New Roman"/>
          <w:sz w:val="17"/>
          <w:szCs w:val="17"/>
          <w:color w:val="auto"/>
        </w:rPr>
        <w:t>(9,336)</w:t>
      </w: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expense for the three months ended June 30, 2025 primarily resulted from the tax effect of a decrease in our effective income tax rate applied to a slight decrease in operating profit for the period. The decrease in our effective income tax rate for the six months ended June 30, 2025 compared to the same period of the prior year was primarily due to a lower estimated effective tax rate for ACM Shanghai and other factors.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effective tax rate differs from statutory rates of 21% for U.S. federal income tax purposes and 25% for mainland China income tax purposes due to the effects of the valuation allowance and certain permanent differences as it pertains to book-tax differences in the treatment of stock-based compensation and non-U.S. research expenses. Our four mainland China subsidiaries, ACM Shanghai, ACM Wuxi, ACM Beijing, and ACM Lingang, are liable for mainland China corporate income taxes at the rates of 15%, 25%, 25%, and 25%, respectively. Pursuant to the Corporate Income Tax Law of mainland China, our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2021,and 2024 effective until December 31,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00" w:type="dxa"/>
            <w:vAlign w:val="bottom"/>
          </w:tcPr>
          <w:p>
            <w:pPr>
              <w:spacing w:after="0"/>
              <w:rPr>
                <w:sz w:val="20"/>
                <w:szCs w:val="20"/>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2025 v 2024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4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8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1"/>
        </w:trPr>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ACM Research owns 81.1% of ACM Shanghai’s (note 1) outstanding shares, which is reflected in our condensed consolidated financial statements. We reflect the portion of net income allocable to the minority holders of ACM Shanghai shares as net income attributable to non-controlling interests.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adjustment</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4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 v 2024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3,905</w:t>
            </w:r>
          </w:p>
        </w:tc>
        <w:tc>
          <w:tcPr>
            <w:tcW w:w="4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3,266.4 %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0" w:type="dxa"/>
            <w:vAlign w:val="bottom"/>
          </w:tcPr>
          <w:p>
            <w:pPr>
              <w:spacing w:after="0"/>
              <w:rPr>
                <w:sz w:val="1"/>
                <w:szCs w:val="1"/>
                <w:color w:val="auto"/>
              </w:rPr>
            </w:pPr>
          </w:p>
        </w:tc>
      </w:tr>
      <w:tr>
        <w:trPr>
          <w:trHeight w:val="27"/>
        </w:trPr>
        <w:tc>
          <w:tcPr>
            <w:tcW w:w="44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7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adjustment is primarily based on the net effect of RMB to dollar exchange rate fluctuations for the period on the converted value of ACM Shanghai’s RMB-denominated balances to U.S. dollar equivalents.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attributable to non-controlling interests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4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 v 2024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7,250</w:t>
            </w:r>
          </w:p>
        </w:tc>
        <w:tc>
          <w:tcPr>
            <w:tcW w:w="4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4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7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 was comparable period over period.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
                <w:szCs w:val="2"/>
                <w:color w:val="auto"/>
              </w:rPr>
            </w:pP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Single wafer cleaning, Tahoe and semi-critical cleaning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284,530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262,691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ECP (front-end and packaging), furnace and other</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technologies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75,646</w:t>
            </w:r>
          </w:p>
        </w:tc>
        <w:tc>
          <w:tcPr>
            <w:tcW w:w="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packaging (excluding ECP), services &amp;</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spares</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27,543</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387,719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354,671</w:t>
            </w:r>
          </w:p>
        </w:tc>
        <w:tc>
          <w:tcPr>
            <w:tcW w:w="18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33,048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revenue reflects higher sales of single wafer cleaning, Tahoe and semi-critical cleaning equipment, and ECP (front-end and packaging), furnace and other technologies and Advanced packaging (excluding ECP), services and spares. We attribute the increase to a longer-term commitment by our mainland China-based customers to increase production capacity to achieve a greater share of the global semiconductor market together with the market share changes and product cycles.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2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200,708</w:t>
            </w:r>
          </w:p>
        </w:tc>
        <w:tc>
          <w:tcPr>
            <w:tcW w:w="42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178,766</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2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21,942</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187,011</w:t>
            </w:r>
          </w:p>
        </w:tc>
        <w:tc>
          <w:tcPr>
            <w:tcW w:w="42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175,905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4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 bps)</w:t>
            </w:r>
          </w:p>
        </w:tc>
        <w:tc>
          <w:tcPr>
            <w:tcW w:w="0" w:type="dxa"/>
            <w:vAlign w:val="bottom"/>
          </w:tcPr>
          <w:p>
            <w:pPr>
              <w:spacing w:after="0"/>
              <w:rPr>
                <w:sz w:val="1"/>
                <w:szCs w:val="1"/>
                <w:color w:val="auto"/>
              </w:rPr>
            </w:pPr>
          </w:p>
        </w:tc>
      </w:tr>
      <w:tr>
        <w:trPr>
          <w:trHeight w:val="27"/>
        </w:trPr>
        <w:tc>
          <w:tcPr>
            <w:tcW w:w="35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7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revenue and gross profit increased due to the increased sales volume, partly offset by a decrease in gross margin. The decrease in gross margin versus the prior-year period was primarily due to revenue mix between product categories, and a higher provision for inventory.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0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31,308</w:t>
            </w:r>
          </w:p>
        </w:tc>
        <w:tc>
          <w:tcPr>
            <w:tcW w:w="17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22.8 %</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49,886</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22.9 %</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31,886</w:t>
            </w:r>
          </w:p>
        </w:tc>
        <w:tc>
          <w:tcPr>
            <w:tcW w:w="17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6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113,080</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14.6 %</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 </w:t>
      </w:r>
      <w:r>
        <w:rPr>
          <w:rFonts w:ascii="Times New Roman" w:cs="Times New Roman" w:eastAsia="Times New Roman" w:hAnsi="Times New Roman"/>
          <w:sz w:val="18"/>
          <w:szCs w:val="18"/>
          <w:color w:val="auto"/>
        </w:rPr>
        <w:t>increased due to a $5.4 million in increased personnel costs, a net increase of $2.7 million in outside services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a net increase of $2.4 million for commissions and travel and entertainment, offset by a $1.8 million decrease in stock-based compensation and $1.7 million decrease in promotional tools.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increased due to a $7.1 million increase in costs of components for tools built for product development purposes, a $5.8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increase in personnel costs, and a net increase of $1.9 million in depreciation, outside services and other R&amp;D-related costs, offset by a decrease of $3.4 million in stock-based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represented 15.8% and 14.1% of our revenue in the six months ended June 30, 2025 and 2024, respectively. Excluding grant amounts received from mainland China governmental authorities (see "Mainland China Government Research and Development Funding"), gross research and development expense totaled $62.1 million, or 16.0% of total revenue, in the six months ended June 30, 2025 as compared to $50.5 million, or 14.2% of revenue, in the corresponding period in 2024.</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decreased primarily reflecting a $3.5 million decrease in stock-based compensation, a $0.6 million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for credit losses, and a $0.6 million decrease in other costs related to general and administrative expenses, partially offset by a $2.6 million net increase in personnel and professional services costs.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Interest income, Interest expense and Other (expense) income, net</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0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 v 2024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8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7,352</w:t>
            </w:r>
          </w:p>
        </w:tc>
        <w:tc>
          <w:tcPr>
            <w:tcW w:w="42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8"/>
              </w:rPr>
              <w:t>4,155</w:t>
            </w:r>
          </w:p>
        </w:tc>
        <w:tc>
          <w:tcPr>
            <w:tcW w:w="17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76.9 %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3,197</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420" w:type="dxa"/>
            <w:vAlign w:val="bottom"/>
          </w:tcPr>
          <w:p>
            <w:pPr>
              <w:spacing w:after="0"/>
              <w:rPr>
                <w:sz w:val="21"/>
                <w:szCs w:val="21"/>
                <w:color w:val="auto"/>
              </w:rPr>
            </w:pPr>
          </w:p>
        </w:tc>
        <w:tc>
          <w:tcPr>
            <w:tcW w:w="1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(1,715)</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93.3 %</w:t>
            </w:r>
          </w:p>
        </w:tc>
        <w:tc>
          <w:tcPr>
            <w:tcW w:w="200" w:type="dxa"/>
            <w:vAlign w:val="bottom"/>
          </w:tcPr>
          <w:p>
            <w:pPr>
              <w:spacing w:after="0"/>
              <w:rPr>
                <w:sz w:val="21"/>
                <w:szCs w:val="21"/>
                <w:color w:val="auto"/>
              </w:rPr>
            </w:pPr>
          </w:p>
        </w:tc>
        <w:tc>
          <w:tcPr>
            <w:tcW w:w="12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8"/>
              </w:rPr>
              <w:t>4,437</w:t>
            </w: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(113.7)%</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(5,045)</w:t>
            </w:r>
          </w:p>
        </w:tc>
        <w:tc>
          <w:tcPr>
            <w:tcW w:w="0" w:type="dxa"/>
            <w:vAlign w:val="bottom"/>
          </w:tcPr>
          <w:p>
            <w:pPr>
              <w:spacing w:after="0"/>
              <w:rPr>
                <w:sz w:val="1"/>
                <w:szCs w:val="1"/>
                <w:color w:val="auto"/>
              </w:rPr>
            </w:pPr>
          </w:p>
        </w:tc>
      </w:tr>
      <w:tr>
        <w:trPr>
          <w:trHeight w:val="27"/>
        </w:trPr>
        <w:tc>
          <w:tcPr>
            <w:tcW w:w="36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interest income is a result of changes in balances of cash, cash equivalents, time deposits, while the change in interest expense is due to borrowings, together with changes in interest rates on the respective balances.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income, net primarily reflects (a) loss recognized from the impact of exchange rates on our working-capital which was $(1.5) million for the six months ended June 30, 2025 compared to $2.7 million for the six months ended June 30, 2024, and (b) government subsidies, as described under “Mainland China Government Research and Development Funding” above, and other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 on short-term investments, and income (loss) from equity method investments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0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gain on short-term investments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7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(205.4)%</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9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(324.3)%</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7"/>
        </w:trPr>
        <w:tc>
          <w:tcPr>
            <w:tcW w:w="40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 on short-term investments includes dividends and net gains from sales of short-term investments during the period. The unrealized gain (loss)</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 based on a change in market value of ACM Shanghai’s short-term investments (note 12). Income (loss) from equity investments is derived from net income from investments in affiliates (note 13).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components of income tax expense for the indicated periods:</w:t>
      </w:r>
    </w:p>
    <w:p>
      <w:pPr>
        <w:spacing w:after="0" w:line="27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36830</wp:posOffset>
            </wp:positionV>
            <wp:extent cx="2091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57" w:lineRule="exact"/>
        <w:rPr>
          <w:sz w:val="20"/>
          <w:szCs w:val="20"/>
          <w:color w:val="auto"/>
        </w:rPr>
      </w:pPr>
    </w:p>
    <w:p>
      <w:pPr>
        <w:ind w:left="6220"/>
        <w:spacing w:after="0"/>
        <w:tabs>
          <w:tab w:leader="none" w:pos="79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36830</wp:posOffset>
            </wp:positionV>
            <wp:extent cx="20916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7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64896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48960" cy="171450"/>
                    </a:xfrm>
                    <a:prstGeom prst="rect">
                      <a:avLst/>
                    </a:prstGeom>
                    <a:noFill/>
                  </pic:spPr>
                </pic:pic>
              </a:graphicData>
            </a:graphic>
          </wp:anchor>
        </w:drawing>
      </w:r>
    </w:p>
    <w:p>
      <w:pPr>
        <w:spacing w:after="0" w:line="45" w:lineRule="exact"/>
        <w:rPr>
          <w:sz w:val="20"/>
          <w:szCs w:val="20"/>
          <w:color w:val="auto"/>
        </w:rPr>
      </w:pPr>
    </w:p>
    <w:p>
      <w:pPr>
        <w:ind w:left="20"/>
        <w:spacing w:after="0"/>
        <w:tabs>
          <w:tab w:leader="none" w:pos="5600" w:val="left"/>
          <w:tab w:leader="none" w:pos="6640" w:val="left"/>
          <w:tab w:leader="none" w:pos="8240" w:val="left"/>
        </w:tabs>
        <w:rPr>
          <w:sz w:val="20"/>
          <w:szCs w:val="20"/>
          <w:color w:val="auto"/>
        </w:rPr>
      </w:pPr>
      <w:r>
        <w:rPr>
          <w:rFonts w:ascii="Times New Roman" w:cs="Times New Roman" w:eastAsia="Times New Roman" w:hAnsi="Times New Roman"/>
          <w:sz w:val="18"/>
          <w:szCs w:val="18"/>
          <w:color w:val="auto"/>
        </w:rPr>
        <w:t>Income tax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(4,044)  $</w:t>
      </w:r>
      <w:r>
        <w:rPr>
          <w:sz w:val="20"/>
          <w:szCs w:val="20"/>
          <w:color w:val="auto"/>
        </w:rPr>
        <w:tab/>
      </w:r>
      <w:r>
        <w:rPr>
          <w:rFonts w:ascii="Times New Roman" w:cs="Times New Roman" w:eastAsia="Times New Roman" w:hAnsi="Times New Roman"/>
          <w:sz w:val="18"/>
          <w:szCs w:val="18"/>
          <w:color w:val="auto"/>
        </w:rPr>
        <w:t>(13,705)</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expense for the six months ended June 30, 2025 primarily resulted from the tax effect of a decrease in our effective income tax rate applied to a decrease in operating profit for the period. The decrease in our effective income tax rate for the six months ended June 30, 2025 compared to the same period of the prior year was primarily due to a lower estimated effective tax rate for ACM Shanghai and other factors.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This legislation includes changes to U.S. federal tax law, which may be subject to further clarification and the issuance of interpretive guidance. We are assessing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legislation and its effect on our consolidated financial statements, which we expect to begin reflecting in the three month period ended September 30,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v 2024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4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8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527"/>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adjustment</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v 2024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0" w:type="dxa"/>
            <w:vAlign w:val="bottom"/>
          </w:tcPr>
          <w:p>
            <w:pPr>
              <w:spacing w:after="0"/>
              <w:rPr>
                <w:sz w:val="1"/>
                <w:szCs w:val="1"/>
                <w:color w:val="auto"/>
              </w:rPr>
            </w:pPr>
          </w:p>
        </w:tc>
      </w:tr>
      <w:tr>
        <w:trPr>
          <w:trHeight w:val="27"/>
        </w:trPr>
        <w:tc>
          <w:tcPr>
            <w:tcW w:w="44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800" w:type="dxa"/>
            <w:vAlign w:val="bottom"/>
            <w:shd w:val="clear" w:color="auto" w:fill="CFF0FC"/>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adjustment is primarily based on the net effect of RMB to dollar exchange rate fluctuations for the period on the converted value of ACM Shanghai’s RMB-denominated balances to U.S. dollar equivalents.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attributable to non-controlling interests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Absolute Change</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4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 v 2024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12,207</w:t>
            </w:r>
          </w:p>
        </w:tc>
        <w:tc>
          <w:tcPr>
            <w:tcW w:w="4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7"/>
        </w:trPr>
        <w:tc>
          <w:tcPr>
            <w:tcW w:w="44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7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attributable to non-controlling interests for the six months ended June 30, 2025 increased by $1.6 million as compared to the same period in 2024, reflecting a change in net income attributable to the non-controlling interests for the period together with the impact of foreign exchange rate fluctuations on the cumulative balance.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2025, we funded our technology development and operations principally through our beginning global cash balances, including the cash balances at ACM Shanghai, borrowings by ACM Shanghai from local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institutions, and our loan from China CITIC Bank. Cash and cash equivalents, restricted cash, and time deposits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 restricted cash, and time deposits: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452,886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411,310</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time deposits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17,277</w:t>
            </w:r>
          </w:p>
        </w:tc>
      </w:tr>
      <w:tr>
        <w:trPr>
          <w:trHeight w:val="243"/>
        </w:trPr>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 time deposits</w:t>
            </w:r>
          </w:p>
        </w:tc>
        <w:tc>
          <w:tcPr>
            <w:tcW w:w="3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483,905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441,862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$42.0 million increase in cash and time deposits was primarily driven by $111.0 million net cash provided by financing activities, and a $2.2 million increase from the effect of exchange rate on cash, cash equivalents, restricted cash and non-cash items, offset by $39.6 million of cash used in operations, and $31.6 million of net cash used in investing activities, excluding the change in net cash related to time deposits.</w:t>
      </w:r>
    </w:p>
    <w:p>
      <w:pPr>
        <w:spacing w:after="0" w:line="20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well as sales and marketing costs. We believe our existing cash and cash equivalents, time deposits, cash flow from operating activities, and bank borrowings will be sufficient to meet our anticipated cash needs for at least the next 12 months from the issuance of this report.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ACM Shanghai has historically participated in certain mainland China government-sponsored grant and subsidy programs, as described under “—Mainland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has any direct relationship with any mainland China government agency, and our anticipated cash needs for the next twelve months neither anticipate, nor require, receipt of any mainland China government grants or subsidies.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obtain an equity or debt financing on terms acceptable to us or at all.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 – Regulatory Risks – 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 in our Report on Form 10-K for the year ended December 31, 2024.</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and 2024, with the exception of sales and services-related transfer-pricing payments in the ordinary course of business, no transfers or distributions have been made between ACM Research, and its subsidiaries, including ACM Shanghai, or to holders of ACM Research Class A common stock.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at June 30, 2025 were held for working capital purposes and other potential investments. ACM Shanghai, our only direct mainland China subsidiary, is, however, subject to mainland China restrictions on distributions to equity holders. The use of proceeds raised by the STAR Market IPO, without further approvals, are limited to specific usage. Our accounts receivable balance fluctuates from period to period, which affects our cash flow from operating activities. Fluctuations vary depending on cash collections, client mix, and the timing of shipment and acceptance of our tools.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ACM Research has never declared or paid cash dividends on our capital stock. ACM Research intends to retain all available funds and any future earnings to support the operation of and to finance the growth and development of our business and do not anticipate paying any cash dividends in the foreseeable future.</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 (Used in) Provided by Operating Activities. </w:t>
      </w:r>
      <w:r>
        <w:rPr>
          <w:rFonts w:ascii="Times New Roman" w:cs="Times New Roman" w:eastAsia="Times New Roman" w:hAnsi="Times New Roman"/>
          <w:sz w:val="18"/>
          <w:szCs w:val="18"/>
          <w:color w:val="auto"/>
        </w:rPr>
        <w:t>Net cash (used in) provided by operating activities during the six months ended June 30, 2025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consisted of: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inventory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from unconsolidated affiliates</w:t>
            </w:r>
          </w:p>
        </w:tc>
        <w:tc>
          <w:tcPr>
            <w:tcW w:w="2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short-term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(44,496)</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(39,619)</w:t>
            </w:r>
          </w:p>
        </w:tc>
        <w:tc>
          <w:tcPr>
            <w:tcW w:w="100" w:type="dxa"/>
            <w:vAlign w:val="bottom"/>
            <w:tcBorders>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51,942</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net changes in operating asset and liability accounts primarily include the following:</w:t>
      </w:r>
    </w:p>
    <w:p>
      <w:pPr>
        <w:spacing w:after="0" w:line="225" w:lineRule="exact"/>
        <w:rPr>
          <w:sz w:val="20"/>
          <w:szCs w:val="20"/>
          <w:color w:val="auto"/>
        </w:rPr>
      </w:pPr>
    </w:p>
    <w:p>
      <w:pPr>
        <w:jc w:val="both"/>
        <w:ind w:firstLine="332"/>
        <w:spacing w:after="0" w:line="266" w:lineRule="auto"/>
        <w:tabs>
          <w:tab w:leader="none" w:pos="6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of cash: a $52.9 million increase in inventories, net, a $44.5 net increase in accounts receivable, net, a $24.4 million decrease in advances from customers, a $6.4 million increase in prepaid expenses and other current assets, $2.4 million decrease in other liabilities which includes long-term operating leases, other long-term liabilities, other payables, and accrued expenses, and a $12.6 million decrease in income taxes payable.</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of cash: a $7.7 million increase in accounts payable, a $5.1 million increase in deferred revenue, and a $3.7 million increase in accounts payable to related parties.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 Used in Investing Activities. </w:t>
      </w:r>
      <w:r>
        <w:rPr>
          <w:rFonts w:ascii="Times New Roman" w:cs="Times New Roman" w:eastAsia="Times New Roman" w:hAnsi="Times New Roman"/>
          <w:sz w:val="18"/>
          <w:szCs w:val="18"/>
          <w:color w:val="auto"/>
        </w:rPr>
        <w:t>Net cash used in investing activities, excluding the change in net cash related to time deposits, for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2025 was ($31.6 million), primarily consisting of purchase of property, plant and equipment, and intangible assets.</w:t>
      </w:r>
    </w:p>
    <w:p>
      <w:pPr>
        <w:spacing w:after="0" w:line="18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 Provided by Financing Activities. </w:t>
      </w:r>
      <w:r>
        <w:rPr>
          <w:rFonts w:ascii="Times New Roman" w:cs="Times New Roman" w:eastAsia="Times New Roman" w:hAnsi="Times New Roman"/>
          <w:sz w:val="18"/>
          <w:szCs w:val="18"/>
          <w:color w:val="auto"/>
        </w:rPr>
        <w:t>Net cash provided by financing activities for the six months ended June 30, 2025 was $111.0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consisting of $134.6 million in net proceeds from short-term and long-term borrowing (note 11), and $23.6 million proceeds from exercise of stock options, partly offset by ($40.4 million) net in repayments of short-term and long-term borrowings and $7.0 million used for purchase of shares held by ACM Shanghai.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ACM Shanghai, together with the subsidiaries of ACM Shanghai, have short-term and long-term borrowings with the following banks: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Borrowing</w:t>
            </w: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242424"/>
              </w:rPr>
              <w:t>Amount Outstanding</w:t>
            </w:r>
          </w:p>
        </w:tc>
      </w:tr>
      <w:tr>
        <w:trPr>
          <w:trHeight w:val="238"/>
        </w:trPr>
        <w:tc>
          <w:tcPr>
            <w:tcW w:w="2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00" w:type="dxa"/>
            <w:vAlign w:val="bottom"/>
          </w:tcPr>
          <w:p>
            <w:pPr>
              <w:spacing w:after="0"/>
              <w:rPr>
                <w:sz w:val="20"/>
                <w:szCs w:val="20"/>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Agreement Date</w:t>
            </w:r>
          </w:p>
        </w:tc>
        <w:tc>
          <w:tcPr>
            <w:tcW w:w="21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7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 (1)</w:t>
            </w:r>
          </w:p>
        </w:tc>
        <w:tc>
          <w:tcPr>
            <w:tcW w:w="26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242424"/>
                <w:w w:val="99"/>
              </w:rPr>
              <w:t>at June 30, 2025</w:t>
            </w:r>
          </w:p>
        </w:tc>
      </w:tr>
      <w:tr>
        <w:trPr>
          <w:trHeight w:val="27"/>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3"/>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ind w:left="104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2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 CITIC Bank (2)</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2023</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Repayable by installments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RMB200,000</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RMB99,700</w:t>
            </w:r>
          </w:p>
        </w:tc>
        <w:tc>
          <w:tcPr>
            <w:tcW w:w="180" w:type="dxa"/>
            <w:vAlign w:val="bottom"/>
          </w:tcPr>
          <w:p>
            <w:pPr>
              <w:spacing w:after="0"/>
              <w:rPr>
                <w:sz w:val="19"/>
                <w:szCs w:val="19"/>
                <w:color w:val="auto"/>
              </w:rPr>
            </w:pPr>
          </w:p>
        </w:tc>
      </w:tr>
      <w:tr>
        <w:trPr>
          <w:trHeight w:val="216"/>
        </w:trPr>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the last installments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repayable in December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277"/>
        </w:trPr>
        <w:tc>
          <w:tcPr>
            <w:tcW w:w="2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27,940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180" w:type="dxa"/>
            <w:vAlign w:val="bottom"/>
          </w:tcPr>
          <w:p>
            <w:pPr>
              <w:spacing w:after="0"/>
              <w:rPr>
                <w:sz w:val="24"/>
                <w:szCs w:val="24"/>
                <w:color w:val="auto"/>
              </w:rPr>
            </w:pP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 CITIC Bank (2)</w:t>
            </w:r>
          </w:p>
        </w:tc>
        <w:tc>
          <w:tcPr>
            <w:tcW w:w="10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Repayable by installments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RMB200,000</w:t>
            </w:r>
          </w:p>
        </w:tc>
        <w:tc>
          <w:tcPr>
            <w:tcW w:w="26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RMB200,000</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the last installments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repayable in January 2028</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27,940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180" w:type="dxa"/>
            <w:vAlign w:val="bottom"/>
          </w:tcPr>
          <w:p>
            <w:pPr>
              <w:spacing w:after="0"/>
              <w:rPr>
                <w:sz w:val="23"/>
                <w:szCs w:val="23"/>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 Everbright Bank</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2027</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RMB600,000</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RMB399,237</w:t>
            </w:r>
          </w:p>
        </w:tc>
        <w:tc>
          <w:tcPr>
            <w:tcW w:w="180" w:type="dxa"/>
            <w:vAlign w:val="bottom"/>
          </w:tcPr>
          <w:p>
            <w:pPr>
              <w:spacing w:after="0"/>
              <w:rPr>
                <w:sz w:val="21"/>
                <w:szCs w:val="21"/>
                <w:color w:val="auto"/>
              </w:rPr>
            </w:pPr>
          </w:p>
        </w:tc>
      </w:tr>
      <w:tr>
        <w:trPr>
          <w:trHeight w:val="277"/>
        </w:trPr>
        <w:tc>
          <w:tcPr>
            <w:tcW w:w="2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83,820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55,774</w:t>
            </w:r>
          </w:p>
        </w:tc>
        <w:tc>
          <w:tcPr>
            <w:tcW w:w="180" w:type="dxa"/>
            <w:vAlign w:val="bottom"/>
          </w:tcPr>
          <w:p>
            <w:pPr>
              <w:spacing w:after="0"/>
              <w:rPr>
                <w:sz w:val="24"/>
                <w:szCs w:val="24"/>
                <w:color w:val="auto"/>
              </w:rPr>
            </w:pP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 Merchants Bank</w:t>
            </w:r>
          </w:p>
        </w:tc>
        <w:tc>
          <w:tcPr>
            <w:tcW w:w="10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RMB200,000</w:t>
            </w:r>
          </w:p>
        </w:tc>
        <w:tc>
          <w:tcPr>
            <w:tcW w:w="26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RMB139,081</w:t>
            </w:r>
          </w:p>
        </w:tc>
      </w:tr>
      <w:tr>
        <w:trPr>
          <w:trHeight w:val="270"/>
        </w:trPr>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27,940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180" w:type="dxa"/>
            <w:vAlign w:val="bottom"/>
          </w:tcPr>
          <w:p>
            <w:pPr>
              <w:spacing w:after="0"/>
              <w:rPr>
                <w:sz w:val="23"/>
                <w:szCs w:val="23"/>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of China</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2.35%-2.75%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RMB400,000</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RMB382,220</w:t>
            </w:r>
          </w:p>
        </w:tc>
        <w:tc>
          <w:tcPr>
            <w:tcW w:w="180" w:type="dxa"/>
            <w:vAlign w:val="bottom"/>
          </w:tcPr>
          <w:p>
            <w:pPr>
              <w:spacing w:after="0"/>
              <w:rPr>
                <w:sz w:val="21"/>
                <w:szCs w:val="21"/>
                <w:color w:val="auto"/>
              </w:rPr>
            </w:pPr>
          </w:p>
        </w:tc>
      </w:tr>
      <w:tr>
        <w:trPr>
          <w:trHeight w:val="277"/>
        </w:trPr>
        <w:tc>
          <w:tcPr>
            <w:tcW w:w="2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55,880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53,396</w:t>
            </w:r>
          </w:p>
        </w:tc>
        <w:tc>
          <w:tcPr>
            <w:tcW w:w="180" w:type="dxa"/>
            <w:vAlign w:val="bottom"/>
          </w:tcPr>
          <w:p>
            <w:pPr>
              <w:spacing w:after="0"/>
              <w:rPr>
                <w:sz w:val="24"/>
                <w:szCs w:val="24"/>
                <w:color w:val="auto"/>
              </w:rPr>
            </w:pP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Pudong</w:t>
            </w:r>
          </w:p>
        </w:tc>
        <w:tc>
          <w:tcPr>
            <w:tcW w:w="10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RMB300,000</w:t>
            </w:r>
          </w:p>
        </w:tc>
        <w:tc>
          <w:tcPr>
            <w:tcW w:w="260" w:type="dxa"/>
            <w:vAlign w:val="bottom"/>
          </w:tcPr>
          <w:p>
            <w:pPr>
              <w:spacing w:after="0"/>
              <w:rPr>
                <w:sz w:val="19"/>
                <w:szCs w:val="19"/>
                <w:color w:val="auto"/>
              </w:rPr>
            </w:pPr>
          </w:p>
        </w:tc>
        <w:tc>
          <w:tcPr>
            <w:tcW w:w="17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NIL</w:t>
            </w: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Bank</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41,910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2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and Commercial</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2027</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RMB300,000</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RMB299,676</w:t>
            </w:r>
          </w:p>
        </w:tc>
        <w:tc>
          <w:tcPr>
            <w:tcW w:w="180" w:type="dxa"/>
            <w:vAlign w:val="bottom"/>
          </w:tcPr>
          <w:p>
            <w:pPr>
              <w:spacing w:after="0"/>
              <w:rPr>
                <w:sz w:val="19"/>
                <w:szCs w:val="19"/>
                <w:color w:val="auto"/>
              </w:rPr>
            </w:pPr>
          </w:p>
        </w:tc>
      </w:tr>
      <w:tr>
        <w:trPr>
          <w:trHeight w:val="23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of China</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277"/>
        </w:trPr>
        <w:tc>
          <w:tcPr>
            <w:tcW w:w="2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41,910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41,864</w:t>
            </w:r>
          </w:p>
        </w:tc>
        <w:tc>
          <w:tcPr>
            <w:tcW w:w="180" w:type="dxa"/>
            <w:vAlign w:val="bottom"/>
          </w:tcPr>
          <w:p>
            <w:pPr>
              <w:spacing w:after="0"/>
              <w:rPr>
                <w:sz w:val="24"/>
                <w:szCs w:val="24"/>
                <w:color w:val="auto"/>
              </w:rPr>
            </w:pP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 Merchants Bank</w:t>
            </w:r>
          </w:p>
        </w:tc>
        <w:tc>
          <w:tcPr>
            <w:tcW w:w="10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2034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RMB1,000,000</w:t>
            </w:r>
          </w:p>
        </w:tc>
        <w:tc>
          <w:tcPr>
            <w:tcW w:w="26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RMB44,540</w:t>
            </w:r>
          </w:p>
        </w:tc>
      </w:tr>
      <w:tr>
        <w:trPr>
          <w:trHeight w:val="270"/>
        </w:trPr>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139,700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80" w:type="dxa"/>
            <w:vAlign w:val="bottom"/>
          </w:tcPr>
          <w:p>
            <w:pPr>
              <w:spacing w:after="0"/>
              <w:rPr>
                <w:sz w:val="23"/>
                <w:szCs w:val="23"/>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of China</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2035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RMB1,000,000</w:t>
            </w: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RMB31,641</w:t>
            </w:r>
          </w:p>
        </w:tc>
        <w:tc>
          <w:tcPr>
            <w:tcW w:w="180" w:type="dxa"/>
            <w:vAlign w:val="bottom"/>
          </w:tcPr>
          <w:p>
            <w:pPr>
              <w:spacing w:after="0"/>
              <w:rPr>
                <w:sz w:val="21"/>
                <w:szCs w:val="21"/>
                <w:color w:val="auto"/>
              </w:rPr>
            </w:pPr>
          </w:p>
        </w:tc>
      </w:tr>
      <w:tr>
        <w:trPr>
          <w:trHeight w:val="277"/>
        </w:trPr>
        <w:tc>
          <w:tcPr>
            <w:tcW w:w="2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139,700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80" w:type="dxa"/>
            <w:vAlign w:val="bottom"/>
          </w:tcPr>
          <w:p>
            <w:pPr>
              <w:spacing w:after="0"/>
              <w:rPr>
                <w:sz w:val="24"/>
                <w:szCs w:val="24"/>
                <w:color w:val="auto"/>
              </w:rPr>
            </w:pP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 Merchants Bank (3)</w:t>
            </w:r>
          </w:p>
        </w:tc>
        <w:tc>
          <w:tcPr>
            <w:tcW w:w="10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Repayable by installments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RMB128,500</w:t>
            </w:r>
          </w:p>
        </w:tc>
        <w:tc>
          <w:tcPr>
            <w:tcW w:w="26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RMB76,202</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the last installments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repayable in November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17,951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180" w:type="dxa"/>
            <w:vAlign w:val="bottom"/>
          </w:tcPr>
          <w:p>
            <w:pPr>
              <w:spacing w:after="0"/>
              <w:rPr>
                <w:sz w:val="23"/>
                <w:szCs w:val="23"/>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2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Bank of</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Repayable by installments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2.53%-2.78%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RMB300,000</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RMB118,613</w:t>
            </w:r>
          </w:p>
        </w:tc>
        <w:tc>
          <w:tcPr>
            <w:tcW w:w="180" w:type="dxa"/>
            <w:vAlign w:val="bottom"/>
          </w:tcPr>
          <w:p>
            <w:pPr>
              <w:spacing w:after="0"/>
              <w:rPr>
                <w:sz w:val="19"/>
                <w:szCs w:val="19"/>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the last installments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repayable in April 2034</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277"/>
        </w:trPr>
        <w:tc>
          <w:tcPr>
            <w:tcW w:w="2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41,910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80" w:type="dxa"/>
            <w:vAlign w:val="bottom"/>
          </w:tcPr>
          <w:p>
            <w:pPr>
              <w:spacing w:after="0"/>
              <w:rPr>
                <w:sz w:val="24"/>
                <w:szCs w:val="24"/>
                <w:color w:val="auto"/>
              </w:rPr>
            </w:pPr>
          </w:p>
        </w:tc>
      </w:tr>
      <w:tr>
        <w:trPr>
          <w:trHeight w:val="905"/>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Shanghai</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2025</w:t>
            </w:r>
          </w:p>
        </w:tc>
        <w:tc>
          <w:tcPr>
            <w:tcW w:w="2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June 2026</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RMB100,000</w:t>
            </w: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RMB100,000</w:t>
            </w:r>
          </w:p>
        </w:tc>
      </w:tr>
      <w:tr>
        <w:trPr>
          <w:trHeight w:val="270"/>
        </w:trPr>
        <w:tc>
          <w:tcPr>
            <w:tcW w:w="20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w:t>
            </w:r>
          </w:p>
        </w:tc>
      </w:tr>
      <w:tr>
        <w:trPr>
          <w:trHeight w:val="27"/>
        </w:trPr>
        <w:tc>
          <w:tcPr>
            <w:tcW w:w="2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 CITIC Bank</w:t>
            </w:r>
          </w:p>
        </w:tc>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August 2023</w:t>
            </w:r>
          </w:p>
        </w:tc>
        <w:tc>
          <w:tcPr>
            <w:tcW w:w="2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Repayable by installments</w:t>
            </w:r>
          </w:p>
        </w:tc>
        <w:tc>
          <w:tcPr>
            <w:tcW w:w="16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RMB100,000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RMB99,777</w:t>
            </w:r>
          </w:p>
        </w:tc>
      </w:tr>
      <w:tr>
        <w:trPr>
          <w:trHeight w:val="216"/>
        </w:trPr>
        <w:tc>
          <w:tcPr>
            <w:tcW w:w="2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and the last installments</w:t>
            </w: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4"/>
        </w:trPr>
        <w:tc>
          <w:tcPr>
            <w:tcW w:w="20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repayable in August 2025</w:t>
            </w:r>
          </w:p>
        </w:tc>
        <w:tc>
          <w:tcPr>
            <w:tcW w:w="1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77"/>
        </w:trPr>
        <w:tc>
          <w:tcPr>
            <w:tcW w:w="20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w:t>
            </w:r>
          </w:p>
        </w:tc>
      </w:tr>
      <w:tr>
        <w:trPr>
          <w:trHeight w:val="20"/>
        </w:trPr>
        <w:tc>
          <w:tcPr>
            <w:tcW w:w="2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64"/>
        </w:trPr>
        <w:tc>
          <w:tcPr>
            <w:tcW w:w="20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Total US Dollars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674,541</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278,099</w:t>
            </w:r>
          </w:p>
        </w:tc>
      </w:tr>
      <w:tr>
        <w:trPr>
          <w:trHeight w:val="20"/>
        </w:trPr>
        <w:tc>
          <w:tcPr>
            <w:tcW w:w="2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from RMB to dollars as of June 30, 2025.</w:t>
      </w:r>
    </w:p>
    <w:p>
      <w:pPr>
        <w:spacing w:after="0" w:line="22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China CITIC bank facility agreement is with ACM Research, Inc.</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from China Merchants Bank is secured by a pledge of the property of ACM Lingang and guaranteed by ACM Shanghai, as described above under “—Contractual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Covenants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ACM Shanghai secured long-term loan facilities with China Merchants Bank (note 11) for ACM Shanghai’s project expenditures. The facilities contain certain covenants, which require ACM Shanghai to either repay 50% of the outstanding principal within two months, or repay the loan in accordance with an accelerated payment schedule, if ACM Shanghai does not complete, within three years after then initial drawdown, or before January 2028, a Private Offering with more than RMB900 millions of proceeds.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ACM Shanghai secured long-term loan facilities with the Bank of China (note 11) and in April 2025, ACM Shanghai secured a short-term loan facility with the Bank of China (note 6) for ACM Shanghai’s project expenditures. The facility requires ACM Shanghai’s year-end outstanding interest-bearing debt not to exceed five times of its annual EBITDA, and to comply with other non-financial covenants, or Bank of China has the right to suspend the facility, or request ACM Shanghai to accelerate repayment or provide credit enhancement.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Contract for State-owned Construction Land Use Right in Shanghai City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East China Silicon Hub of Lin-gang Special Area of China (Shanghai) Pilot Free Trade Zone, or the Land Use Right, for a period of fifty years, commencing on the date of delivery of the land in July 2020, which we refer to as the Delivery Date.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exchange for its land use rights, ACM Lingang paid aggregate grant fees of RMB 61.7 million ($9.5 million), or the Grant Fees, and a performance deposit of RMB 12.3 million ($1.9 million), which is equal to 20% of the aggregate Grant Fees, to secure its achievement of the certain performance milestones. As of June 30, 2025, ACM Lingang had officially achieved the Construction Completion Milestone and the Production Start Milestones, and the performance deposit has been refunded in full (note 7). ACM Lingang has been notified that the Lingang Special Area Administration plans to enter into supplementary land grant agreements to officially adjust the performance terms, including the formal extension of Construction Completion and Production Start Milestones. Based on current expectations, ACM Lingang believes that no penalties will be incurred, however we cannot guarantee that outcome until the supplementary land grant agreements have been executed.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milestones, covenants in the Grant Agreement require that, among other things, ACM Lingang will be required to pay liquidated damages in the event that within seven years after the Delivery Date, or prior to July 9, 2027, it does not (i) generate a minimum specified amount of annual sales of products manufactured on the granted land or (ii) pay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total tax revenue of the project fails to reach but is no less than 80% of the standard agreed 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the Grant Agreement, take back the Land Use Right, and shall refund the Grant Fees for the remaining land use term to ACM Lingang.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Our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information below with respect to four measures of financial performance:</w:t>
      </w:r>
    </w:p>
    <w:p>
      <w:pPr>
        <w:spacing w:after="0" w:line="225" w:lineRule="exact"/>
        <w:rPr>
          <w:sz w:val="20"/>
          <w:szCs w:val="20"/>
          <w:color w:val="auto"/>
        </w:rPr>
      </w:pPr>
    </w:p>
    <w:p>
      <w:pPr>
        <w:jc w:val="both"/>
        <w:ind w:left="660" w:hanging="652"/>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shipments of tools to include (a) a repeat shipment to a customer of a type of tool that the customer has previously accepted, for which we recognize revenue upon shipment or delivery, and (b) a first-time shipment of a first tool to a customer on an approval basis, for which we may recognize revenue in the future if contractual conditions are met, or if a purchase order is received.</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net income excluding interest (net), income tax benefit (expense), depreciation and amortization, unrealized (gain) loss on short-term investments, and stock-based compensation. We define adjusted EBITDA to also exclude restructuring costs, although we have not incurred any such costs to date.</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“free cash flow” as net cash provided by operating activities less purchases of property and equipment (net of proceeds from disposals) and purchase of short-term and long-term investments.</w:t>
      </w: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operating income (loss)” as our income (loss) from operations excluding stock-based compensation.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Shipments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consider shipments a key operating metric as it reflects the total value of products delivered to customers and prospective customers by our productive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Shipments consist of two components:</w:t>
      </w:r>
    </w:p>
    <w:p>
      <w:pPr>
        <w:spacing w:after="0" w:line="225" w:lineRule="exact"/>
        <w:rPr>
          <w:sz w:val="20"/>
          <w:szCs w:val="20"/>
          <w:color w:val="auto"/>
        </w:rPr>
      </w:pPr>
    </w:p>
    <w:p>
      <w:pPr>
        <w:ind w:left="660" w:hanging="652"/>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shipment to a customer of a type of tool that the customer has previously accepted, for which we recognize revenue when the tool is delivered;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hanging="652"/>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Shipments in the six months ended June 30, 2025 totaled $363.1 million, as compared to $448.2 million for the same period in 2024. Repeat tool shipments in the six months ended June 30, 2025 totaled $167.9 million, as compared to $230.4 million for same period in 2024. First tool shipments in the six months ended June 30, 2025 totaled $195.1 million, as compared to $217.7 million for the same period in 2024.</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Research does not have a basis to expect future revenue.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a number of limitations related to the use of adjusted EBITDA rather than net income (loss), which is the nearest GAAP equivalent. Some of these limitations are:</w:t>
      </w:r>
    </w:p>
    <w:p>
      <w:pPr>
        <w:spacing w:after="0" w:line="162" w:lineRule="exact"/>
        <w:rPr>
          <w:sz w:val="20"/>
          <w:szCs w:val="20"/>
          <w:color w:val="auto"/>
        </w:rPr>
      </w:pPr>
    </w:p>
    <w:p>
      <w:pPr>
        <w:ind w:left="660" w:hanging="652"/>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and, although these are non-cash expenses, the assets being depreciated or amortized may have to be replaced in the future;</w:t>
      </w:r>
    </w:p>
    <w:p>
      <w:pPr>
        <w:jc w:val="both"/>
        <w:ind w:left="660" w:hanging="652"/>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w:t>
      </w:r>
    </w:p>
    <w:p>
      <w:pPr>
        <w:ind w:left="660" w:right="20" w:hanging="4"/>
        <w:spacing w:after="0" w:line="250" w:lineRule="auto"/>
        <w:tabs>
          <w:tab w:leader="none" w:pos="92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did not pay out a portion of our compensation in the form of stock-based compensation, the cash salary expense included in operating expenses would be higher, which would affect our cash position;</w:t>
      </w:r>
    </w:p>
    <w:p>
      <w:pPr>
        <w:ind w:left="660" w:hanging="652"/>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working capital needs;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requirements necessary to service interest or principal payments on debt;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expense (benefit) or the cash requirements to pay taxes;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historical cash expenditures or future requirements for capital expenditures or contractual commitments; and</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mainland China governmental grants, the amount and timing of which can be difficult to predict and are outside our control.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the most directly comparable GAAP financial measure, to adjusted EBITDA: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4"/>
        </w:trPr>
        <w:tc>
          <w:tcPr>
            <w:tcW w:w="4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Absolute Change</w:t>
            </w:r>
          </w:p>
        </w:tc>
      </w:tr>
      <w:tr>
        <w:trPr>
          <w:trHeight w:val="238"/>
        </w:trPr>
        <w:tc>
          <w:tcPr>
            <w:tcW w:w="4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22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 v 2024</w:t>
            </w:r>
          </w:p>
        </w:tc>
      </w:tr>
      <w:tr>
        <w:trPr>
          <w:trHeight w:val="27"/>
        </w:trPr>
        <w:tc>
          <w:tcPr>
            <w:tcW w:w="4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2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Data:</w:t>
            </w: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53,491</w:t>
            </w: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r>
      <w:tr>
        <w:trPr>
          <w:trHeight w:val="27"/>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w:t>
            </w:r>
          </w:p>
        </w:tc>
      </w:tr>
      <w:tr>
        <w:trPr>
          <w:trHeight w:val="27"/>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28,911</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r>
      <w:tr>
        <w:trPr>
          <w:trHeight w:val="27"/>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1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6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(14,330)</w:t>
            </w:r>
          </w:p>
        </w:tc>
      </w:tr>
      <w:tr>
        <w:trPr>
          <w:trHeight w:val="20"/>
        </w:trPr>
        <w:tc>
          <w:tcPr>
            <w:tcW w:w="4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“—Mainland China Government Research and Development Funding.”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cash provided by (used in) operating activities, the most directly comparable GAAP financial measure, to free cash flow: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4"/>
        </w:trPr>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Absolute Change</w:t>
            </w:r>
          </w:p>
        </w:tc>
      </w:tr>
      <w:tr>
        <w:trPr>
          <w:trHeight w:val="238"/>
        </w:trPr>
        <w:tc>
          <w:tcPr>
            <w:tcW w:w="3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 v 2024</w:t>
            </w:r>
          </w:p>
        </w:tc>
      </w:tr>
      <w:tr>
        <w:trPr>
          <w:trHeight w:val="27"/>
        </w:trPr>
        <w:tc>
          <w:tcPr>
            <w:tcW w:w="3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2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Data:</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51,942</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(91,561)</w:t>
            </w:r>
          </w:p>
        </w:tc>
      </w:tr>
      <w:tr>
        <w:trPr>
          <w:trHeight w:val="27"/>
        </w:trPr>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(38,512)</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short-term and long-term investments</w:t>
            </w:r>
          </w:p>
        </w:tc>
        <w:tc>
          <w:tcPr>
            <w:tcW w:w="400" w:type="dxa"/>
            <w:vAlign w:val="bottom"/>
          </w:tcPr>
          <w:p>
            <w:pPr>
              <w:spacing w:after="0"/>
              <w:rPr>
                <w:sz w:val="21"/>
                <w:szCs w:val="21"/>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7"/>
        </w:trPr>
        <w:tc>
          <w:tcPr>
            <w:tcW w:w="3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80" w:type="dxa"/>
            <w:vAlign w:val="bottom"/>
            <w:tcBorders>
              <w:bottom w:val="single" w:sz="8" w:color="CCEEFF"/>
            </w:tcBorders>
            <w:shd w:val="clear" w:color="auto" w:fill="CCEEFF"/>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free cash flow for the six months ended June 30, 2025 as compared to the same period in 2024 reflected the factors driving net cash used in operating activities, a decrease of purchases of property and equipment, and long-term investment.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operating income excludes stock-based compensation from income from operations. Although stock-based compensation is an important aspect of the compensation of our employees and executives, determining the fair value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the stock-based instruments we utilize involves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4"/>
        </w:trPr>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Adjusted</w:t>
            </w:r>
          </w:p>
        </w:tc>
      </w:tr>
      <w:tr>
        <w:trPr>
          <w:trHeight w:val="265"/>
        </w:trPr>
        <w:tc>
          <w:tcPr>
            <w:tcW w:w="3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SBC</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SBC</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37"/>
        </w:trPr>
        <w:tc>
          <w:tcPr>
            <w:tcW w:w="3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354,671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354,671</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(177,193)</w:t>
            </w:r>
          </w:p>
        </w:tc>
      </w:tr>
      <w:tr>
        <w:trPr>
          <w:trHeight w:val="27"/>
        </w:trPr>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177,478</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w:t>
            </w:r>
          </w:p>
        </w:tc>
      </w:tr>
      <w:tr>
        <w:trPr>
          <w:trHeight w:val="24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(41,177)</w:t>
            </w:r>
          </w:p>
        </w:tc>
      </w:tr>
      <w:tr>
        <w:trPr>
          <w:trHeight w:val="27"/>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w:t>
            </w:r>
          </w:p>
        </w:tc>
      </w:tr>
      <w:tr>
        <w:trPr>
          <w:trHeight w:val="26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77,058</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(28,911)</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91,736</w:t>
            </w:r>
          </w:p>
        </w:tc>
      </w:tr>
      <w:tr>
        <w:trPr>
          <w:trHeight w:val="21"/>
        </w:trPr>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ways we manage them are summarized in the section captioned “Part II, Item 7A. Quantitative and Qualitative Disclosures About Market Risk” in our Annual Report. There have been no material changes in the first six months of 2025 to our market risks or to our management of such risks.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or the Exchange Act, as of June 30, 2025. 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such evaluation, our Chief Executive Officer and Chief Financial Officer concluded that, as of June 30, 2025, our disclosure controls and procedures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2025,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material changes to the risk factors discussed in Item 1A. “Risk Factors” of Part I in our Annual Report for the fiscal year ended December 31, 2024, as amended and supplemented by the information in “Item 1A. Risk Factors” of Part II in our Quarterly Report on Form 10-Q for the quarterly period ended March 31, 2025.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ACM Research issued, pursuant to the exercise of stock options at a per share exercise price of $0.50 per share, an aggregate of 349,743 shares of Class A common stock that were not registered under the Securities Act of 1933, as amended. We believe the offer and sale of those shares were exempt from registration under the Securities Act of 1933, as amended,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Sale Date</w:t>
            </w:r>
          </w:p>
        </w:tc>
        <w:tc>
          <w:tcPr>
            <w:tcW w:w="3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Exercised Shares (Net)</w:t>
            </w:r>
          </w:p>
        </w:tc>
      </w:tr>
      <w:tr>
        <w:trPr>
          <w:trHeight w:val="27"/>
        </w:trPr>
        <w:tc>
          <w:tcPr>
            <w:tcW w:w="25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43"/>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1/3/2025</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26,884</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2/4/2025</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18,525</w:t>
            </w:r>
          </w:p>
        </w:tc>
      </w:tr>
      <w:tr>
        <w:trPr>
          <w:trHeight w:val="27"/>
        </w:trPr>
        <w:tc>
          <w:tcPr>
            <w:tcW w:w="254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2/26/2025</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9,782</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3/3/2025</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27,241</w:t>
            </w:r>
          </w:p>
        </w:tc>
      </w:tr>
      <w:tr>
        <w:trPr>
          <w:trHeight w:val="27"/>
        </w:trPr>
        <w:tc>
          <w:tcPr>
            <w:tcW w:w="254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3/3/2025</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24,519</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3/3/2025</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205,952</w:t>
            </w:r>
          </w:p>
        </w:tc>
      </w:tr>
      <w:tr>
        <w:trPr>
          <w:trHeight w:val="27"/>
        </w:trPr>
        <w:tc>
          <w:tcPr>
            <w:tcW w:w="254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4/1/2025</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4,892</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4/7/2025</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4,876</w:t>
            </w:r>
          </w:p>
        </w:tc>
      </w:tr>
      <w:tr>
        <w:trPr>
          <w:trHeight w:val="27"/>
        </w:trPr>
        <w:tc>
          <w:tcPr>
            <w:tcW w:w="254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5/6/2025</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27,072</w:t>
            </w:r>
          </w:p>
        </w:tc>
      </w:tr>
      <w:tr>
        <w:trPr>
          <w:trHeight w:val="26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349,743</w:t>
            </w:r>
          </w:p>
        </w:tc>
      </w:tr>
      <w:tr>
        <w:trPr>
          <w:trHeight w:val="20"/>
        </w:trPr>
        <w:tc>
          <w:tcPr>
            <w:tcW w:w="254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2025, Sotheara Cheav, Senior Vice President, Manufacturing of ACM Research, Inc., adopted a Rule 10b5-1 trading arrangement (the “Cheav Plan”) that is intended to satisfy the affirmative defense of Rule 10b5-1(c) of the Exchange Act. The Cheav Plan allows for the contemporaneous exercise of options and sale of up to 21,152 shares of Class A Common Stock, at specific market prices, commencing on August 15, 2025, and continuing until (i) all such options are exercised and the underlying shares are sold, (ii) May 16, 2026, or (iii) such date that the Cheav Plan is otherwise terminated according to its terms, whichever comes first.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20, 2025, Jian Wang, Chief Executive Officer and President of ACM Shanghai, adopted a Rule 10b5-1 trading arrangement (the “Wang Plan”) that is intended to satisfy the affirmative defense of Rule 10b5-1(c) of the Exchange Act. The Wang Plan allows for the contemporaneous exercise of options and sale of up to 90,000 shares of Class A Common Stock, at specific market prices, commencing on August 20, 2025, and continuing until (i) all such options are exercised and the underlying shares are sold, (ii) May 20, 2026, or (iii) such date that the Wang Plan is otherwise terminated according to its terms, whichever comes first.</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5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w:t>
            </w:r>
          </w:p>
        </w:tc>
        <w:tc>
          <w:tcPr>
            <w:tcW w:w="956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4"/>
        </w:trPr>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560" w:type="dxa"/>
            <w:vAlign w:val="bottom"/>
            <w:tcBorders>
              <w:bottom w:val="single" w:sz="8" w:color="auto"/>
            </w:tcBorders>
          </w:tcPr>
          <w:p>
            <w:pPr>
              <w:spacing w:after="0"/>
              <w:rPr>
                <w:sz w:val="2"/>
                <w:szCs w:val="2"/>
                <w:color w:val="auto"/>
              </w:rPr>
            </w:pPr>
          </w:p>
        </w:tc>
      </w:tr>
      <w:tr>
        <w:trPr>
          <w:trHeight w:val="203"/>
        </w:trPr>
        <w:tc>
          <w:tcPr>
            <w:tcW w:w="158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01</w:t>
            </w:r>
          </w:p>
        </w:tc>
        <w:tc>
          <w:tcPr>
            <w:tcW w:w="100" w:type="dxa"/>
            <w:vAlign w:val="bottom"/>
            <w:shd w:val="clear" w:color="auto" w:fill="CCEEFF"/>
          </w:tcPr>
          <w:p>
            <w:pPr>
              <w:spacing w:after="0"/>
              <w:rPr>
                <w:sz w:val="17"/>
                <w:szCs w:val="17"/>
                <w:color w:val="auto"/>
              </w:rPr>
            </w:pPr>
          </w:p>
        </w:tc>
        <w:tc>
          <w:tcPr>
            <w:tcW w:w="95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203"/>
        </w:trPr>
        <w:tc>
          <w:tcPr>
            <w:tcW w:w="158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02</w:t>
            </w:r>
          </w:p>
        </w:tc>
        <w:tc>
          <w:tcPr>
            <w:tcW w:w="100" w:type="dxa"/>
            <w:vAlign w:val="bottom"/>
          </w:tcPr>
          <w:p>
            <w:pPr>
              <w:spacing w:after="0"/>
              <w:rPr>
                <w:sz w:val="17"/>
                <w:szCs w:val="17"/>
                <w:color w:val="auto"/>
              </w:rPr>
            </w:pPr>
          </w:p>
        </w:tc>
        <w:tc>
          <w:tcPr>
            <w:tcW w:w="9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w:t>
            </w:r>
          </w:p>
        </w:tc>
      </w:tr>
      <w:tr>
        <w:trPr>
          <w:trHeight w:val="237"/>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03"/>
        </w:trPr>
        <w:tc>
          <w:tcPr>
            <w:tcW w:w="158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01</w:t>
            </w:r>
          </w:p>
        </w:tc>
        <w:tc>
          <w:tcPr>
            <w:tcW w:w="100" w:type="dxa"/>
            <w:vAlign w:val="bottom"/>
            <w:shd w:val="clear" w:color="auto" w:fill="CCEEFF"/>
          </w:tcPr>
          <w:p>
            <w:pPr>
              <w:spacing w:after="0"/>
              <w:rPr>
                <w:sz w:val="17"/>
                <w:szCs w:val="17"/>
                <w:color w:val="auto"/>
              </w:rPr>
            </w:pPr>
          </w:p>
        </w:tc>
        <w:tc>
          <w:tcPr>
            <w:tcW w:w="95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 as Adopted</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0000EE"/>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225"/>
        </w:trPr>
        <w:tc>
          <w:tcPr>
            <w:tcW w:w="20" w:type="dxa"/>
            <w:vAlign w:val="bottom"/>
          </w:tcPr>
          <w:p>
            <w:pPr>
              <w:spacing w:after="0"/>
              <w:rPr>
                <w:sz w:val="19"/>
                <w:szCs w:val="19"/>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20" w:type="dxa"/>
            <w:vAlign w:val="bottom"/>
          </w:tcPr>
          <w:p>
            <w:pPr>
              <w:spacing w:after="0"/>
              <w:rPr>
                <w:sz w:val="21"/>
                <w:szCs w:val="21"/>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20" w:type="dxa"/>
            <w:vAlign w:val="bottom"/>
          </w:tcPr>
          <w:p>
            <w:pPr>
              <w:spacing w:after="0"/>
              <w:rPr>
                <w:sz w:val="21"/>
                <w:szCs w:val="21"/>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ACM RESEARCH, INC.</w:t>
      </w:r>
    </w:p>
    <w:p>
      <w:pPr>
        <w:spacing w:after="0" w:line="63" w:lineRule="exact"/>
        <w:rPr>
          <w:sz w:val="20"/>
          <w:szCs w:val="20"/>
          <w:color w:val="auto"/>
        </w:rPr>
      </w:pPr>
    </w:p>
    <w:p>
      <w:pPr>
        <w:ind w:left="20"/>
        <w:spacing w:after="0"/>
        <w:tabs>
          <w:tab w:leader="none" w:pos="4720" w:val="left"/>
          <w:tab w:leader="none" w:pos="546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34290</wp:posOffset>
            </wp:positionV>
            <wp:extent cx="366903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69030" cy="17145"/>
                    </a:xfrm>
                    <a:prstGeom prst="rect">
                      <a:avLst/>
                    </a:prstGeom>
                    <a:noFill/>
                  </pic:spPr>
                </pic:pic>
              </a:graphicData>
            </a:graphic>
          </wp:anchor>
        </w:drawing>
      </w:r>
    </w:p>
    <w:p>
      <w:pPr>
        <w:spacing w:after="0" w:line="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Mark McKechnie</w:t>
      </w:r>
    </w:p>
    <w:p>
      <w:pPr>
        <w:spacing w:after="0" w:line="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Financial Officer, Executive Vice President and</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1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Wang, certify that:</w:t>
      </w:r>
    </w:p>
    <w:p>
      <w:pPr>
        <w:spacing w:after="0" w:line="266"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ACM Research, Inc.</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49"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left="340" w:hanging="332"/>
        <w:spacing w:after="0" w:line="31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305"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w:t>
      </w:r>
    </w:p>
    <w:p>
      <w:pPr>
        <w:spacing w:after="0" w:line="49"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w:t>
      </w:r>
    </w:p>
    <w:p>
      <w:pPr>
        <w:spacing w:after="0" w:line="49"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20" w:hanging="332"/>
        <w:spacing w:after="0" w:line="313" w:lineRule="auto"/>
        <w:tabs>
          <w:tab w:leader="none" w:pos="3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305"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9" w:lineRule="exact"/>
        <w:rPr>
          <w:sz w:val="20"/>
          <w:szCs w:val="20"/>
          <w:color w:val="auto"/>
        </w:rPr>
      </w:pPr>
    </w:p>
    <w:p>
      <w:pPr>
        <w:ind w:left="340" w:hanging="332"/>
        <w:spacing w:after="0" w:line="329"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sz w:val="20"/>
          <w:szCs w:val="20"/>
          <w:color w:val="auto"/>
        </w:rPr>
      </w:pPr>
    </w:p>
    <w:p>
      <w:pPr>
        <w:ind w:left="340" w:hanging="332"/>
        <w:spacing w:after="0" w:line="329" w:lineRule="auto"/>
        <w:tabs>
          <w:tab w:leader="none" w:pos="3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41" w:right="339" w:bottom="1440" w:gutter="0" w:footer="0" w:header="0"/>
        </w:sectPr>
      </w:pPr>
    </w:p>
    <w:bookmarkStart w:id="56" w:name="page57"/>
    <w:bookmarkEnd w:id="56"/>
    <w:p>
      <w:pPr>
        <w:ind w:left="332" w:hanging="332"/>
        <w:spacing w:after="0" w:line="329" w:lineRule="auto"/>
        <w:tabs>
          <w:tab w:leader="none" w:pos="3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43180</wp:posOffset>
            </wp:positionV>
            <wp:extent cx="38144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124" w:lineRule="exact"/>
        <w:rPr>
          <w:sz w:val="20"/>
          <w:szCs w:val="20"/>
          <w:color w:val="auto"/>
        </w:rPr>
      </w:pPr>
    </w:p>
    <w:p>
      <w:pPr>
        <w:ind w:left="5232"/>
        <w:spacing w:after="0"/>
        <w:rPr>
          <w:sz w:val="20"/>
          <w:szCs w:val="20"/>
          <w:color w:val="auto"/>
        </w:rPr>
      </w:pPr>
      <w:r>
        <w:rPr>
          <w:rFonts w:ascii="Times New Roman" w:cs="Times New Roman" w:eastAsia="Times New Roman" w:hAnsi="Times New Roman"/>
          <w:sz w:val="18"/>
          <w:szCs w:val="18"/>
          <w:color w:val="auto"/>
        </w:rPr>
        <w:t>David H. Wang</w:t>
      </w:r>
    </w:p>
    <w:p>
      <w:pPr>
        <w:spacing w:after="0" w:line="158" w:lineRule="exact"/>
        <w:rPr>
          <w:sz w:val="20"/>
          <w:szCs w:val="20"/>
          <w:color w:val="auto"/>
        </w:rPr>
      </w:pPr>
    </w:p>
    <w:p>
      <w:pPr>
        <w:ind w:left="5232"/>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156" w:lineRule="exact"/>
        <w:rPr>
          <w:sz w:val="20"/>
          <w:szCs w:val="20"/>
          <w:color w:val="auto"/>
        </w:rPr>
      </w:pPr>
    </w:p>
    <w:p>
      <w:pPr>
        <w:ind w:left="5232"/>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32"/>
          </w:cols>
          <w:pgMar w:left="328" w:top="116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McKechnie, certify that:</w:t>
      </w:r>
    </w:p>
    <w:p>
      <w:pPr>
        <w:spacing w:after="0" w:line="266"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ACM Research, Inc.</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49"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left="340" w:hanging="332"/>
        <w:spacing w:after="0" w:line="313"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305"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w:t>
      </w:r>
    </w:p>
    <w:p>
      <w:pPr>
        <w:spacing w:after="0" w:line="49"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w:t>
      </w:r>
    </w:p>
    <w:p>
      <w:pPr>
        <w:spacing w:after="0" w:line="49"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20" w:hanging="332"/>
        <w:spacing w:after="0" w:line="313" w:lineRule="auto"/>
        <w:tabs>
          <w:tab w:leader="none" w:pos="3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305"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9" w:lineRule="exact"/>
        <w:rPr>
          <w:sz w:val="20"/>
          <w:szCs w:val="20"/>
          <w:color w:val="auto"/>
        </w:rPr>
      </w:pPr>
    </w:p>
    <w:p>
      <w:pPr>
        <w:ind w:left="340" w:hanging="332"/>
        <w:spacing w:after="0" w:line="329"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8" w:lineRule="exact"/>
        <w:rPr>
          <w:sz w:val="20"/>
          <w:szCs w:val="20"/>
          <w:color w:val="auto"/>
        </w:rPr>
      </w:pPr>
    </w:p>
    <w:p>
      <w:pPr>
        <w:ind w:left="340" w:hanging="332"/>
        <w:spacing w:after="0" w:line="329" w:lineRule="auto"/>
        <w:tabs>
          <w:tab w:leader="none" w:pos="3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41" w:right="339" w:bottom="1440" w:gutter="0" w:footer="0" w:header="0"/>
        </w:sectPr>
      </w:pPr>
    </w:p>
    <w:bookmarkStart w:id="58" w:name="page59"/>
    <w:bookmarkEnd w:id="58"/>
    <w:p>
      <w:pPr>
        <w:ind w:left="332" w:hanging="332"/>
        <w:spacing w:after="0" w:line="329" w:lineRule="auto"/>
        <w:tabs>
          <w:tab w:leader="none" w:pos="3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43180</wp:posOffset>
            </wp:positionV>
            <wp:extent cx="38144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124" w:lineRule="exact"/>
        <w:rPr>
          <w:sz w:val="20"/>
          <w:szCs w:val="20"/>
          <w:color w:val="auto"/>
        </w:rPr>
      </w:pPr>
    </w:p>
    <w:p>
      <w:pPr>
        <w:ind w:left="5232"/>
        <w:spacing w:after="0"/>
        <w:rPr>
          <w:sz w:val="20"/>
          <w:szCs w:val="20"/>
          <w:color w:val="auto"/>
        </w:rPr>
      </w:pPr>
      <w:r>
        <w:rPr>
          <w:rFonts w:ascii="Times New Roman" w:cs="Times New Roman" w:eastAsia="Times New Roman" w:hAnsi="Times New Roman"/>
          <w:sz w:val="18"/>
          <w:szCs w:val="18"/>
          <w:color w:val="auto"/>
        </w:rPr>
        <w:t>Mark McKechnie</w:t>
      </w:r>
    </w:p>
    <w:p>
      <w:pPr>
        <w:spacing w:after="0" w:line="158" w:lineRule="exact"/>
        <w:rPr>
          <w:sz w:val="20"/>
          <w:szCs w:val="20"/>
          <w:color w:val="auto"/>
        </w:rPr>
      </w:pPr>
    </w:p>
    <w:p>
      <w:pPr>
        <w:ind w:left="5232"/>
        <w:spacing w:after="0"/>
        <w:rPr>
          <w:sz w:val="20"/>
          <w:szCs w:val="20"/>
          <w:color w:val="auto"/>
        </w:rPr>
      </w:pPr>
      <w:r>
        <w:rPr>
          <w:rFonts w:ascii="Times New Roman" w:cs="Times New Roman" w:eastAsia="Times New Roman" w:hAnsi="Times New Roman"/>
          <w:sz w:val="18"/>
          <w:szCs w:val="18"/>
          <w:color w:val="auto"/>
        </w:rPr>
        <w:t>Chief Financial Officer, Executive Vice President and Treasurer</w:t>
      </w:r>
    </w:p>
    <w:p>
      <w:pPr>
        <w:spacing w:after="0" w:line="156" w:lineRule="exact"/>
        <w:rPr>
          <w:sz w:val="20"/>
          <w:szCs w:val="20"/>
          <w:color w:val="auto"/>
        </w:rPr>
      </w:pPr>
    </w:p>
    <w:p>
      <w:pPr>
        <w:ind w:left="5232"/>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32"/>
          </w:cols>
          <w:pgMar w:left="328" w:top="116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5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ACM Research, Inc. for the quarterly period ended June 30, 2025,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83"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line="329"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ACM Research, Inc. for the period presented therein.</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34290</wp:posOffset>
            </wp:positionV>
            <wp:extent cx="381444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1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David H. Wang</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1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34290</wp:posOffset>
            </wp:positionV>
            <wp:extent cx="381444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1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Mark McKechnie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Chief Financial Officer, Executive Vice President and Treasurer</w:t>
      </w:r>
    </w:p>
    <w:p>
      <w:pPr>
        <w:spacing w:after="0" w:line="1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7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emdash "/>
      <w:numFmt w:val="bullet"/>
      <w:start w:val="1"/>
    </w:lvl>
  </w:abstractNum>
  <w:abstractNum w:abstractNumId="7">
    <w:nsid w:val="436C6125"/>
    <w:multiLevelType w:val="hybridMultilevel"/>
    <w:lvl w:ilvl="0">
      <w:lvlJc w:val="left"/>
      <w:lvlText w:val="\emdash "/>
      <w:numFmt w:val="bullet"/>
      <w:start w:val="1"/>
    </w:lvl>
  </w:abstractNum>
  <w:abstractNum w:abstractNumId="8">
    <w:nsid w:val="628C895D"/>
    <w:multiLevelType w:val="hybridMultilevel"/>
    <w:lvl w:ilvl="0">
      <w:lvlJc w:val="left"/>
      <w:lvlText w:val="\emdash "/>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lvl w:ilvl="1">
      <w:lvlJc w:val="left"/>
      <w:lvlText w:val="(%2)"/>
      <w:numFmt w:val="lowerLetter"/>
      <w:start w:val="2"/>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decimal"/>
      <w:start w:val="5"/>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2"/>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2"/>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2025-08-07T15:22:34Z</dcterms:created>
  <dcterms:modified xsi:type="dcterms:W3CDTF">2025-08-07T15:22:34Z</dcterms:modified>
</cp:coreProperties>
</file>