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578485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603885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43"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5" w:lineRule="exact"/>
        <w:rPr>
          <w:sz w:val="24"/>
          <w:szCs w:val="24"/>
          <w:color w:val="auto"/>
        </w:rPr>
      </w:pPr>
    </w:p>
    <w:p>
      <w:pPr>
        <w:ind w:left="340" w:right="1720" w:hanging="314"/>
        <w:spacing w:after="0" w:line="375" w:lineRule="auto"/>
        <w:tabs>
          <w:tab w:leader="none" w:pos="371"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85725</wp:posOffset>
            </wp:positionV>
            <wp:extent cx="52260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260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554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770"/>
              <w:spacing w:after="0"/>
              <w:rPr>
                <w:sz w:val="20"/>
                <w:szCs w:val="20"/>
                <w:color w:val="auto"/>
              </w:rPr>
            </w:pPr>
            <w:r>
              <w:rPr>
                <w:rFonts w:ascii="Arial" w:cs="Arial" w:eastAsia="Arial" w:hAnsi="Arial"/>
                <w:sz w:val="18"/>
                <w:szCs w:val="18"/>
                <w:b w:val="1"/>
                <w:bCs w:val="1"/>
                <w:color w:val="auto"/>
              </w:rPr>
              <w:t>94-3290283</w:t>
            </w:r>
          </w:p>
        </w:tc>
      </w:tr>
      <w:tr>
        <w:trPr>
          <w:trHeight w:val="270"/>
        </w:trPr>
        <w:tc>
          <w:tcPr>
            <w:tcW w:w="5540" w:type="dxa"/>
            <w:vAlign w:val="bottom"/>
          </w:tcPr>
          <w:p>
            <w:pPr>
              <w:jc w:val="center"/>
              <w:ind w:right="95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20" w:type="dxa"/>
            <w:vAlign w:val="bottom"/>
          </w:tcPr>
          <w:p>
            <w:pPr>
              <w:jc w:val="center"/>
              <w:ind w:left="9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522"/>
        </w:trPr>
        <w:tc>
          <w:tcPr>
            <w:tcW w:w="5540" w:type="dxa"/>
            <w:vAlign w:val="bottom"/>
          </w:tcPr>
          <w:p>
            <w:pPr>
              <w:jc w:val="center"/>
              <w:ind w:right="930"/>
              <w:spacing w:after="0"/>
              <w:rPr>
                <w:sz w:val="20"/>
                <w:szCs w:val="20"/>
                <w:color w:val="auto"/>
              </w:rPr>
            </w:pPr>
            <w:r>
              <w:rPr>
                <w:rFonts w:ascii="Arial" w:cs="Arial" w:eastAsia="Arial" w:hAnsi="Arial"/>
                <w:sz w:val="18"/>
                <w:szCs w:val="18"/>
                <w:b w:val="1"/>
                <w:bCs w:val="1"/>
                <w:color w:val="auto"/>
                <w:w w:val="89"/>
              </w:rPr>
              <w:t>42307 Osgood Road, Suite I</w:t>
            </w:r>
          </w:p>
        </w:tc>
        <w:tc>
          <w:tcPr>
            <w:tcW w:w="3620" w:type="dxa"/>
            <w:vAlign w:val="bottom"/>
          </w:tcPr>
          <w:p>
            <w:pPr>
              <w:spacing w:after="0"/>
              <w:rPr>
                <w:sz w:val="24"/>
                <w:szCs w:val="24"/>
                <w:color w:val="auto"/>
              </w:rPr>
            </w:pPr>
          </w:p>
        </w:tc>
      </w:tr>
      <w:tr>
        <w:trPr>
          <w:trHeight w:val="234"/>
        </w:trPr>
        <w:tc>
          <w:tcPr>
            <w:tcW w:w="5540" w:type="dxa"/>
            <w:vAlign w:val="bottom"/>
          </w:tcPr>
          <w:p>
            <w:pPr>
              <w:jc w:val="center"/>
              <w:ind w:right="950"/>
              <w:spacing w:after="0"/>
              <w:rPr>
                <w:sz w:val="20"/>
                <w:szCs w:val="20"/>
                <w:color w:val="auto"/>
              </w:rPr>
            </w:pPr>
            <w:r>
              <w:rPr>
                <w:rFonts w:ascii="Arial" w:cs="Arial" w:eastAsia="Arial" w:hAnsi="Arial"/>
                <w:sz w:val="18"/>
                <w:szCs w:val="18"/>
                <w:b w:val="1"/>
                <w:bCs w:val="1"/>
                <w:color w:val="auto"/>
                <w:w w:val="93"/>
              </w:rPr>
              <w:t>Fremont, California</w:t>
            </w:r>
          </w:p>
        </w:tc>
        <w:tc>
          <w:tcPr>
            <w:tcW w:w="3620" w:type="dxa"/>
            <w:vAlign w:val="bottom"/>
          </w:tcPr>
          <w:p>
            <w:pPr>
              <w:jc w:val="right"/>
              <w:ind w:right="970"/>
              <w:spacing w:after="0"/>
              <w:rPr>
                <w:sz w:val="20"/>
                <w:szCs w:val="20"/>
                <w:color w:val="auto"/>
              </w:rPr>
            </w:pPr>
            <w:r>
              <w:rPr>
                <w:rFonts w:ascii="Arial" w:cs="Arial" w:eastAsia="Arial" w:hAnsi="Arial"/>
                <w:sz w:val="18"/>
                <w:szCs w:val="18"/>
                <w:b w:val="1"/>
                <w:bCs w:val="1"/>
                <w:color w:val="auto"/>
              </w:rPr>
              <w:t>94539</w:t>
            </w:r>
          </w:p>
        </w:tc>
      </w:tr>
      <w:tr>
        <w:trPr>
          <w:trHeight w:val="270"/>
        </w:trPr>
        <w:tc>
          <w:tcPr>
            <w:tcW w:w="5540" w:type="dxa"/>
            <w:vAlign w:val="bottom"/>
          </w:tcPr>
          <w:p>
            <w:pPr>
              <w:jc w:val="center"/>
              <w:ind w:right="9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20" w:type="dxa"/>
            <w:vAlign w:val="bottom"/>
          </w:tcPr>
          <w:p>
            <w:pPr>
              <w:jc w:val="center"/>
              <w:ind w:left="950"/>
              <w:spacing w:after="0"/>
              <w:rPr>
                <w:sz w:val="20"/>
                <w:szCs w:val="20"/>
                <w:color w:val="auto"/>
              </w:rPr>
            </w:pPr>
            <w:r>
              <w:rPr>
                <w:rFonts w:ascii="Arial" w:cs="Arial" w:eastAsia="Arial" w:hAnsi="Arial"/>
                <w:sz w:val="18"/>
                <w:szCs w:val="18"/>
                <w:i w:val="1"/>
                <w:iCs w:val="1"/>
                <w:color w:val="auto"/>
                <w:w w:val="91"/>
              </w:rPr>
              <w:t>(Zip Code)</w:t>
            </w: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 xml:space="preserve">Registrant’s telephone number, including area code: </w:t>
      </w:r>
      <w:r>
        <w:rPr>
          <w:rFonts w:ascii="Arial" w:cs="Arial" w:eastAsia="Arial" w:hAnsi="Arial"/>
          <w:sz w:val="18"/>
          <w:szCs w:val="18"/>
          <w:b w:val="1"/>
          <w:bCs w:val="1"/>
          <w:color w:val="auto"/>
        </w:rPr>
        <w:t>(510) 445-3700</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Trading Symbol</w:t>
            </w:r>
          </w:p>
        </w:tc>
        <w:tc>
          <w:tcPr>
            <w:tcW w:w="37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Class A Common Stock, $0.0001 par value</w:t>
            </w:r>
          </w:p>
        </w:tc>
        <w:tc>
          <w:tcPr>
            <w:tcW w:w="3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ACMR</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15"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68"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6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92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960" w:type="dxa"/>
            <w:vAlign w:val="bottom"/>
          </w:tcPr>
          <w:p>
            <w:pPr>
              <w:ind w:left="860"/>
              <w:spacing w:after="0"/>
              <w:rPr>
                <w:sz w:val="20"/>
                <w:szCs w:val="20"/>
                <w:color w:val="auto"/>
              </w:rPr>
            </w:pPr>
            <w:r>
              <w:rPr>
                <w:rFonts w:ascii="Arial" w:cs="Arial" w:eastAsia="Arial" w:hAnsi="Arial"/>
                <w:sz w:val="18"/>
                <w:szCs w:val="18"/>
                <w:color w:val="auto"/>
                <w:w w:val="79"/>
              </w:rPr>
              <w:t>o</w:t>
            </w:r>
          </w:p>
        </w:tc>
      </w:tr>
      <w:tr>
        <w:trPr>
          <w:trHeight w:val="242"/>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420" w:type="dxa"/>
            <w:vAlign w:val="bottom"/>
          </w:tcPr>
          <w:p>
            <w:pPr>
              <w:ind w:left="320"/>
              <w:spacing w:after="0"/>
              <w:rPr>
                <w:sz w:val="20"/>
                <w:szCs w:val="20"/>
                <w:color w:val="auto"/>
              </w:rPr>
            </w:pPr>
            <w:r>
              <w:rPr>
                <w:rFonts w:ascii="Arial" w:cs="Arial" w:eastAsia="Arial" w:hAnsi="Arial"/>
                <w:sz w:val="18"/>
                <w:szCs w:val="18"/>
                <w:color w:val="auto"/>
              </w:rPr>
              <w:t>o</w:t>
            </w:r>
          </w:p>
        </w:tc>
        <w:tc>
          <w:tcPr>
            <w:tcW w:w="476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960" w:type="dxa"/>
            <w:vAlign w:val="bottom"/>
          </w:tcPr>
          <w:p>
            <w:pPr>
              <w:ind w:left="860"/>
              <w:spacing w:after="0"/>
              <w:rPr>
                <w:sz w:val="20"/>
                <w:szCs w:val="20"/>
                <w:color w:val="auto"/>
              </w:rPr>
            </w:pPr>
            <w:r>
              <w:rPr>
                <w:rFonts w:ascii="Arial" w:cs="Arial" w:eastAsia="Arial" w:hAnsi="Arial"/>
                <w:sz w:val="18"/>
                <w:szCs w:val="18"/>
                <w:color w:val="auto"/>
                <w:w w:val="79"/>
              </w:rPr>
              <w:t>o</w:t>
            </w:r>
          </w:p>
        </w:tc>
      </w:tr>
      <w:tr>
        <w:trPr>
          <w:trHeight w:val="270"/>
        </w:trPr>
        <w:tc>
          <w:tcPr>
            <w:tcW w:w="19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760" w:type="dxa"/>
            <w:vAlign w:val="bottom"/>
          </w:tcPr>
          <w:p>
            <w:pPr>
              <w:ind w:left="192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ind w:left="860"/>
              <w:spacing w:after="0"/>
              <w:rPr>
                <w:sz w:val="20"/>
                <w:szCs w:val="20"/>
                <w:color w:val="auto"/>
              </w:rPr>
            </w:pPr>
            <w:r>
              <w:rPr>
                <w:rFonts w:ascii="Arial" w:cs="Arial" w:eastAsia="Arial" w:hAnsi="Arial"/>
                <w:sz w:val="18"/>
                <w:szCs w:val="18"/>
                <w:color w:val="auto"/>
                <w:w w:val="79"/>
              </w:rPr>
              <w:t>o</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w:t>
            </w:r>
          </w:p>
        </w:tc>
        <w:tc>
          <w:tcPr>
            <w:tcW w:w="5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Number of Shares Outstanding</w:t>
            </w:r>
          </w:p>
        </w:tc>
      </w:tr>
      <w:tr>
        <w:trPr>
          <w:trHeight w:val="27"/>
        </w:trPr>
        <w:tc>
          <w:tcPr>
            <w:tcW w:w="2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6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A Common Stock, $0.0001 par value</w:t>
            </w:r>
          </w:p>
        </w:tc>
        <w:tc>
          <w:tcPr>
            <w:tcW w:w="5580" w:type="dxa"/>
            <w:vAlign w:val="bottom"/>
            <w:gridSpan w:val="2"/>
          </w:tcPr>
          <w:p>
            <w:pPr>
              <w:jc w:val="center"/>
              <w:spacing w:after="0"/>
              <w:rPr>
                <w:sz w:val="20"/>
                <w:szCs w:val="20"/>
                <w:color w:val="auto"/>
              </w:rPr>
            </w:pPr>
            <w:r>
              <w:rPr>
                <w:rFonts w:ascii="Arial" w:cs="Arial" w:eastAsia="Arial" w:hAnsi="Arial"/>
                <w:sz w:val="18"/>
                <w:szCs w:val="18"/>
                <w:color w:val="auto"/>
                <w:w w:val="89"/>
              </w:rPr>
              <w:t>55,585,984 shares outstanding as of November 2, 2023</w:t>
            </w:r>
          </w:p>
        </w:tc>
      </w:tr>
      <w:tr>
        <w:trPr>
          <w:trHeight w:val="270"/>
        </w:trPr>
        <w:tc>
          <w:tcPr>
            <w:tcW w:w="20" w:type="dxa"/>
            <w:vAlign w:val="bottom"/>
          </w:tcPr>
          <w:p>
            <w:pPr>
              <w:spacing w:after="0"/>
              <w:rPr>
                <w:sz w:val="23"/>
                <w:szCs w:val="23"/>
                <w:color w:val="auto"/>
              </w:rPr>
            </w:pPr>
          </w:p>
        </w:tc>
        <w:tc>
          <w:tcPr>
            <w:tcW w:w="5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 $0.0001 par value</w:t>
            </w:r>
          </w:p>
        </w:tc>
        <w:tc>
          <w:tcPr>
            <w:tcW w:w="5580" w:type="dxa"/>
            <w:vAlign w:val="bottom"/>
            <w:gridSpan w:val="2"/>
          </w:tcPr>
          <w:p>
            <w:pPr>
              <w:jc w:val="center"/>
              <w:spacing w:after="0"/>
              <w:rPr>
                <w:sz w:val="20"/>
                <w:szCs w:val="20"/>
                <w:color w:val="auto"/>
              </w:rPr>
            </w:pPr>
            <w:r>
              <w:rPr>
                <w:rFonts w:ascii="Arial" w:cs="Arial" w:eastAsia="Arial" w:hAnsi="Arial"/>
                <w:sz w:val="18"/>
                <w:szCs w:val="18"/>
                <w:color w:val="auto"/>
                <w:w w:val="88"/>
              </w:rPr>
              <w:t>5,021,811 shares outstanding as of November 2, 2023</w:t>
            </w:r>
          </w:p>
        </w:tc>
      </w:tr>
      <w:tr>
        <w:trPr>
          <w:trHeight w:val="176"/>
        </w:trPr>
        <w:tc>
          <w:tcPr>
            <w:tcW w:w="20" w:type="dxa"/>
            <w:vAlign w:val="bottom"/>
          </w:tcPr>
          <w:p>
            <w:pPr>
              <w:spacing w:after="0"/>
              <w:rPr>
                <w:sz w:val="15"/>
                <w:szCs w:val="15"/>
                <w:color w:val="auto"/>
              </w:rPr>
            </w:pPr>
          </w:p>
        </w:tc>
        <w:tc>
          <w:tcPr>
            <w:tcW w:w="5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204" w:gutter="0" w:footer="0" w:header="0"/>
        </w:sectPr>
      </w:pPr>
    </w:p>
    <w:bookmarkStart w:id="1" w:name="page2"/>
    <w:bookmarkEnd w:id="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w:t>
            </w:r>
          </w:p>
        </w:tc>
        <w:tc>
          <w:tcPr>
            <w:tcW w:w="9480" w:type="dxa"/>
            <w:vAlign w:val="bottom"/>
            <w:gridSpan w:val="18"/>
            <w:shd w:val="clear" w:color="auto" w:fill="CCEEFF"/>
          </w:tcPr>
          <w:p>
            <w:pPr>
              <w:spacing w:after="0"/>
              <w:rPr>
                <w:sz w:val="20"/>
                <w:szCs w:val="20"/>
                <w:color w:val="auto"/>
              </w:rPr>
            </w:pPr>
            <w:r>
              <w:rPr>
                <w:rFonts w:ascii="Arial" w:cs="Arial" w:eastAsia="Arial" w:hAnsi="Arial"/>
                <w:sz w:val="18"/>
                <w:szCs w:val="18"/>
                <w:color w:val="0000FF"/>
              </w:rPr>
              <w:t>FINANCIAL INFORMATION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12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1.</w:t>
            </w:r>
          </w:p>
        </w:tc>
        <w:tc>
          <w:tcPr>
            <w:tcW w:w="9480" w:type="dxa"/>
            <w:vAlign w:val="bottom"/>
            <w:gridSpan w:val="18"/>
          </w:tcPr>
          <w:p>
            <w:pPr>
              <w:spacing w:after="0" w:line="202" w:lineRule="exact"/>
              <w:rPr>
                <w:sz w:val="20"/>
                <w:szCs w:val="20"/>
                <w:color w:val="auto"/>
              </w:rPr>
            </w:pPr>
            <w:r>
              <w:rPr>
                <w:rFonts w:ascii="Arial" w:cs="Arial" w:eastAsia="Arial" w:hAnsi="Arial"/>
                <w:sz w:val="18"/>
                <w:szCs w:val="18"/>
                <w:color w:val="0000FF"/>
              </w:rPr>
              <w:t>Financial Statements (unaudited)</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8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Condensed Consolidated Balance Sheets as of September 30, 2023 and December 31, 2022</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8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tcBorders>
              <w:bottom w:val="single" w:sz="8" w:color="0000FF"/>
            </w:tcBorders>
            <w:gridSpan w:val="17"/>
          </w:tcPr>
          <w:p>
            <w:pPr>
              <w:spacing w:after="0" w:line="202" w:lineRule="exact"/>
              <w:rPr>
                <w:sz w:val="20"/>
                <w:szCs w:val="20"/>
                <w:color w:val="auto"/>
              </w:rPr>
            </w:pPr>
            <w:r>
              <w:rPr>
                <w:rFonts w:ascii="Arial" w:cs="Arial" w:eastAsia="Arial" w:hAnsi="Arial"/>
                <w:sz w:val="18"/>
                <w:szCs w:val="18"/>
                <w:color w:val="0000FF"/>
                <w:w w:val="91"/>
              </w:rPr>
              <w:t>Condensed Consolidated Statements of Operations and Comprehensive Income (Loss) for the Three and Nine Months Ended</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80" w:type="dxa"/>
            <w:vAlign w:val="bottom"/>
            <w:gridSpan w:val="18"/>
          </w:tcPr>
          <w:p>
            <w:pPr>
              <w:spacing w:after="0" w:line="196" w:lineRule="exact"/>
              <w:rPr>
                <w:sz w:val="20"/>
                <w:szCs w:val="20"/>
                <w:color w:val="auto"/>
              </w:rPr>
            </w:pPr>
            <w:r>
              <w:rPr>
                <w:rFonts w:ascii="Arial" w:cs="Arial" w:eastAsia="Arial" w:hAnsi="Arial"/>
                <w:sz w:val="18"/>
                <w:szCs w:val="18"/>
                <w:color w:val="0000FF"/>
              </w:rPr>
              <w:t>September 30, 2023 and 2022</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8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w w:val="92"/>
              </w:rPr>
              <w:t>Condensed Consolidated Statements of Changes in Equity for the Three and Nine Months Ended September 30, 2023 and 2022</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9180" w:type="dxa"/>
            <w:vAlign w:val="bottom"/>
            <w:tcBorders>
              <w:top w:val="single" w:sz="8" w:color="0000FF"/>
            </w:tcBorders>
            <w:gridSpan w:val="16"/>
          </w:tcPr>
          <w:p>
            <w:pPr>
              <w:spacing w:after="0" w:line="202" w:lineRule="exact"/>
              <w:rPr>
                <w:sz w:val="20"/>
                <w:szCs w:val="20"/>
                <w:color w:val="auto"/>
              </w:rPr>
            </w:pPr>
            <w:r>
              <w:rPr>
                <w:rFonts w:ascii="Arial" w:cs="Arial" w:eastAsia="Arial" w:hAnsi="Arial"/>
                <w:sz w:val="18"/>
                <w:szCs w:val="18"/>
                <w:color w:val="0000FF"/>
              </w:rPr>
              <w:t>Condensed Consolidated Statements of Cash Flows for the Nine Months Ended September 30, 2023 and 2022</w:t>
            </w:r>
          </w:p>
        </w:tc>
        <w:tc>
          <w:tcPr>
            <w:tcW w:w="300" w:type="dxa"/>
            <w:vAlign w:val="bottom"/>
            <w:tcBorders>
              <w:top w:val="single" w:sz="8" w:color="CCEEFF"/>
            </w:tcBorders>
            <w:gridSpan w:val="2"/>
          </w:tcPr>
          <w:p>
            <w:pPr>
              <w:spacing w:after="0"/>
              <w:rPr>
                <w:sz w:val="17"/>
                <w:szCs w:val="17"/>
                <w:color w:val="auto"/>
              </w:rPr>
            </w:pPr>
          </w:p>
        </w:tc>
        <w:tc>
          <w:tcPr>
            <w:tcW w:w="46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9</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8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Notes to the Condensed Consolidated Financial Statements</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8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2.</w:t>
            </w:r>
          </w:p>
        </w:tc>
        <w:tc>
          <w:tcPr>
            <w:tcW w:w="9480" w:type="dxa"/>
            <w:vAlign w:val="bottom"/>
            <w:gridSpan w:val="18"/>
          </w:tcPr>
          <w:p>
            <w:pPr>
              <w:spacing w:after="0" w:line="20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3.</w:t>
            </w:r>
          </w:p>
        </w:tc>
        <w:tc>
          <w:tcPr>
            <w:tcW w:w="948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Quantitative and Qualitative Disclosures about Market Risks</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2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Item 4.</w:t>
            </w:r>
          </w:p>
        </w:tc>
        <w:tc>
          <w:tcPr>
            <w:tcW w:w="4380" w:type="dxa"/>
            <w:vAlign w:val="bottom"/>
            <w:tcBorders>
              <w:top w:val="single" w:sz="8" w:color="0000FF"/>
            </w:tcBorders>
            <w:gridSpan w:val="12"/>
          </w:tcPr>
          <w:p>
            <w:pPr>
              <w:spacing w:after="0" w:line="202" w:lineRule="exact"/>
              <w:rPr>
                <w:sz w:val="20"/>
                <w:szCs w:val="20"/>
                <w:color w:val="auto"/>
              </w:rPr>
            </w:pPr>
            <w:r>
              <w:rPr>
                <w:rFonts w:ascii="Arial" w:cs="Arial" w:eastAsia="Arial" w:hAnsi="Arial"/>
                <w:sz w:val="18"/>
                <w:szCs w:val="18"/>
                <w:color w:val="0000FF"/>
              </w:rPr>
              <w:t>Controls and Procedures</w:t>
            </w:r>
          </w:p>
        </w:tc>
        <w:tc>
          <w:tcPr>
            <w:tcW w:w="5100" w:type="dxa"/>
            <w:vAlign w:val="bottom"/>
            <w:tcBorders>
              <w:top w:val="single" w:sz="8" w:color="CCEEFF"/>
            </w:tcBorders>
            <w:gridSpan w:val="6"/>
          </w:tcPr>
          <w:p>
            <w:pPr>
              <w:spacing w:after="0"/>
              <w:rPr>
                <w:sz w:val="17"/>
                <w:szCs w:val="17"/>
                <w:color w:val="auto"/>
              </w:rPr>
            </w:pPr>
          </w:p>
        </w:tc>
        <w:tc>
          <w:tcPr>
            <w:tcW w:w="46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67</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PART II.</w:t>
            </w:r>
          </w:p>
        </w:tc>
        <w:tc>
          <w:tcPr>
            <w:tcW w:w="1900" w:type="dxa"/>
            <w:vAlign w:val="bottom"/>
            <w:tcBorders>
              <w:bottom w:val="single" w:sz="8" w:color="0000FF"/>
            </w:tcBorders>
            <w:gridSpan w:val="6"/>
            <w:shd w:val="clear" w:color="auto" w:fill="CCEEFF"/>
          </w:tcPr>
          <w:p>
            <w:pPr>
              <w:spacing w:after="0" w:line="202" w:lineRule="exact"/>
              <w:rPr>
                <w:sz w:val="20"/>
                <w:szCs w:val="20"/>
                <w:color w:val="auto"/>
              </w:rPr>
            </w:pPr>
            <w:r>
              <w:rPr>
                <w:rFonts w:ascii="Arial" w:cs="Arial" w:eastAsia="Arial" w:hAnsi="Arial"/>
                <w:sz w:val="18"/>
                <w:szCs w:val="18"/>
                <w:color w:val="0000FF"/>
                <w:w w:val="96"/>
              </w:rPr>
              <w:t>OTHER INFORMATION</w:t>
            </w:r>
          </w:p>
        </w:tc>
        <w:tc>
          <w:tcPr>
            <w:tcW w:w="7580" w:type="dxa"/>
            <w:vAlign w:val="bottom"/>
            <w:tcBorders>
              <w:bottom w:val="single" w:sz="8" w:color="CCEEFF"/>
            </w:tcBorders>
            <w:gridSpan w:val="12"/>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3"/>
        </w:trPr>
        <w:tc>
          <w:tcPr>
            <w:tcW w:w="20" w:type="dxa"/>
            <w:vAlign w:val="bottom"/>
          </w:tcPr>
          <w:p>
            <w:pPr>
              <w:spacing w:after="0"/>
              <w:rPr>
                <w:sz w:val="17"/>
                <w:szCs w:val="17"/>
                <w:color w:val="auto"/>
              </w:rPr>
            </w:pPr>
          </w:p>
        </w:tc>
        <w:tc>
          <w:tcPr>
            <w:tcW w:w="12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1.</w:t>
            </w:r>
          </w:p>
        </w:tc>
        <w:tc>
          <w:tcPr>
            <w:tcW w:w="9480" w:type="dxa"/>
            <w:vAlign w:val="bottom"/>
            <w:gridSpan w:val="18"/>
          </w:tcPr>
          <w:p>
            <w:pPr>
              <w:spacing w:after="0" w:line="202" w:lineRule="exact"/>
              <w:rPr>
                <w:sz w:val="20"/>
                <w:szCs w:val="20"/>
                <w:color w:val="auto"/>
              </w:rPr>
            </w:pPr>
            <w:r>
              <w:rPr>
                <w:rFonts w:ascii="Arial" w:cs="Arial" w:eastAsia="Arial" w:hAnsi="Arial"/>
                <w:sz w:val="18"/>
                <w:szCs w:val="18"/>
                <w:color w:val="0000FF"/>
              </w:rPr>
              <w:t>Legal Proceedings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2"/>
            <w:shd w:val="clear" w:color="auto" w:fill="CCEEFF"/>
          </w:tcPr>
          <w:p>
            <w:pPr>
              <w:spacing w:after="0" w:line="202" w:lineRule="exact"/>
              <w:rPr>
                <w:sz w:val="20"/>
                <w:szCs w:val="20"/>
                <w:color w:val="auto"/>
              </w:rPr>
            </w:pPr>
            <w:r>
              <w:rPr>
                <w:rFonts w:ascii="Arial" w:cs="Arial" w:eastAsia="Arial" w:hAnsi="Arial"/>
                <w:sz w:val="18"/>
                <w:szCs w:val="18"/>
                <w:color w:val="0000FF"/>
                <w:w w:val="89"/>
              </w:rPr>
              <w:t>Risk Factors</w:t>
            </w:r>
          </w:p>
        </w:tc>
        <w:tc>
          <w:tcPr>
            <w:tcW w:w="8560" w:type="dxa"/>
            <w:vAlign w:val="bottom"/>
            <w:tcBorders>
              <w:bottom w:val="single" w:sz="8" w:color="CCEEFF"/>
            </w:tcBorders>
            <w:gridSpan w:val="16"/>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03"/>
        </w:trPr>
        <w:tc>
          <w:tcPr>
            <w:tcW w:w="20" w:type="dxa"/>
            <w:vAlign w:val="bottom"/>
          </w:tcPr>
          <w:p>
            <w:pPr>
              <w:spacing w:after="0"/>
              <w:rPr>
                <w:sz w:val="17"/>
                <w:szCs w:val="17"/>
                <w:color w:val="auto"/>
              </w:rPr>
            </w:pPr>
          </w:p>
        </w:tc>
        <w:tc>
          <w:tcPr>
            <w:tcW w:w="12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2.</w:t>
            </w:r>
          </w:p>
        </w:tc>
        <w:tc>
          <w:tcPr>
            <w:tcW w:w="9480" w:type="dxa"/>
            <w:vAlign w:val="bottom"/>
            <w:gridSpan w:val="18"/>
          </w:tcPr>
          <w:p>
            <w:pPr>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661DE8"/>
            </w:tcBorders>
            <w:gridSpan w:val="3"/>
            <w:shd w:val="clear" w:color="auto" w:fill="CCEEFF"/>
          </w:tcPr>
          <w:p>
            <w:pPr>
              <w:spacing w:after="0" w:line="202" w:lineRule="exact"/>
              <w:rPr>
                <w:sz w:val="20"/>
                <w:szCs w:val="20"/>
                <w:color w:val="auto"/>
              </w:rPr>
            </w:pPr>
            <w:r>
              <w:rPr>
                <w:rFonts w:ascii="Arial" w:cs="Arial" w:eastAsia="Arial" w:hAnsi="Arial"/>
                <w:sz w:val="18"/>
                <w:szCs w:val="18"/>
                <w:color w:val="661DE8"/>
                <w:w w:val="93"/>
              </w:rPr>
              <w:t>Other information</w:t>
            </w:r>
          </w:p>
        </w:tc>
        <w:tc>
          <w:tcPr>
            <w:tcW w:w="8160" w:type="dxa"/>
            <w:vAlign w:val="bottom"/>
            <w:tcBorders>
              <w:bottom w:val="single" w:sz="8" w:color="CCEEFF"/>
            </w:tcBorders>
            <w:gridSpan w:val="15"/>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r>
      <w:tr>
        <w:trPr>
          <w:trHeight w:val="203"/>
        </w:trPr>
        <w:tc>
          <w:tcPr>
            <w:tcW w:w="20" w:type="dxa"/>
            <w:vAlign w:val="bottom"/>
          </w:tcPr>
          <w:p>
            <w:pPr>
              <w:spacing w:after="0"/>
              <w:rPr>
                <w:sz w:val="17"/>
                <w:szCs w:val="17"/>
                <w:color w:val="auto"/>
              </w:rPr>
            </w:pPr>
          </w:p>
        </w:tc>
        <w:tc>
          <w:tcPr>
            <w:tcW w:w="12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6.</w:t>
            </w:r>
          </w:p>
        </w:tc>
        <w:tc>
          <w:tcPr>
            <w:tcW w:w="9480" w:type="dxa"/>
            <w:vAlign w:val="bottom"/>
            <w:gridSpan w:val="18"/>
          </w:tcPr>
          <w:p>
            <w:pPr>
              <w:spacing w:after="0" w:line="202" w:lineRule="exact"/>
              <w:rPr>
                <w:sz w:val="20"/>
                <w:szCs w:val="20"/>
                <w:color w:val="auto"/>
              </w:rPr>
            </w:pPr>
            <w:r>
              <w:rPr>
                <w:rFonts w:ascii="Arial" w:cs="Arial" w:eastAsia="Arial" w:hAnsi="Arial"/>
                <w:sz w:val="18"/>
                <w:szCs w:val="18"/>
                <w:color w:val="0000FF"/>
              </w:rPr>
              <w:t>Exhibits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Signatures</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conduct a substantial majority of our product development, manufacturing, support and services in mainland China through ACM Shanghai. We are not a mainland China operating company, and we do not conduct our operations in mainland China through the use of a variable interest entity or any other</w:t>
      </w:r>
    </w:p>
    <w:p>
      <w:pPr>
        <w:jc w:val="both"/>
        <w:spacing w:after="0" w:line="296" w:lineRule="auto"/>
        <w:rPr>
          <w:sz w:val="20"/>
          <w:szCs w:val="20"/>
          <w:color w:val="auto"/>
        </w:rPr>
      </w:pPr>
      <w:r>
        <w:rPr>
          <w:rFonts w:ascii="Arial" w:cs="Arial" w:eastAsia="Arial" w:hAnsi="Arial"/>
          <w:sz w:val="16"/>
          <w:szCs w:val="16"/>
          <w:color w:val="auto"/>
        </w:rPr>
        <w:t>structure designed for the purpose of avoiding mainland China legal restrictions on direct foreign investments in mainland China-based companies. For a description of certain matters relating to our operations in mainland China, including our corporate structure, the movement of cash throughout our organization, certain audit and regulatory matters, and risks associated therewith, please see “Item 2—Management’s Discussion and Analysis of Financial Condition and Results of Operations” in this report, the disclosure at the forefront of our Annual Report on Form 10-K for the fiscal year ended December 31, 2022, and the Risk Factors included therein, as updated by the disclosure included in “Part II. Item 1A—Risk Factors” in this report.</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SAPS, TEBO, ULTRA C and ULTRA FURNACE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STATISTICAL DATA</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uncertainties surrounding the COVID</w:t>
      </w:r>
      <w:r>
        <w:rPr>
          <w:rFonts w:ascii="MS PGothic" w:cs="MS PGothic" w:eastAsia="MS PGothic" w:hAnsi="MS PGothic"/>
          <w:sz w:val="16"/>
          <w:szCs w:val="16"/>
          <w:color w:val="auto"/>
        </w:rPr>
        <w:t>‑</w:t>
      </w:r>
      <w:r>
        <w:rPr>
          <w:rFonts w:ascii="Arial" w:cs="Arial" w:eastAsia="Arial" w:hAnsi="Arial"/>
          <w:sz w:val="16"/>
          <w:szCs w:val="16"/>
          <w:color w:val="auto"/>
        </w:rPr>
        <w:t>19 pandemic (including effects of related mainland China restrictions) and other factors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or Gartner, in “Forecast: Semiconductor Wafer Fab Equipment, Worldwide, 4Q22 Update” (December 2022),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44" w:lineRule="exact"/>
        <w:rPr>
          <w:sz w:val="20"/>
          <w:szCs w:val="20"/>
          <w:color w:val="auto"/>
        </w:rPr>
      </w:pPr>
    </w:p>
    <w:p>
      <w:pPr>
        <w:jc w:val="center"/>
        <w:ind w:right="-1120"/>
        <w:spacing w:after="0"/>
        <w:rPr>
          <w:sz w:val="20"/>
          <w:szCs w:val="20"/>
          <w:color w:val="auto"/>
        </w:rPr>
      </w:pPr>
      <w:r>
        <w:rPr>
          <w:rFonts w:ascii="Arial" w:cs="Arial" w:eastAsia="Arial" w:hAnsi="Arial"/>
          <w:sz w:val="18"/>
          <w:szCs w:val="18"/>
          <w:i w:val="1"/>
          <w:iCs w:val="1"/>
          <w:color w:val="auto"/>
        </w:rPr>
        <w:t>(In thousands, except per share data)</w:t>
      </w:r>
    </w:p>
    <w:p>
      <w:pPr>
        <w:sectPr>
          <w:pgSz w:w="11900" w:h="16838" w:orient="portrait"/>
          <w:cols w:equalWidth="0" w:num="1">
            <w:col w:w="10139"/>
          </w:cols>
          <w:pgMar w:left="320" w:top="296"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7600" w:type="dxa"/>
            <w:vAlign w:val="bottom"/>
            <w:vMerge w:val="restart"/>
          </w:tcPr>
          <w:p>
            <w:pPr>
              <w:ind w:left="35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247,951</w:t>
            </w: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time deposits (note 2)</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70,492</w:t>
            </w: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Short-term investments (note 15)</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21,844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20,209</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(note 4)</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182,936</w:t>
            </w: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29,617</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net (note 5)</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393,172</w:t>
            </w: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Advances to related party (note 16)</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15,607</w:t>
            </w:r>
          </w:p>
        </w:tc>
        <w:tc>
          <w:tcPr>
            <w:tcW w:w="0" w:type="dxa"/>
            <w:vAlign w:val="bottom"/>
          </w:tcPr>
          <w:p>
            <w:pPr>
              <w:spacing w:after="0"/>
              <w:rPr>
                <w:sz w:val="1"/>
                <w:szCs w:val="1"/>
                <w:color w:val="auto"/>
              </w:rPr>
            </w:pPr>
          </w:p>
        </w:tc>
      </w:tr>
      <w:tr>
        <w:trPr>
          <w:trHeight w:val="237"/>
        </w:trPr>
        <w:tc>
          <w:tcPr>
            <w:tcW w:w="76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1,115,894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963,806</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 (note 6)</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82,875</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Land use right, net (note 7)</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8,692</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 (note 11)</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time deposits (note 2)</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101,956</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Deferred tax assets (note 19)</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 (note 14)</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 long-term assets (note 8)</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50,265</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1,410,248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1,235,500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9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136,675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101,735</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payables and accrued expenses (note 10)</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52,201</w:t>
            </w: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Advances from customers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153,773</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 (note 11)</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 (note 9)</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56,004</w:t>
            </w: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Current portion of long-term borrowings (note 12)</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 (note 19)</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FIN-48 payable (note 19)</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party accounts payable (note 16)</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14,468</w:t>
            </w:r>
          </w:p>
        </w:tc>
        <w:tc>
          <w:tcPr>
            <w:tcW w:w="0" w:type="dxa"/>
            <w:vAlign w:val="bottom"/>
          </w:tcPr>
          <w:p>
            <w:pPr>
              <w:spacing w:after="0"/>
              <w:rPr>
                <w:sz w:val="1"/>
                <w:szCs w:val="1"/>
                <w:color w:val="auto"/>
              </w:rPr>
            </w:pPr>
          </w:p>
        </w:tc>
      </w:tr>
      <w:tr>
        <w:trPr>
          <w:trHeight w:val="237"/>
        </w:trPr>
        <w:tc>
          <w:tcPr>
            <w:tcW w:w="76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481,951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396,214</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 (note 12)</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Long-term operating lease liabilities (note 11)</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 (note 13)</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37"/>
        </w:trPr>
        <w:tc>
          <w:tcPr>
            <w:tcW w:w="7600" w:type="dxa"/>
            <w:vAlign w:val="bottom"/>
          </w:tcPr>
          <w:p>
            <w:pPr>
              <w:ind w:left="5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532,118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423,329</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20)</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Class A Common stock (note 17)</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 Common stock (note 17)</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620,210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604,089</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94,426</w:t>
            </w: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Statutory surplus reserve (note 22)</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16,881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16,881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(40,546)</w:t>
            </w:r>
          </w:p>
        </w:tc>
        <w:tc>
          <w:tcPr>
            <w:tcW w:w="0" w:type="dxa"/>
            <w:vAlign w:val="bottom"/>
          </w:tcPr>
          <w:p>
            <w:pPr>
              <w:spacing w:after="0"/>
              <w:rPr>
                <w:sz w:val="1"/>
                <w:szCs w:val="1"/>
                <w:color w:val="auto"/>
              </w:rPr>
            </w:pPr>
          </w:p>
        </w:tc>
      </w:tr>
      <w:tr>
        <w:trPr>
          <w:trHeight w:val="236"/>
        </w:trPr>
        <w:tc>
          <w:tcPr>
            <w:tcW w:w="7600" w:type="dxa"/>
            <w:vAlign w:val="bottom"/>
          </w:tcPr>
          <w:p>
            <w:pPr>
              <w:ind w:left="360"/>
              <w:spacing w:after="0"/>
              <w:rPr>
                <w:sz w:val="20"/>
                <w:szCs w:val="20"/>
                <w:color w:val="auto"/>
              </w:rPr>
            </w:pPr>
            <w:r>
              <w:rPr>
                <w:rFonts w:ascii="Arial" w:cs="Arial" w:eastAsia="Arial" w:hAnsi="Arial"/>
                <w:sz w:val="18"/>
                <w:szCs w:val="18"/>
                <w:b w:val="1"/>
                <w:bCs w:val="1"/>
                <w:color w:val="auto"/>
              </w:rPr>
              <w:t>Total ACM Research, Inc. stockholders’ equity</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729,050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674,856</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137,315</w:t>
            </w:r>
          </w:p>
        </w:tc>
        <w:tc>
          <w:tcPr>
            <w:tcW w:w="0" w:type="dxa"/>
            <w:vAlign w:val="bottom"/>
          </w:tcPr>
          <w:p>
            <w:pPr>
              <w:spacing w:after="0"/>
              <w:rPr>
                <w:sz w:val="1"/>
                <w:szCs w:val="1"/>
                <w:color w:val="auto"/>
              </w:rPr>
            </w:pPr>
          </w:p>
        </w:tc>
      </w:tr>
      <w:tr>
        <w:trPr>
          <w:trHeight w:val="236"/>
        </w:trPr>
        <w:tc>
          <w:tcPr>
            <w:tcW w:w="7600" w:type="dxa"/>
            <w:vAlign w:val="bottom"/>
          </w:tcPr>
          <w:p>
            <w:pPr>
              <w:ind w:left="360"/>
              <w:spacing w:after="0"/>
              <w:rPr>
                <w:sz w:val="20"/>
                <w:szCs w:val="20"/>
                <w:color w:val="auto"/>
              </w:rPr>
            </w:pPr>
            <w:r>
              <w:rPr>
                <w:rFonts w:ascii="Arial" w:cs="Arial" w:eastAsia="Arial" w:hAnsi="Arial"/>
                <w:sz w:val="18"/>
                <w:szCs w:val="18"/>
                <w:b w:val="1"/>
                <w:bCs w:val="1"/>
                <w:color w:val="auto"/>
              </w:rPr>
              <w:t>Total equity</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878,130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812,171</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6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1,410,248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1,235,500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0880"/>
          </w:cols>
          <w:pgMar w:left="320" w:top="175" w:right="6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75" w:right="699" w:bottom="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Three Months Ended September 30,</w:t>
            </w:r>
          </w:p>
        </w:tc>
        <w:tc>
          <w:tcPr>
            <w:tcW w:w="100" w:type="dxa"/>
            <w:vAlign w:val="bottom"/>
          </w:tcPr>
          <w:p>
            <w:pPr>
              <w:spacing w:after="0"/>
              <w:rPr>
                <w:sz w:val="20"/>
                <w:szCs w:val="20"/>
                <w:color w:val="auto"/>
              </w:rPr>
            </w:pPr>
          </w:p>
        </w:tc>
        <w:tc>
          <w:tcPr>
            <w:tcW w:w="32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0"/>
              </w:rPr>
              <w:t>Nine Months Ended September 30, 2023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242424"/>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(note 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168,569</w:t>
            </w:r>
          </w:p>
        </w:tc>
        <w:tc>
          <w:tcPr>
            <w:tcW w:w="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280,290</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Cost of revenue (note 16)</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80,055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67,742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190,263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150,480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65,967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129,810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26,151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15,560</w:t>
            </w: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55,341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34,331</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87,445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42,365</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Realized gain from sale of short-term investments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equity method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31,712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37,546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(note 19)</w:t>
            </w:r>
          </w:p>
        </w:tc>
        <w:tc>
          <w:tcPr>
            <w:tcW w:w="140" w:type="dxa"/>
            <w:vAlign w:val="bottom"/>
            <w:tcBorders>
              <w:bottom w:val="single" w:sz="8" w:color="BFE4FF"/>
            </w:tcBorders>
            <w:shd w:val="clear" w:color="auto" w:fill="BFE4FF"/>
          </w:tcPr>
          <w:p>
            <w:pPr>
              <w:spacing w:after="0"/>
              <w:rPr>
                <w:sz w:val="23"/>
                <w:szCs w:val="23"/>
                <w:color w:val="auto"/>
              </w:rPr>
            </w:pPr>
          </w:p>
        </w:tc>
        <w:tc>
          <w:tcPr>
            <w:tcW w:w="1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0" w:type="dxa"/>
            <w:vAlign w:val="bottom"/>
          </w:tcPr>
          <w:p>
            <w:pPr>
              <w:spacing w:after="0"/>
              <w:rPr>
                <w:sz w:val="1"/>
                <w:szCs w:val="1"/>
                <w:color w:val="auto"/>
              </w:rPr>
            </w:pPr>
          </w:p>
        </w:tc>
      </w:tr>
      <w:tr>
        <w:trPr>
          <w:trHeight w:val="236"/>
        </w:trPr>
        <w:tc>
          <w:tcPr>
            <w:tcW w:w="4700" w:type="dxa"/>
            <w:vAlign w:val="bottom"/>
          </w:tcPr>
          <w:p>
            <w:pPr>
              <w:ind w:left="36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30,994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27,076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0" w:type="dxa"/>
            <w:vAlign w:val="bottom"/>
          </w:tcPr>
          <w:p>
            <w:pPr>
              <w:spacing w:after="0"/>
              <w:rPr>
                <w:sz w:val="1"/>
                <w:szCs w:val="1"/>
                <w:color w:val="auto"/>
              </w:rPr>
            </w:pPr>
          </w:p>
        </w:tc>
      </w:tr>
      <w:tr>
        <w:trPr>
          <w:trHeight w:val="263"/>
        </w:trPr>
        <w:tc>
          <w:tcPr>
            <w:tcW w:w="4700" w:type="dxa"/>
            <w:vAlign w:val="bottom"/>
          </w:tcPr>
          <w:p>
            <w:pPr>
              <w:ind w:left="360"/>
              <w:spacing w:after="0"/>
              <w:rPr>
                <w:sz w:val="20"/>
                <w:szCs w:val="20"/>
                <w:color w:val="auto"/>
              </w:rPr>
            </w:pPr>
            <w:r>
              <w:rPr>
                <w:rFonts w:ascii="Arial" w:cs="Arial" w:eastAsia="Arial" w:hAnsi="Arial"/>
                <w:sz w:val="18"/>
                <w:szCs w:val="18"/>
                <w:b w:val="1"/>
                <w:bCs w:val="1"/>
                <w:color w:val="auto"/>
              </w:rPr>
              <w:t>Net income attributable to ACM Research,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25,679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21,004</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59,649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27,454</w:t>
            </w:r>
          </w:p>
        </w:tc>
        <w:tc>
          <w:tcPr>
            <w:tcW w:w="0" w:type="dxa"/>
            <w:vAlign w:val="bottom"/>
          </w:tcPr>
          <w:p>
            <w:pPr>
              <w:spacing w:after="0"/>
              <w:rPr>
                <w:sz w:val="1"/>
                <w:szCs w:val="1"/>
                <w:color w:val="auto"/>
              </w:rPr>
            </w:pPr>
          </w:p>
        </w:tc>
      </w:tr>
      <w:tr>
        <w:trPr>
          <w:trHeight w:val="46"/>
        </w:trPr>
        <w:tc>
          <w:tcPr>
            <w:tcW w:w="47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2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36,381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(42,416)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(21,831)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(80,334)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Less: Comprehensive income (loss) attributable to non-</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controlling interests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360"/>
              <w:spacing w:after="0" w:line="205" w:lineRule="exact"/>
              <w:rPr>
                <w:sz w:val="20"/>
                <w:szCs w:val="20"/>
                <w:color w:val="auto"/>
              </w:rPr>
            </w:pPr>
            <w:r>
              <w:rPr>
                <w:rFonts w:ascii="Arial" w:cs="Arial" w:eastAsia="Arial" w:hAnsi="Arial"/>
                <w:sz w:val="18"/>
                <w:szCs w:val="18"/>
                <w:b w:val="1"/>
                <w:bCs w:val="1"/>
                <w:color w:val="auto"/>
              </w:rPr>
              <w:t>Comprehensive income (loss) attributable to ACM</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27,241</w:t>
            </w:r>
          </w:p>
        </w:tc>
        <w:tc>
          <w:tcPr>
            <w:tcW w:w="4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(14,283)</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39,841</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(39,575)</w:t>
            </w:r>
          </w:p>
        </w:tc>
        <w:tc>
          <w:tcPr>
            <w:tcW w:w="0" w:type="dxa"/>
            <w:vAlign w:val="bottom"/>
          </w:tcPr>
          <w:p>
            <w:pPr>
              <w:spacing w:after="0"/>
              <w:rPr>
                <w:sz w:val="1"/>
                <w:szCs w:val="1"/>
                <w:color w:val="auto"/>
              </w:rPr>
            </w:pPr>
          </w:p>
        </w:tc>
      </w:tr>
      <w:tr>
        <w:trPr>
          <w:trHeight w:val="254"/>
        </w:trPr>
        <w:tc>
          <w:tcPr>
            <w:tcW w:w="4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Research, Inc.</w:t>
            </w:r>
          </w:p>
        </w:tc>
        <w:tc>
          <w:tcPr>
            <w:tcW w:w="140" w:type="dxa"/>
            <w:vAlign w:val="bottom"/>
            <w:vMerge w:val="continue"/>
            <w:shd w:val="clear" w:color="auto" w:fill="CCEEFF"/>
          </w:tcPr>
          <w:p>
            <w:pPr>
              <w:spacing w:after="0"/>
              <w:rPr>
                <w:sz w:val="22"/>
                <w:szCs w:val="22"/>
                <w:color w:val="auto"/>
              </w:rPr>
            </w:pPr>
          </w:p>
        </w:tc>
        <w:tc>
          <w:tcPr>
            <w:tcW w:w="1420" w:type="dxa"/>
            <w:vAlign w:val="bottom"/>
            <w:vMerge w:val="continue"/>
            <w:shd w:val="clear" w:color="auto" w:fill="CCEEFF"/>
          </w:tcPr>
          <w:p>
            <w:pPr>
              <w:spacing w:after="0"/>
              <w:rPr>
                <w:sz w:val="22"/>
                <w:szCs w:val="22"/>
                <w:color w:val="auto"/>
              </w:rPr>
            </w:pPr>
          </w:p>
        </w:tc>
        <w:tc>
          <w:tcPr>
            <w:tcW w:w="420" w:type="dxa"/>
            <w:vAlign w:val="bottom"/>
            <w:gridSpan w:val="2"/>
            <w:vMerge w:val="continue"/>
            <w:shd w:val="clear" w:color="auto" w:fill="CCEEFF"/>
          </w:tcPr>
          <w:p>
            <w:pPr>
              <w:spacing w:after="0"/>
              <w:rPr>
                <w:sz w:val="22"/>
                <w:szCs w:val="22"/>
                <w:color w:val="auto"/>
              </w:rPr>
            </w:pPr>
          </w:p>
        </w:tc>
        <w:tc>
          <w:tcPr>
            <w:tcW w:w="11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15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vMerge w:val="continue"/>
            <w:shd w:val="clear" w:color="auto" w:fill="CCEEFF"/>
          </w:tcPr>
          <w:p>
            <w:pPr>
              <w:spacing w:after="0"/>
              <w:rPr>
                <w:sz w:val="22"/>
                <w:szCs w:val="22"/>
                <w:color w:val="auto"/>
              </w:rPr>
            </w:pPr>
          </w:p>
        </w:tc>
        <w:tc>
          <w:tcPr>
            <w:tcW w:w="122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Net income attributable to ACM Research, Inc. per share of</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(note 2):</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0.43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p>
      <w:pPr>
        <w:spacing w:after="0" w:line="148"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Weighted average shares of common stock outstanding used in computing per share amounts (note 2):</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jc w:val="right"/>
              <w:spacing w:after="0"/>
              <w:rPr>
                <w:sz w:val="20"/>
                <w:szCs w:val="20"/>
                <w:color w:val="auto"/>
              </w:rPr>
            </w:pPr>
            <w:r>
              <w:rPr>
                <w:rFonts w:ascii="Arial" w:cs="Arial" w:eastAsia="Arial" w:hAnsi="Arial"/>
                <w:sz w:val="18"/>
                <w:szCs w:val="18"/>
                <w:color w:val="auto"/>
              </w:rPr>
              <w:t>60,219,218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59,360,790</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59,953,144</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59,123,895</w:t>
            </w:r>
          </w:p>
        </w:tc>
      </w:tr>
      <w:tr>
        <w:trPr>
          <w:trHeight w:val="27"/>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6"/>
        </w:trPr>
        <w:tc>
          <w:tcPr>
            <w:tcW w:w="1560" w:type="dxa"/>
            <w:vAlign w:val="bottom"/>
          </w:tcPr>
          <w:p>
            <w:pPr>
              <w:jc w:val="right"/>
              <w:spacing w:after="0"/>
              <w:rPr>
                <w:sz w:val="20"/>
                <w:szCs w:val="20"/>
                <w:color w:val="auto"/>
              </w:rPr>
            </w:pPr>
            <w:r>
              <w:rPr>
                <w:rFonts w:ascii="Arial" w:cs="Arial" w:eastAsia="Arial" w:hAnsi="Arial"/>
                <w:sz w:val="18"/>
                <w:szCs w:val="18"/>
                <w:color w:val="auto"/>
              </w:rPr>
              <w:t>65,450,941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65,612,665</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64,834,051</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65,629,273</w:t>
            </w:r>
          </w:p>
        </w:tc>
      </w:tr>
      <w:tr>
        <w:trPr>
          <w:trHeight w:val="27"/>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-222250</wp:posOffset>
            </wp:positionV>
            <wp:extent cx="71323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160"/>
            <w:col w:w="6540"/>
          </w:cols>
          <w:pgMar w:left="320" w:top="296" w:right="339" w:bottom="1440" w:gutter="0" w:footer="0" w:header="0"/>
          <w:type w:val="continuous"/>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11240"/>
          </w:cols>
          <w:pgMar w:left="320" w:top="2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00" w:type="dxa"/>
            <w:vAlign w:val="bottom"/>
          </w:tcPr>
          <w:p>
            <w:pPr>
              <w:spacing w:after="0"/>
              <w:rPr>
                <w:sz w:val="16"/>
                <w:szCs w:val="16"/>
                <w:color w:val="auto"/>
              </w:rPr>
            </w:pPr>
          </w:p>
        </w:tc>
        <w:tc>
          <w:tcPr>
            <w:tcW w:w="142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Common</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Common</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4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Stock Class 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Stock Class B</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Statutory</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Paid-</w:t>
            </w:r>
          </w:p>
        </w:tc>
        <w:tc>
          <w:tcPr>
            <w:tcW w:w="10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Surplus</w:t>
            </w: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Comprehensive</w:t>
            </w: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controlling</w:t>
            </w:r>
          </w:p>
        </w:tc>
        <w:tc>
          <w:tcPr>
            <w:tcW w:w="14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 (1)</w:t>
            </w:r>
          </w:p>
        </w:tc>
        <w:tc>
          <w:tcPr>
            <w:tcW w:w="820" w:type="dxa"/>
            <w:vAlign w:val="bottom"/>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 (1)</w:t>
            </w:r>
          </w:p>
        </w:tc>
        <w:tc>
          <w:tcPr>
            <w:tcW w:w="82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in Capital</w:t>
            </w:r>
          </w:p>
        </w:tc>
        <w:tc>
          <w:tcPr>
            <w:tcW w:w="900" w:type="dxa"/>
            <w:vAlign w:val="bottom"/>
            <w:gridSpan w:val="3"/>
          </w:tcPr>
          <w:p>
            <w:pPr>
              <w:ind w:left="10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20"/>
                <w:szCs w:val="2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Reserve</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8"/>
              </w:rPr>
              <w:t>Balance at December 31,</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53,608,929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5,087,814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595,045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63,732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8,312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9,109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135,461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811,665</w:t>
            </w:r>
          </w:p>
        </w:tc>
        <w:tc>
          <w:tcPr>
            <w:tcW w:w="0" w:type="dxa"/>
            <w:vAlign w:val="bottom"/>
          </w:tcPr>
          <w:p>
            <w:pPr>
              <w:spacing w:after="0"/>
              <w:rPr>
                <w:sz w:val="1"/>
                <w:szCs w:val="1"/>
                <w:color w:val="auto"/>
              </w:rPr>
            </w:pPr>
          </w:p>
        </w:tc>
      </w:tr>
      <w:tr>
        <w:trPr>
          <w:trHeight w:val="233"/>
        </w:trPr>
        <w:tc>
          <w:tcPr>
            <w:tcW w:w="1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27,454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36,381</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Foreign currency translation</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(80,334)</w:t>
            </w:r>
          </w:p>
        </w:tc>
        <w:tc>
          <w:tcPr>
            <w:tcW w:w="0" w:type="dxa"/>
            <w:vAlign w:val="bottom"/>
          </w:tcPr>
          <w:p>
            <w:pPr>
              <w:spacing w:after="0"/>
              <w:rPr>
                <w:sz w:val="1"/>
                <w:szCs w:val="1"/>
                <w:color w:val="auto"/>
              </w:rPr>
            </w:pPr>
          </w:p>
        </w:tc>
      </w:tr>
      <w:tr>
        <w:trPr>
          <w:trHeight w:val="233"/>
        </w:trPr>
        <w:tc>
          <w:tcPr>
            <w:tcW w:w="19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6"/>
                <w:szCs w:val="16"/>
                <w:color w:val="auto"/>
              </w:rPr>
              <w:t>763,584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53"/>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5,236</w:t>
            </w:r>
          </w:p>
        </w:tc>
        <w:tc>
          <w:tcPr>
            <w:tcW w:w="0" w:type="dxa"/>
            <w:vAlign w:val="bottom"/>
          </w:tcPr>
          <w:p>
            <w:pPr>
              <w:spacing w:after="0"/>
              <w:rPr>
                <w:sz w:val="1"/>
                <w:szCs w:val="1"/>
                <w:color w:val="auto"/>
              </w:rPr>
            </w:pPr>
          </w:p>
        </w:tc>
      </w:tr>
      <w:tr>
        <w:trPr>
          <w:trHeight w:val="206"/>
        </w:trPr>
        <w:tc>
          <w:tcPr>
            <w:tcW w:w="1900" w:type="dxa"/>
            <w:vAlign w:val="bottom"/>
          </w:tcPr>
          <w:p>
            <w:pPr>
              <w:ind w:left="20"/>
              <w:spacing w:after="0"/>
              <w:rPr>
                <w:sz w:val="20"/>
                <w:szCs w:val="20"/>
                <w:color w:val="auto"/>
              </w:rPr>
            </w:pPr>
            <w:r>
              <w:rPr>
                <w:rFonts w:ascii="Arial" w:cs="Arial" w:eastAsia="Arial" w:hAnsi="Arial"/>
                <w:sz w:val="16"/>
                <w:szCs w:val="16"/>
                <w:color w:val="auto"/>
              </w:rPr>
              <w:t>Conversion of Class B</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80"/>
              <w:spacing w:after="0"/>
              <w:rPr>
                <w:sz w:val="20"/>
                <w:szCs w:val="20"/>
                <w:color w:val="auto"/>
              </w:rPr>
            </w:pPr>
            <w:r>
              <w:rPr>
                <w:rFonts w:ascii="Arial" w:cs="Arial" w:eastAsia="Arial" w:hAnsi="Arial"/>
                <w:sz w:val="16"/>
                <w:szCs w:val="16"/>
                <w:color w:val="auto"/>
                <w:w w:val="94"/>
              </w:rPr>
              <w:t>common stock to Class A</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common stock</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5"/>
              </w:rPr>
              <w:t>Balance at September 30,</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54,373,515</w:t>
            </w:r>
          </w:p>
        </w:tc>
        <w:tc>
          <w:tcPr>
            <w:tcW w:w="8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5,086,812</w:t>
            </w:r>
          </w:p>
        </w:tc>
        <w:tc>
          <w:tcPr>
            <w:tcW w:w="8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601,431</w:t>
            </w:r>
          </w:p>
        </w:tc>
        <w:tc>
          <w:tcPr>
            <w:tcW w:w="8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91,186</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8,312</w:t>
            </w:r>
          </w:p>
        </w:tc>
        <w:tc>
          <w:tcPr>
            <w:tcW w:w="8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(57,920)</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131,083</w:t>
            </w:r>
          </w:p>
        </w:tc>
        <w:tc>
          <w:tcPr>
            <w:tcW w:w="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774,098</w:t>
            </w:r>
          </w:p>
        </w:tc>
        <w:tc>
          <w:tcPr>
            <w:tcW w:w="0" w:type="dxa"/>
            <w:vAlign w:val="bottom"/>
          </w:tcPr>
          <w:p>
            <w:pPr>
              <w:spacing w:after="0"/>
              <w:rPr>
                <w:sz w:val="1"/>
                <w:szCs w:val="1"/>
                <w:color w:val="auto"/>
              </w:rPr>
            </w:pPr>
          </w:p>
        </w:tc>
      </w:tr>
      <w:tr>
        <w:trPr>
          <w:trHeight w:val="233"/>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320" w:firstLine="8"/>
        <w:spacing w:after="0" w:line="277"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 numbers as of December 31, 2021 have been adjusted to reflect the three-for-one stock split effected in the form of a stock dividend in March 2022. See Note 2 for details.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0" w:type="dxa"/>
            <w:vAlign w:val="bottom"/>
          </w:tcPr>
          <w:p>
            <w:pPr>
              <w:spacing w:after="0"/>
              <w:rPr>
                <w:sz w:val="17"/>
                <w:szCs w:val="17"/>
                <w:color w:val="auto"/>
              </w:rPr>
            </w:pPr>
          </w:p>
        </w:tc>
        <w:tc>
          <w:tcPr>
            <w:tcW w:w="120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Pr>
          <w:p>
            <w:pPr>
              <w:spacing w:after="0"/>
              <w:rPr>
                <w:sz w:val="17"/>
                <w:szCs w:val="17"/>
                <w:color w:val="auto"/>
              </w:rPr>
            </w:pPr>
          </w:p>
        </w:tc>
        <w:tc>
          <w:tcPr>
            <w:tcW w:w="112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120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6"/>
                <w:szCs w:val="16"/>
                <w:b w:val="1"/>
                <w:bCs w:val="1"/>
                <w:color w:val="auto"/>
                <w:w w:val="89"/>
              </w:rPr>
              <w:t>Stock Class A</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left="59"/>
              <w:spacing w:after="0"/>
              <w:rPr>
                <w:sz w:val="20"/>
                <w:szCs w:val="20"/>
                <w:color w:val="auto"/>
              </w:rPr>
            </w:pPr>
            <w:r>
              <w:rPr>
                <w:rFonts w:ascii="Arial" w:cs="Arial" w:eastAsia="Arial" w:hAnsi="Arial"/>
                <w:sz w:val="16"/>
                <w:szCs w:val="16"/>
                <w:b w:val="1"/>
                <w:bCs w:val="1"/>
                <w:color w:val="auto"/>
                <w:w w:val="88"/>
              </w:rPr>
              <w:t>Stock Class B</w:t>
            </w:r>
          </w:p>
        </w:tc>
        <w:tc>
          <w:tcPr>
            <w:tcW w:w="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Statutory</w:t>
            </w:r>
          </w:p>
        </w:tc>
        <w:tc>
          <w:tcPr>
            <w:tcW w:w="100" w:type="dxa"/>
            <w:vAlign w:val="bottom"/>
          </w:tcPr>
          <w:p>
            <w:pPr>
              <w:spacing w:after="0"/>
              <w:rPr>
                <w:sz w:val="16"/>
                <w:szCs w:val="16"/>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b w:val="1"/>
                <w:bCs w:val="1"/>
                <w:color w:val="auto"/>
              </w:rPr>
              <w:t>Non-</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b w:val="1"/>
                <w:bCs w:val="1"/>
                <w:color w:val="auto"/>
              </w:rPr>
              <w:t>Paid-</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Retained</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rPr>
              <w:t>Surplus</w:t>
            </w:r>
          </w:p>
        </w:tc>
        <w:tc>
          <w:tcPr>
            <w:tcW w:w="1920" w:type="dxa"/>
            <w:vAlign w:val="bottom"/>
            <w:gridSpan w:val="4"/>
          </w:tcPr>
          <w:p>
            <w:pPr>
              <w:jc w:val="right"/>
              <w:spacing w:after="0"/>
              <w:rPr>
                <w:sz w:val="20"/>
                <w:szCs w:val="20"/>
                <w:color w:val="auto"/>
              </w:rPr>
            </w:pPr>
            <w:r>
              <w:rPr>
                <w:rFonts w:ascii="Arial" w:cs="Arial" w:eastAsia="Arial" w:hAnsi="Arial"/>
                <w:sz w:val="16"/>
                <w:szCs w:val="16"/>
                <w:b w:val="1"/>
                <w:bCs w:val="1"/>
                <w:color w:val="auto"/>
                <w:w w:val="90"/>
              </w:rPr>
              <w:t>Comprehensive controlling</w:t>
            </w: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auto"/>
                <w:w w:val="95"/>
              </w:rPr>
              <w:t>Amount</w:t>
            </w: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2100" w:type="dxa"/>
            <w:vAlign w:val="bottom"/>
            <w:gridSpan w:val="6"/>
          </w:tcPr>
          <w:p>
            <w:pPr>
              <w:ind w:left="20"/>
              <w:spacing w:after="0"/>
              <w:rPr>
                <w:sz w:val="20"/>
                <w:szCs w:val="20"/>
                <w:color w:val="auto"/>
              </w:rPr>
            </w:pPr>
            <w:r>
              <w:rPr>
                <w:rFonts w:ascii="Arial" w:cs="Arial" w:eastAsia="Arial" w:hAnsi="Arial"/>
                <w:sz w:val="16"/>
                <w:szCs w:val="16"/>
                <w:b w:val="1"/>
                <w:bCs w:val="1"/>
                <w:color w:val="auto"/>
                <w:w w:val="98"/>
              </w:rPr>
              <w:t>Amount in Capital Earnings</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Reserve</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Income (Loss)</w:t>
            </w:r>
          </w:p>
        </w:tc>
        <w:tc>
          <w:tcPr>
            <w:tcW w:w="1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w w:val="86"/>
              </w:rPr>
              <w:t>Interests</w:t>
            </w: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w w:val="96"/>
              </w:rPr>
              <w:t>December 31,</w:t>
            </w: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54,655,286</w:t>
            </w: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5,021,811</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1</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604,089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94,426</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16,881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(40,546)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137,315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$812,171</w:t>
            </w:r>
          </w:p>
        </w:tc>
        <w:tc>
          <w:tcPr>
            <w:tcW w:w="0" w:type="dxa"/>
            <w:vAlign w:val="bottom"/>
          </w:tcPr>
          <w:p>
            <w:pPr>
              <w:spacing w:after="0"/>
              <w:rPr>
                <w:sz w:val="1"/>
                <w:szCs w:val="1"/>
                <w:color w:val="auto"/>
              </w:rPr>
            </w:pPr>
          </w:p>
        </w:tc>
      </w:tr>
      <w:tr>
        <w:trPr>
          <w:trHeight w:val="220"/>
        </w:trPr>
        <w:tc>
          <w:tcPr>
            <w:tcW w:w="1200" w:type="dxa"/>
            <w:vAlign w:val="bottom"/>
          </w:tcPr>
          <w:p>
            <w:pPr>
              <w:ind w:left="20"/>
              <w:spacing w:after="0"/>
              <w:rPr>
                <w:sz w:val="20"/>
                <w:szCs w:val="20"/>
                <w:color w:val="auto"/>
              </w:rPr>
            </w:pPr>
            <w:r>
              <w:rPr>
                <w:rFonts w:ascii="Arial" w:cs="Arial" w:eastAsia="Arial" w:hAnsi="Arial"/>
                <w:sz w:val="16"/>
                <w:szCs w:val="16"/>
                <w:color w:val="auto"/>
              </w:rPr>
              <w:t>Cumulative</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(1,769)</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189"/>
        </w:trPr>
        <w:tc>
          <w:tcPr>
            <w:tcW w:w="1200" w:type="dxa"/>
            <w:vAlign w:val="bottom"/>
          </w:tcPr>
          <w:p>
            <w:pPr>
              <w:ind w:left="180"/>
              <w:spacing w:after="0"/>
              <w:rPr>
                <w:sz w:val="20"/>
                <w:szCs w:val="20"/>
                <w:color w:val="auto"/>
              </w:rPr>
            </w:pPr>
            <w:r>
              <w:rPr>
                <w:rFonts w:ascii="Arial" w:cs="Arial" w:eastAsia="Arial" w:hAnsi="Arial"/>
                <w:sz w:val="16"/>
                <w:szCs w:val="16"/>
                <w:color w:val="auto"/>
              </w:rPr>
              <w:t>effect of</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ind w:left="180"/>
              <w:spacing w:after="0"/>
              <w:rPr>
                <w:sz w:val="20"/>
                <w:szCs w:val="20"/>
                <w:color w:val="auto"/>
              </w:rPr>
            </w:pPr>
            <w:r>
              <w:rPr>
                <w:rFonts w:ascii="Arial" w:cs="Arial" w:eastAsia="Arial" w:hAnsi="Arial"/>
                <w:sz w:val="16"/>
                <w:szCs w:val="16"/>
                <w:color w:val="auto"/>
              </w:rPr>
              <w:t>change in</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color w:val="auto"/>
              </w:rPr>
              <w:t>accounting</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ind w:left="180"/>
              <w:spacing w:after="0"/>
              <w:rPr>
                <w:sz w:val="20"/>
                <w:szCs w:val="20"/>
                <w:color w:val="auto"/>
              </w:rPr>
            </w:pPr>
            <w:r>
              <w:rPr>
                <w:rFonts w:ascii="Arial" w:cs="Arial" w:eastAsia="Arial" w:hAnsi="Arial"/>
                <w:sz w:val="16"/>
                <w:szCs w:val="16"/>
                <w:color w:val="auto"/>
                <w:w w:val="95"/>
              </w:rPr>
              <w:t>principle under</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color w:val="auto"/>
              </w:rPr>
              <w:t>ASC 326, net</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6"/>
                <w:szCs w:val="16"/>
                <w:color w:val="auto"/>
              </w:rPr>
              <w:t>of tax</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59,649</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73,554</w:t>
            </w:r>
          </w:p>
        </w:tc>
        <w:tc>
          <w:tcPr>
            <w:tcW w:w="0" w:type="dxa"/>
            <w:vAlign w:val="bottom"/>
          </w:tcPr>
          <w:p>
            <w:pPr>
              <w:spacing w:after="0"/>
              <w:rPr>
                <w:sz w:val="1"/>
                <w:szCs w:val="1"/>
                <w:color w:val="auto"/>
              </w:rPr>
            </w:pPr>
          </w:p>
        </w:tc>
      </w:tr>
      <w:tr>
        <w:trPr>
          <w:trHeight w:val="220"/>
        </w:trPr>
        <w:tc>
          <w:tcPr>
            <w:tcW w:w="1200" w:type="dxa"/>
            <w:vAlign w:val="bottom"/>
          </w:tcPr>
          <w:p>
            <w:pPr>
              <w:ind w:left="20"/>
              <w:spacing w:after="0"/>
              <w:rPr>
                <w:sz w:val="20"/>
                <w:szCs w:val="20"/>
                <w:color w:val="auto"/>
              </w:rPr>
            </w:pPr>
            <w:r>
              <w:rPr>
                <w:rFonts w:ascii="Arial" w:cs="Arial" w:eastAsia="Arial" w:hAnsi="Arial"/>
                <w:sz w:val="16"/>
                <w:szCs w:val="16"/>
                <w:color w:val="auto"/>
                <w:w w:val="96"/>
              </w:rPr>
              <w:t>Foreign currency</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0" w:type="dxa"/>
            <w:vAlign w:val="bottom"/>
          </w:tcPr>
          <w:p>
            <w:pPr>
              <w:ind w:left="20"/>
              <w:spacing w:after="0"/>
              <w:rPr>
                <w:sz w:val="20"/>
                <w:szCs w:val="20"/>
                <w:color w:val="auto"/>
              </w:rPr>
            </w:pPr>
            <w:r>
              <w:rPr>
                <w:rFonts w:ascii="Arial" w:cs="Arial" w:eastAsia="Arial" w:hAnsi="Arial"/>
                <w:sz w:val="16"/>
                <w:szCs w:val="16"/>
                <w:color w:val="auto"/>
              </w:rPr>
              <w:t>translation</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20"/>
              <w:spacing w:after="0"/>
              <w:rPr>
                <w:sz w:val="20"/>
                <w:szCs w:val="20"/>
                <w:color w:val="auto"/>
              </w:rPr>
            </w:pPr>
            <w:r>
              <w:rPr>
                <w:rFonts w:ascii="Arial" w:cs="Arial" w:eastAsia="Arial" w:hAnsi="Arial"/>
                <w:sz w:val="16"/>
                <w:szCs w:val="16"/>
                <w:color w:val="auto"/>
              </w:rPr>
              <w:t>adjustment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(19,808)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(2,023)</w:t>
            </w:r>
          </w:p>
        </w:tc>
        <w:tc>
          <w:tcPr>
            <w:tcW w:w="700" w:type="dxa"/>
            <w:vAlign w:val="bottom"/>
          </w:tcPr>
          <w:p>
            <w:pPr>
              <w:jc w:val="right"/>
              <w:spacing w:after="0"/>
              <w:rPr>
                <w:sz w:val="20"/>
                <w:szCs w:val="20"/>
                <w:color w:val="auto"/>
              </w:rPr>
            </w:pPr>
            <w:r>
              <w:rPr>
                <w:rFonts w:ascii="Arial" w:cs="Arial" w:eastAsia="Arial" w:hAnsi="Arial"/>
                <w:sz w:val="16"/>
                <w:szCs w:val="16"/>
                <w:color w:val="auto"/>
              </w:rPr>
              <w:t>(21,831)</w:t>
            </w: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Exercise of stock</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919,448</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w:t>
            </w:r>
          </w:p>
        </w:tc>
        <w:tc>
          <w:tcPr>
            <w:tcW w:w="0" w:type="dxa"/>
            <w:vAlign w:val="bottom"/>
          </w:tcPr>
          <w:p>
            <w:pPr>
              <w:spacing w:after="0"/>
              <w:rPr>
                <w:sz w:val="1"/>
                <w:szCs w:val="1"/>
                <w:color w:val="auto"/>
              </w:rPr>
            </w:pPr>
          </w:p>
        </w:tc>
      </w:tr>
      <w:tr>
        <w:trPr>
          <w:trHeight w:val="220"/>
        </w:trPr>
        <w:tc>
          <w:tcPr>
            <w:tcW w:w="1200" w:type="dxa"/>
            <w:vAlign w:val="bottom"/>
          </w:tcPr>
          <w:p>
            <w:pPr>
              <w:ind w:left="20"/>
              <w:spacing w:after="0"/>
              <w:rPr>
                <w:sz w:val="20"/>
                <w:szCs w:val="20"/>
                <w:color w:val="auto"/>
              </w:rPr>
            </w:pPr>
            <w:r>
              <w:rPr>
                <w:rFonts w:ascii="Arial" w:cs="Arial" w:eastAsia="Arial" w:hAnsi="Arial"/>
                <w:sz w:val="16"/>
                <w:szCs w:val="16"/>
                <w:color w:val="auto"/>
              </w:rPr>
              <w:t>ACM Shanghai</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6"/>
                <w:szCs w:val="16"/>
                <w:color w:val="auto"/>
              </w:rPr>
              <w:t>dividend</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(3,951)</w:t>
            </w:r>
          </w:p>
        </w:tc>
        <w:tc>
          <w:tcPr>
            <w:tcW w:w="700" w:type="dxa"/>
            <w:vAlign w:val="bottom"/>
          </w:tcPr>
          <w:p>
            <w:pPr>
              <w:jc w:val="right"/>
              <w:spacing w:after="0"/>
              <w:rPr>
                <w:sz w:val="20"/>
                <w:szCs w:val="20"/>
                <w:color w:val="auto"/>
              </w:rPr>
            </w:pPr>
            <w:r>
              <w:rPr>
                <w:rFonts w:ascii="Arial" w:cs="Arial" w:eastAsia="Arial" w:hAnsi="Arial"/>
                <w:sz w:val="16"/>
                <w:szCs w:val="16"/>
                <w:color w:val="auto"/>
              </w:rPr>
              <w:t>(3,951)</w:t>
            </w: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14,666</w:t>
            </w: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14,666</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Balance at</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ind w:left="180"/>
              <w:spacing w:after="0"/>
              <w:rPr>
                <w:sz w:val="20"/>
                <w:szCs w:val="20"/>
                <w:color w:val="auto"/>
              </w:rPr>
            </w:pPr>
            <w:r>
              <w:rPr>
                <w:rFonts w:ascii="Arial" w:cs="Arial" w:eastAsia="Arial" w:hAnsi="Arial"/>
                <w:sz w:val="16"/>
                <w:szCs w:val="16"/>
                <w:b w:val="1"/>
                <w:bCs w:val="1"/>
                <w:color w:val="auto"/>
                <w:w w:val="91"/>
              </w:rPr>
              <w:t>September 30,</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55,574,734</w:t>
            </w:r>
          </w:p>
        </w:tc>
        <w:tc>
          <w:tcPr>
            <w:tcW w:w="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6</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5,021,811</w:t>
            </w:r>
          </w:p>
        </w:tc>
        <w:tc>
          <w:tcPr>
            <w:tcW w:w="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1</w:t>
            </w:r>
          </w:p>
        </w:tc>
        <w:tc>
          <w:tcPr>
            <w:tcW w:w="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620,210</w:t>
            </w: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152,306</w:t>
            </w:r>
          </w:p>
        </w:tc>
        <w:tc>
          <w:tcPr>
            <w:tcW w:w="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16,881</w:t>
            </w: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(60,354)</w:t>
            </w: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149,080</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$878,130</w:t>
            </w:r>
          </w:p>
        </w:tc>
        <w:tc>
          <w:tcPr>
            <w:tcW w:w="0" w:type="dxa"/>
            <w:vAlign w:val="bottom"/>
          </w:tcPr>
          <w:p>
            <w:pPr>
              <w:spacing w:after="0"/>
              <w:rPr>
                <w:sz w:val="1"/>
                <w:szCs w:val="1"/>
                <w:color w:val="auto"/>
              </w:rPr>
            </w:pPr>
          </w:p>
        </w:tc>
      </w:tr>
      <w:tr>
        <w:trPr>
          <w:trHeight w:val="208"/>
        </w:trPr>
        <w:tc>
          <w:tcPr>
            <w:tcW w:w="1200" w:type="dxa"/>
            <w:vAlign w:val="bottom"/>
          </w:tcPr>
          <w:p>
            <w:pPr>
              <w:ind w:left="180"/>
              <w:spacing w:after="0"/>
              <w:rPr>
                <w:sz w:val="20"/>
                <w:szCs w:val="20"/>
                <w:color w:val="auto"/>
              </w:rPr>
            </w:pPr>
            <w:r>
              <w:rPr>
                <w:rFonts w:ascii="Arial" w:cs="Arial" w:eastAsia="Arial" w:hAnsi="Arial"/>
                <w:sz w:val="16"/>
                <w:szCs w:val="16"/>
                <w:b w:val="1"/>
                <w:bCs w:val="1"/>
                <w:color w:val="auto"/>
              </w:rPr>
              <w:t>2023</w:t>
            </w:r>
          </w:p>
        </w:tc>
        <w:tc>
          <w:tcPr>
            <w:tcW w:w="76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Common</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5"/>
          </w:tcPr>
          <w:p>
            <w:pPr>
              <w:jc w:val="right"/>
              <w:spacing w:after="0"/>
              <w:rPr>
                <w:sz w:val="20"/>
                <w:szCs w:val="20"/>
                <w:color w:val="auto"/>
              </w:rPr>
            </w:pPr>
            <w:r>
              <w:rPr>
                <w:rFonts w:ascii="Arial" w:cs="Arial" w:eastAsia="Arial" w:hAnsi="Arial"/>
                <w:sz w:val="16"/>
                <w:szCs w:val="16"/>
                <w:b w:val="1"/>
                <w:bCs w:val="1"/>
                <w:color w:val="auto"/>
              </w:rPr>
              <w:t>Common</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6"/>
          </w:tcPr>
          <w:p>
            <w:pPr>
              <w:jc w:val="center"/>
              <w:ind w:right="179"/>
              <w:spacing w:after="0"/>
              <w:rPr>
                <w:sz w:val="20"/>
                <w:szCs w:val="20"/>
                <w:color w:val="auto"/>
              </w:rPr>
            </w:pPr>
            <w:r>
              <w:rPr>
                <w:rFonts w:ascii="Arial" w:cs="Arial" w:eastAsia="Arial" w:hAnsi="Arial"/>
                <w:sz w:val="16"/>
                <w:szCs w:val="16"/>
                <w:b w:val="1"/>
                <w:bCs w:val="1"/>
                <w:color w:val="auto"/>
                <w:w w:val="88"/>
              </w:rPr>
              <w:t>Stock Class A</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6"/>
          </w:tcPr>
          <w:p>
            <w:pPr>
              <w:jc w:val="right"/>
              <w:ind w:right="179"/>
              <w:spacing w:after="0"/>
              <w:rPr>
                <w:sz w:val="20"/>
                <w:szCs w:val="20"/>
                <w:color w:val="auto"/>
              </w:rPr>
            </w:pPr>
            <w:r>
              <w:rPr>
                <w:rFonts w:ascii="Arial" w:cs="Arial" w:eastAsia="Arial" w:hAnsi="Arial"/>
                <w:sz w:val="16"/>
                <w:szCs w:val="16"/>
                <w:b w:val="1"/>
                <w:bCs w:val="1"/>
                <w:color w:val="auto"/>
                <w:w w:val="97"/>
              </w:rPr>
              <w:t>Stock Class B</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auto"/>
                <w:w w:val="89"/>
              </w:rPr>
              <w:t>Accumulated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39"/>
              <w:spacing w:after="0" w:line="182" w:lineRule="exact"/>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9"/>
              <w:spacing w:after="0" w:line="182" w:lineRule="exact"/>
              <w:rPr>
                <w:sz w:val="20"/>
                <w:szCs w:val="20"/>
                <w:color w:val="auto"/>
              </w:rPr>
            </w:pPr>
            <w:r>
              <w:rPr>
                <w:rFonts w:ascii="Arial" w:cs="Arial" w:eastAsia="Arial" w:hAnsi="Arial"/>
                <w:sz w:val="16"/>
                <w:szCs w:val="16"/>
                <w:b w:val="1"/>
                <w:bCs w:val="1"/>
                <w:color w:val="auto"/>
                <w:w w:val="99"/>
              </w:rPr>
              <w:t>Statutory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400"/>
              <w:spacing w:after="0" w:line="182" w:lineRule="exact"/>
              <w:rPr>
                <w:sz w:val="20"/>
                <w:szCs w:val="20"/>
                <w:color w:val="auto"/>
              </w:rPr>
            </w:pPr>
            <w:r>
              <w:rPr>
                <w:rFonts w:ascii="Arial" w:cs="Arial" w:eastAsia="Arial" w:hAnsi="Arial"/>
                <w:sz w:val="16"/>
                <w:szCs w:val="16"/>
                <w:b w:val="1"/>
                <w:bCs w:val="1"/>
                <w:color w:val="auto"/>
              </w:rPr>
              <w:t>Other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80"/>
              <w:spacing w:after="0" w:line="182" w:lineRule="exact"/>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Paid-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Surplus</w:t>
            </w:r>
          </w:p>
        </w:tc>
        <w:tc>
          <w:tcPr>
            <w:tcW w:w="80" w:type="dxa"/>
            <w:vAlign w:val="bottom"/>
          </w:tcPr>
          <w:p>
            <w:pPr>
              <w:spacing w:after="0"/>
              <w:rPr>
                <w:sz w:val="17"/>
                <w:szCs w:val="17"/>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w w:val="89"/>
              </w:rPr>
              <w:t>Comprehensive</w:t>
            </w:r>
          </w:p>
        </w:tc>
        <w:tc>
          <w:tcPr>
            <w:tcW w:w="4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4"/>
          </w:tcPr>
          <w:p>
            <w:pPr>
              <w:ind w:left="180"/>
              <w:spacing w:after="0"/>
              <w:rPr>
                <w:sz w:val="20"/>
                <w:szCs w:val="20"/>
                <w:color w:val="auto"/>
              </w:rPr>
            </w:pPr>
            <w:r>
              <w:rPr>
                <w:rFonts w:ascii="Arial" w:cs="Arial" w:eastAsia="Arial" w:hAnsi="Arial"/>
                <w:sz w:val="16"/>
                <w:szCs w:val="16"/>
                <w:b w:val="1"/>
                <w:bCs w:val="1"/>
                <w:color w:val="auto"/>
              </w:rPr>
              <w:t>Shares</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w w:val="82"/>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in Capital</w:t>
            </w:r>
          </w:p>
        </w:tc>
        <w:tc>
          <w:tcPr>
            <w:tcW w:w="80" w:type="dxa"/>
            <w:vAlign w:val="bottom"/>
          </w:tcPr>
          <w:p>
            <w:pPr>
              <w:spacing w:after="0"/>
              <w:rPr>
                <w:sz w:val="20"/>
                <w:szCs w:val="20"/>
                <w:color w:val="auto"/>
              </w:rPr>
            </w:pPr>
          </w:p>
        </w:tc>
        <w:tc>
          <w:tcPr>
            <w:tcW w:w="900" w:type="dxa"/>
            <w:vAlign w:val="bottom"/>
            <w:gridSpan w:val="4"/>
          </w:tcPr>
          <w:p>
            <w:pPr>
              <w:ind w:left="10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Reserve</w:t>
            </w:r>
          </w:p>
        </w:tc>
        <w:tc>
          <w:tcPr>
            <w:tcW w:w="80" w:type="dxa"/>
            <w:vAlign w:val="bottom"/>
          </w:tcPr>
          <w:p>
            <w:pPr>
              <w:spacing w:after="0"/>
              <w:rPr>
                <w:sz w:val="20"/>
                <w:szCs w:val="20"/>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w w:val="95"/>
              </w:rPr>
              <w:t>Income (Loss)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20"/>
                <w:szCs w:val="20"/>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53"/>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Balance at June 30, 2022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54,141,805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5,086,812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599,138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70,182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(22,633)</w:t>
            </w:r>
          </w:p>
        </w:tc>
        <w:tc>
          <w:tcPr>
            <w:tcW w:w="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132,140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787,145</w:t>
            </w:r>
          </w:p>
        </w:tc>
        <w:tc>
          <w:tcPr>
            <w:tcW w:w="0" w:type="dxa"/>
            <w:vAlign w:val="bottom"/>
          </w:tcPr>
          <w:p>
            <w:pPr>
              <w:spacing w:after="0"/>
              <w:rPr>
                <w:sz w:val="1"/>
                <w:szCs w:val="1"/>
                <w:color w:val="auto"/>
              </w:rPr>
            </w:pPr>
          </w:p>
        </w:tc>
      </w:tr>
      <w:tr>
        <w:trPr>
          <w:trHeight w:val="233"/>
        </w:trPr>
        <w:tc>
          <w:tcPr>
            <w:tcW w:w="1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21,004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27,076</w:t>
            </w: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3"/>
              </w:rPr>
              <w:t>Foreign currency translation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w:t>
            </w: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(35,287)</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(42,416)</w:t>
            </w:r>
          </w:p>
        </w:tc>
        <w:tc>
          <w:tcPr>
            <w:tcW w:w="0" w:type="dxa"/>
            <w:vAlign w:val="bottom"/>
          </w:tcPr>
          <w:p>
            <w:pPr>
              <w:spacing w:after="0"/>
              <w:rPr>
                <w:sz w:val="1"/>
                <w:szCs w:val="1"/>
                <w:color w:val="auto"/>
              </w:rPr>
            </w:pPr>
          </w:p>
        </w:tc>
      </w:tr>
      <w:tr>
        <w:trPr>
          <w:trHeight w:val="233"/>
        </w:trPr>
        <w:tc>
          <w:tcPr>
            <w:tcW w:w="1900" w:type="dxa"/>
            <w:vAlign w:val="bottom"/>
            <w:gridSpan w:val="2"/>
          </w:tcPr>
          <w:p>
            <w:pPr>
              <w:ind w:left="20"/>
              <w:spacing w:after="0"/>
              <w:rPr>
                <w:sz w:val="20"/>
                <w:szCs w:val="20"/>
                <w:color w:val="auto"/>
              </w:rPr>
            </w:pPr>
            <w:r>
              <w:rPr>
                <w:rFonts w:ascii="Arial" w:cs="Arial" w:eastAsia="Arial" w:hAnsi="Arial"/>
                <w:sz w:val="16"/>
                <w:szCs w:val="16"/>
                <w:color w:val="auto"/>
              </w:rPr>
              <w:t>Exercise of stock options</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231,710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53"/>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Stock-based compensation</w:t>
            </w:r>
          </w:p>
        </w:tc>
        <w:tc>
          <w:tcPr>
            <w:tcW w:w="3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w:t>
            </w:r>
          </w:p>
        </w:tc>
        <w:tc>
          <w:tcPr>
            <w:tcW w:w="0" w:type="dxa"/>
            <w:vAlign w:val="bottom"/>
          </w:tcPr>
          <w:p>
            <w:pPr>
              <w:spacing w:after="0"/>
              <w:rPr>
                <w:sz w:val="1"/>
                <w:szCs w:val="1"/>
                <w:color w:val="auto"/>
              </w:rPr>
            </w:pPr>
          </w:p>
        </w:tc>
      </w:tr>
      <w:tr>
        <w:trPr>
          <w:trHeight w:val="182"/>
        </w:trPr>
        <w:tc>
          <w:tcPr>
            <w:tcW w:w="190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5"/>
              </w:rPr>
              <w:t>Balance at September 30,</w:t>
            </w:r>
          </w:p>
        </w:tc>
        <w:tc>
          <w:tcPr>
            <w:tcW w:w="8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9"/>
              </w:rPr>
              <w:t>54,373,515</w:t>
            </w:r>
          </w:p>
        </w:tc>
        <w:tc>
          <w:tcPr>
            <w:tcW w:w="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9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5,086,812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vMerge w:val="restart"/>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601,431</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91,186</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8,312</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(57,920)</w:t>
            </w:r>
          </w:p>
        </w:tc>
        <w:tc>
          <w:tcPr>
            <w:tcW w:w="60" w:type="dxa"/>
            <w:vAlign w:val="bottom"/>
          </w:tcPr>
          <w:p>
            <w:pPr>
              <w:spacing w:after="0"/>
              <w:rPr>
                <w:sz w:val="15"/>
                <w:szCs w:val="15"/>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131,083</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774,098</w:t>
            </w:r>
          </w:p>
        </w:tc>
        <w:tc>
          <w:tcPr>
            <w:tcW w:w="0" w:type="dxa"/>
            <w:vAlign w:val="bottom"/>
          </w:tcPr>
          <w:p>
            <w:pPr>
              <w:spacing w:after="0"/>
              <w:rPr>
                <w:sz w:val="1"/>
                <w:szCs w:val="1"/>
                <w:color w:val="auto"/>
              </w:rPr>
            </w:pPr>
          </w:p>
        </w:tc>
      </w:tr>
      <w:tr>
        <w:trPr>
          <w:trHeight w:val="213"/>
        </w:trPr>
        <w:tc>
          <w:tcPr>
            <w:tcW w:w="1440" w:type="dxa"/>
            <w:vAlign w:val="bottom"/>
          </w:tcPr>
          <w:p>
            <w:pPr>
              <w:ind w:left="180"/>
              <w:spacing w:after="0"/>
              <w:rPr>
                <w:sz w:val="20"/>
                <w:szCs w:val="20"/>
                <w:color w:val="auto"/>
              </w:rPr>
            </w:pPr>
            <w:r>
              <w:rPr>
                <w:rFonts w:ascii="Arial" w:cs="Arial" w:eastAsia="Arial" w:hAnsi="Arial"/>
                <w:sz w:val="16"/>
                <w:szCs w:val="16"/>
                <w:b w:val="1"/>
                <w:bCs w:val="1"/>
                <w:color w:val="auto"/>
              </w:rPr>
              <w:t>2022</w:t>
            </w:r>
          </w:p>
        </w:tc>
        <w:tc>
          <w:tcPr>
            <w:tcW w:w="46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Borders>
              <w:top w:val="single" w:sz="8" w:color="auto"/>
              <w:bottom w:val="single" w:sz="8" w:color="auto"/>
            </w:tcBorders>
            <w:gridSpan w:val="2"/>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5"/>
        </w:trPr>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auto"/>
                <w:w w:val="92"/>
              </w:rPr>
              <w:t>Common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1380" w:type="dxa"/>
            <w:vAlign w:val="bottom"/>
            <w:gridSpan w:val="5"/>
          </w:tcPr>
          <w:p>
            <w:pPr>
              <w:jc w:val="center"/>
              <w:ind w:left="99"/>
              <w:spacing w:after="0"/>
              <w:rPr>
                <w:sz w:val="20"/>
                <w:szCs w:val="20"/>
                <w:color w:val="auto"/>
              </w:rPr>
            </w:pPr>
            <w:r>
              <w:rPr>
                <w:rFonts w:ascii="Arial" w:cs="Arial" w:eastAsia="Arial" w:hAnsi="Arial"/>
                <w:sz w:val="16"/>
                <w:szCs w:val="16"/>
                <w:b w:val="1"/>
                <w:bCs w:val="1"/>
                <w:color w:val="auto"/>
                <w:w w:val="89"/>
              </w:rPr>
              <w:t>Stock Class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Stock Class 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4"/>
            <w:vMerge w:val="restart"/>
          </w:tcPr>
          <w:p>
            <w:pPr>
              <w:jc w:val="center"/>
              <w:ind w:left="319"/>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5"/>
          </w:tcPr>
          <w:p>
            <w:pPr>
              <w:jc w:val="center"/>
              <w:ind w:left="59"/>
              <w:spacing w:after="0"/>
              <w:rPr>
                <w:sz w:val="20"/>
                <w:szCs w:val="20"/>
                <w:color w:val="auto"/>
              </w:rPr>
            </w:pPr>
            <w:r>
              <w:rPr>
                <w:rFonts w:ascii="Arial" w:cs="Arial" w:eastAsia="Arial" w:hAnsi="Arial"/>
                <w:sz w:val="16"/>
                <w:szCs w:val="16"/>
                <w:b w:val="1"/>
                <w:bCs w:val="1"/>
                <w:color w:val="auto"/>
                <w:w w:val="94"/>
              </w:rPr>
              <w:t>Additional</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6"/>
                <w:szCs w:val="16"/>
                <w:b w:val="1"/>
                <w:bCs w:val="1"/>
                <w:color w:val="auto"/>
              </w:rPr>
              <w:t>Statutory</w:t>
            </w:r>
          </w:p>
        </w:tc>
        <w:tc>
          <w:tcPr>
            <w:tcW w:w="700" w:type="dxa"/>
            <w:vAlign w:val="bottom"/>
          </w:tcPr>
          <w:p>
            <w:pPr>
              <w:spacing w:after="0"/>
              <w:rPr>
                <w:sz w:val="17"/>
                <w:szCs w:val="17"/>
                <w:color w:val="auto"/>
              </w:rPr>
            </w:pPr>
          </w:p>
        </w:tc>
        <w:tc>
          <w:tcPr>
            <w:tcW w:w="82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93"/>
              </w:rPr>
              <w:t>Other</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1"/>
              </w:rPr>
              <w:t>Paid-</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Retained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Surplus</w:t>
            </w:r>
          </w:p>
        </w:tc>
        <w:tc>
          <w:tcPr>
            <w:tcW w:w="1520" w:type="dxa"/>
            <w:vAlign w:val="bottom"/>
            <w:gridSpan w:val="4"/>
          </w:tcPr>
          <w:p>
            <w:pPr>
              <w:jc w:val="center"/>
              <w:ind w:left="319"/>
              <w:spacing w:after="0"/>
              <w:rPr>
                <w:sz w:val="20"/>
                <w:szCs w:val="20"/>
                <w:color w:val="auto"/>
              </w:rPr>
            </w:pPr>
            <w:r>
              <w:rPr>
                <w:rFonts w:ascii="Arial" w:cs="Arial" w:eastAsia="Arial" w:hAnsi="Arial"/>
                <w:sz w:val="16"/>
                <w:szCs w:val="16"/>
                <w:b w:val="1"/>
                <w:bCs w:val="1"/>
                <w:color w:val="auto"/>
                <w:w w:val="89"/>
              </w:rPr>
              <w:t>Comprehensive</w:t>
            </w:r>
          </w:p>
        </w:tc>
        <w:tc>
          <w:tcPr>
            <w:tcW w:w="146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6"/>
                <w:szCs w:val="16"/>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20"/>
                <w:szCs w:val="20"/>
                <w:color w:val="auto"/>
              </w:rPr>
            </w:pPr>
          </w:p>
        </w:tc>
        <w:tc>
          <w:tcPr>
            <w:tcW w:w="760" w:type="dxa"/>
            <w:vAlign w:val="bottom"/>
            <w:gridSpan w:val="4"/>
          </w:tcPr>
          <w:p>
            <w:pPr>
              <w:ind w:left="60"/>
              <w:spacing w:after="0"/>
              <w:rPr>
                <w:sz w:val="20"/>
                <w:szCs w:val="20"/>
                <w:color w:val="auto"/>
              </w:rPr>
            </w:pPr>
            <w:r>
              <w:rPr>
                <w:rFonts w:ascii="Arial" w:cs="Arial" w:eastAsia="Arial" w:hAnsi="Arial"/>
                <w:sz w:val="16"/>
                <w:szCs w:val="16"/>
                <w:b w:val="1"/>
                <w:bCs w:val="1"/>
                <w:color w:val="auto"/>
              </w:rPr>
              <w:t>Amount</w:t>
            </w:r>
          </w:p>
        </w:tc>
        <w:tc>
          <w:tcPr>
            <w:tcW w:w="74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20"/>
                <w:szCs w:val="20"/>
                <w:color w:val="auto"/>
              </w:rPr>
            </w:pPr>
          </w:p>
        </w:tc>
        <w:tc>
          <w:tcPr>
            <w:tcW w:w="880" w:type="dxa"/>
            <w:vAlign w:val="bottom"/>
            <w:gridSpan w:val="5"/>
          </w:tcPr>
          <w:p>
            <w:pPr>
              <w:jc w:val="center"/>
              <w:ind w:left="39"/>
              <w:spacing w:after="0"/>
              <w:rPr>
                <w:sz w:val="20"/>
                <w:szCs w:val="20"/>
                <w:color w:val="auto"/>
              </w:rPr>
            </w:pPr>
            <w:r>
              <w:rPr>
                <w:rFonts w:ascii="Arial" w:cs="Arial" w:eastAsia="Arial" w:hAnsi="Arial"/>
                <w:sz w:val="16"/>
                <w:szCs w:val="16"/>
                <w:b w:val="1"/>
                <w:bCs w:val="1"/>
                <w:color w:val="auto"/>
                <w:w w:val="94"/>
              </w:rPr>
              <w:t>in Capital</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b w:val="1"/>
                <w:bCs w:val="1"/>
                <w:color w:val="auto"/>
                <w:w w:val="86"/>
              </w:rPr>
              <w:t>Reserve</w:t>
            </w:r>
          </w:p>
        </w:tc>
        <w:tc>
          <w:tcPr>
            <w:tcW w:w="1520" w:type="dxa"/>
            <w:vAlign w:val="bottom"/>
            <w:gridSpan w:val="4"/>
          </w:tcPr>
          <w:p>
            <w:pPr>
              <w:jc w:val="center"/>
              <w:ind w:left="319"/>
              <w:spacing w:after="0"/>
              <w:rPr>
                <w:sz w:val="20"/>
                <w:szCs w:val="20"/>
                <w:color w:val="auto"/>
              </w:rPr>
            </w:pPr>
            <w:r>
              <w:rPr>
                <w:rFonts w:ascii="Arial" w:cs="Arial" w:eastAsia="Arial" w:hAnsi="Arial"/>
                <w:sz w:val="16"/>
                <w:szCs w:val="16"/>
                <w:b w:val="1"/>
                <w:bCs w:val="1"/>
                <w:color w:val="auto"/>
                <w:w w:val="88"/>
              </w:rPr>
              <w:t>Income (Loss)</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4"/>
              </w:rPr>
              <w:t>Balance at June 30,</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54,951,490</w:t>
            </w:r>
          </w:p>
        </w:tc>
        <w:tc>
          <w:tcPr>
            <w:tcW w:w="50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CCEEFF"/>
          </w:tcPr>
          <w:p>
            <w:pPr>
              <w:spacing w:after="0"/>
              <w:rPr>
                <w:sz w:val="21"/>
                <w:szCs w:val="21"/>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5,021,811</w:t>
            </w:r>
          </w:p>
        </w:tc>
        <w:tc>
          <w:tcPr>
            <w:tcW w:w="62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608,865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$ 126,627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16,881</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(61,916)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141,312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831,775</w:t>
            </w:r>
          </w:p>
        </w:tc>
        <w:tc>
          <w:tcPr>
            <w:tcW w:w="0" w:type="dxa"/>
            <w:vAlign w:val="bottom"/>
          </w:tcPr>
          <w:p>
            <w:pPr>
              <w:spacing w:after="0"/>
              <w:rPr>
                <w:sz w:val="1"/>
                <w:szCs w:val="1"/>
                <w:color w:val="auto"/>
              </w:rPr>
            </w:pPr>
          </w:p>
        </w:tc>
      </w:tr>
      <w:tr>
        <w:trPr>
          <w:trHeight w:val="233"/>
        </w:trPr>
        <w:tc>
          <w:tcPr>
            <w:tcW w:w="1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25,679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5,315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30,994</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translation</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w:t>
            </w:r>
          </w:p>
        </w:tc>
        <w:tc>
          <w:tcPr>
            <w:tcW w:w="0" w:type="dxa"/>
            <w:vAlign w:val="bottom"/>
          </w:tcPr>
          <w:p>
            <w:pPr>
              <w:spacing w:after="0"/>
              <w:rPr>
                <w:sz w:val="1"/>
                <w:szCs w:val="1"/>
                <w:color w:val="auto"/>
              </w:rPr>
            </w:pPr>
          </w:p>
        </w:tc>
      </w:tr>
      <w:tr>
        <w:trPr>
          <w:trHeight w:val="206"/>
        </w:trPr>
        <w:tc>
          <w:tcPr>
            <w:tcW w:w="1440" w:type="dxa"/>
            <w:vAlign w:val="bottom"/>
          </w:tcPr>
          <w:p>
            <w:pPr>
              <w:ind w:left="20"/>
              <w:spacing w:after="0"/>
              <w:rPr>
                <w:sz w:val="20"/>
                <w:szCs w:val="20"/>
                <w:color w:val="auto"/>
              </w:rPr>
            </w:pPr>
            <w:r>
              <w:rPr>
                <w:rFonts w:ascii="Arial" w:cs="Arial" w:eastAsia="Arial" w:hAnsi="Arial"/>
                <w:sz w:val="16"/>
                <w:szCs w:val="16"/>
                <w:color w:val="auto"/>
              </w:rPr>
              <w:t>Exercise of stock</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6"/>
                <w:szCs w:val="16"/>
                <w:color w:val="auto"/>
              </w:rPr>
              <w:t>options</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623,244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w w:val="82"/>
              </w:rPr>
              <w:t>764</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w:t>
            </w:r>
          </w:p>
        </w:tc>
        <w:tc>
          <w:tcPr>
            <w:tcW w:w="4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10,581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10,581</w:t>
            </w:r>
          </w:p>
        </w:tc>
        <w:tc>
          <w:tcPr>
            <w:tcW w:w="0" w:type="dxa"/>
            <w:vAlign w:val="bottom"/>
          </w:tcPr>
          <w:p>
            <w:pPr>
              <w:spacing w:after="0"/>
              <w:rPr>
                <w:sz w:val="1"/>
                <w:szCs w:val="1"/>
                <w:color w:val="auto"/>
              </w:rPr>
            </w:pPr>
          </w:p>
        </w:tc>
      </w:tr>
      <w:tr>
        <w:trPr>
          <w:trHeight w:val="182"/>
        </w:trPr>
        <w:tc>
          <w:tcPr>
            <w:tcW w:w="144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Balance at</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40" w:type="dxa"/>
            <w:vAlign w:val="bottom"/>
          </w:tcPr>
          <w:p>
            <w:pPr>
              <w:ind w:left="180"/>
              <w:spacing w:after="0"/>
              <w:rPr>
                <w:sz w:val="20"/>
                <w:szCs w:val="20"/>
                <w:color w:val="auto"/>
              </w:rPr>
            </w:pPr>
            <w:r>
              <w:rPr>
                <w:rFonts w:ascii="Arial" w:cs="Arial" w:eastAsia="Arial" w:hAnsi="Arial"/>
                <w:sz w:val="16"/>
                <w:szCs w:val="16"/>
                <w:b w:val="1"/>
                <w:bCs w:val="1"/>
                <w:color w:val="auto"/>
              </w:rPr>
              <w:t>September 30,</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55,574,734</w:t>
            </w:r>
          </w:p>
        </w:tc>
        <w:tc>
          <w:tcPr>
            <w:tcW w:w="500" w:type="dxa"/>
            <w:vAlign w:val="bottom"/>
            <w:gridSpan w:val="2"/>
            <w:vMerge w:val="restart"/>
          </w:tcPr>
          <w:p>
            <w:pPr>
              <w:jc w:val="right"/>
              <w:ind w:right="23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Pr>
          <w:p>
            <w:pPr>
              <w:spacing w:after="0"/>
              <w:rPr>
                <w:sz w:val="17"/>
                <w:szCs w:val="17"/>
                <w:color w:val="auto"/>
              </w:rPr>
            </w:pPr>
          </w:p>
        </w:tc>
        <w:tc>
          <w:tcPr>
            <w:tcW w:w="74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5,021,811</w:t>
            </w:r>
          </w:p>
        </w:tc>
        <w:tc>
          <w:tcPr>
            <w:tcW w:w="620" w:type="dxa"/>
            <w:vAlign w:val="bottom"/>
            <w:gridSpan w:val="2"/>
            <w:vMerge w:val="restart"/>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89"/>
              </w:rPr>
              <w:t>1</w:t>
            </w:r>
          </w:p>
        </w:tc>
        <w:tc>
          <w:tcPr>
            <w:tcW w:w="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4"/>
            <w:vMerge w:val="restart"/>
          </w:tcPr>
          <w:p>
            <w:pPr>
              <w:jc w:val="right"/>
              <w:ind w:right="20"/>
              <w:spacing w:after="0"/>
              <w:rPr>
                <w:sz w:val="20"/>
                <w:szCs w:val="20"/>
                <w:color w:val="auto"/>
              </w:rPr>
            </w:pPr>
            <w:r>
              <w:rPr>
                <w:rFonts w:ascii="Arial" w:cs="Arial" w:eastAsia="Arial" w:hAnsi="Arial"/>
                <w:sz w:val="16"/>
                <w:szCs w:val="16"/>
                <w:b w:val="1"/>
                <w:bCs w:val="1"/>
                <w:color w:val="auto"/>
              </w:rPr>
              <w:t>620,210</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$ 152,306</w:t>
            </w:r>
          </w:p>
        </w:tc>
        <w:tc>
          <w:tcPr>
            <w:tcW w:w="4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 $</w:t>
            </w:r>
          </w:p>
        </w:tc>
        <w:tc>
          <w:tcPr>
            <w:tcW w:w="6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16,881</w:t>
            </w:r>
          </w:p>
        </w:tc>
        <w:tc>
          <w:tcPr>
            <w:tcW w:w="7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(60,354)</w:t>
            </w:r>
          </w:p>
        </w:tc>
        <w:tc>
          <w:tcPr>
            <w:tcW w:w="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149,080 $— $</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878,130</w:t>
            </w:r>
          </w:p>
        </w:tc>
        <w:tc>
          <w:tcPr>
            <w:tcW w:w="0" w:type="dxa"/>
            <w:vAlign w:val="bottom"/>
          </w:tcPr>
          <w:p>
            <w:pPr>
              <w:spacing w:after="0"/>
              <w:rPr>
                <w:sz w:val="1"/>
                <w:szCs w:val="1"/>
                <w:color w:val="auto"/>
              </w:rPr>
            </w:pPr>
          </w:p>
        </w:tc>
      </w:tr>
      <w:tr>
        <w:trPr>
          <w:trHeight w:val="203"/>
        </w:trPr>
        <w:tc>
          <w:tcPr>
            <w:tcW w:w="1440" w:type="dxa"/>
            <w:vAlign w:val="bottom"/>
          </w:tcPr>
          <w:p>
            <w:pPr>
              <w:ind w:left="180"/>
              <w:spacing w:after="0"/>
              <w:rPr>
                <w:sz w:val="20"/>
                <w:szCs w:val="20"/>
                <w:color w:val="auto"/>
              </w:rPr>
            </w:pPr>
            <w:r>
              <w:rPr>
                <w:rFonts w:ascii="Arial" w:cs="Arial" w:eastAsia="Arial" w:hAnsi="Arial"/>
                <w:sz w:val="16"/>
                <w:szCs w:val="16"/>
                <w:b w:val="1"/>
                <w:bCs w:val="1"/>
                <w:color w:val="auto"/>
              </w:rPr>
              <w:t>2023</w:t>
            </w:r>
          </w:p>
        </w:tc>
        <w:tc>
          <w:tcPr>
            <w:tcW w:w="800" w:type="dxa"/>
            <w:vAlign w:val="bottom"/>
            <w:gridSpan w:val="2"/>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4"/>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620" w:type="dxa"/>
            <w:vAlign w:val="bottom"/>
            <w:gridSpan w:val="4"/>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80" w:type="dxa"/>
            <w:vAlign w:val="bottom"/>
            <w:gridSpan w:val="3"/>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93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6" w:right="1440" w:bottom="1440" w:gutter="0" w:footer="0" w:header="0"/>
        </w:sectPr>
      </w:pPr>
    </w:p>
    <w:bookmarkStart w:id="9" w:name="page10"/>
    <w:bookmarkEnd w:id="9"/>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73,554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36,381</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Adjustments to reconcile net income from operations to 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Non-cash operating lease cost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2,133</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Gain on disposals of property, plant and equipment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gain on 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(1,652)</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Inventory provision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1,739</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credit losses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5,036</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changes in operating assets and 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(96,840)</w:t>
            </w: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(1,309)</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(133,776)</w:t>
            </w: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Advances to related party (note 16)</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Related party accounts payable (note 16)</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10,155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Advances from customers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88,888</w:t>
            </w: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1,731</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8,337</w:t>
            </w: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FIN-48 payable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payables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13,755</w:t>
            </w: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(3,892)</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flow used in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(61,397)</w:t>
            </w:r>
          </w:p>
        </w:tc>
      </w:tr>
      <w:tr>
        <w:trPr>
          <w:trHeight w:val="250"/>
        </w:trPr>
        <w:tc>
          <w:tcPr>
            <w:tcW w:w="67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(20,550)</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Purchase of long-term investments (note 14)</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(5,196)</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equity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Purchase of time deposits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(136,576)</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maturity of time deposits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selling short-term investments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from long-term investments (note 14)</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740" w:type="dxa"/>
            <w:vAlign w:val="bottom"/>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(158,913)</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short-term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50,688</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Repayments of short-term borrowings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(13,694)</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long-term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Repayments of long-term borrowings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ACM Shanghai dividends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6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36,436</w:t>
            </w:r>
          </w:p>
        </w:tc>
      </w:tr>
      <w:tr>
        <w:trPr>
          <w:trHeight w:val="250"/>
        </w:trPr>
        <w:tc>
          <w:tcPr>
            <w:tcW w:w="67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185"/>
        </w:trPr>
        <w:tc>
          <w:tcPr>
            <w:tcW w:w="674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b w:val="1"/>
                <w:bCs w:val="1"/>
                <w:color w:val="auto"/>
              </w:rPr>
              <w:t>Effect of exchange rate changes on cash cash equivalents and restricted cash</w:t>
            </w:r>
          </w:p>
        </w:tc>
        <w:tc>
          <w:tcPr>
            <w:tcW w:w="180" w:type="dxa"/>
            <w:vAlign w:val="bottom"/>
            <w:shd w:val="clear" w:color="auto" w:fill="CCEEFF"/>
          </w:tcPr>
          <w:p>
            <w:pPr>
              <w:jc w:val="right"/>
              <w:spacing w:after="0" w:line="164"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line="164" w:lineRule="exact"/>
              <w:rPr>
                <w:sz w:val="20"/>
                <w:szCs w:val="20"/>
                <w:color w:val="auto"/>
              </w:rPr>
            </w:pPr>
            <w:r>
              <w:rPr>
                <w:rFonts w:ascii="Arial" w:cs="Arial" w:eastAsia="Arial" w:hAnsi="Arial"/>
                <w:sz w:val="18"/>
                <w:szCs w:val="18"/>
                <w:color w:val="auto"/>
              </w:rPr>
              <w:t>(3,545)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70"/>
              <w:spacing w:after="0" w:line="164"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64" w:lineRule="exact"/>
              <w:rPr>
                <w:sz w:val="20"/>
                <w:szCs w:val="20"/>
                <w:color w:val="auto"/>
              </w:rPr>
            </w:pPr>
            <w:r>
              <w:rPr>
                <w:rFonts w:ascii="Arial" w:cs="Arial" w:eastAsia="Arial" w:hAnsi="Arial"/>
                <w:sz w:val="18"/>
                <w:szCs w:val="18"/>
                <w:color w:val="auto"/>
              </w:rPr>
              <w:t>(42,551)</w:t>
            </w:r>
          </w:p>
        </w:tc>
      </w:tr>
    </w:tbl>
    <w:p>
      <w:pPr>
        <w:sectPr>
          <w:pgSz w:w="11900" w:h="16900" w:orient="portrait"/>
          <w:cols w:equalWidth="0" w:num="1">
            <w:col w:w="10139"/>
          </w:cols>
          <w:pgMar w:left="320" w:top="296" w:right="1440" w:bottom="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09360" cy="77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9360" cy="774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(40,790)</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(226,425)</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248,451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563,067</w:t>
            </w: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207,661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336,642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6740" w:type="dxa"/>
            <w:vAlign w:val="bottom"/>
          </w:tcPr>
          <w:p>
            <w:pPr>
              <w:ind w:left="360"/>
              <w:spacing w:after="0"/>
              <w:rPr>
                <w:sz w:val="20"/>
                <w:szCs w:val="20"/>
                <w:color w:val="auto"/>
              </w:rPr>
            </w:pPr>
            <w:r>
              <w:rPr>
                <w:rFonts w:ascii="Arial" w:cs="Arial" w:eastAsia="Arial" w:hAnsi="Arial"/>
                <w:sz w:val="18"/>
                <w:szCs w:val="18"/>
                <w:color w:val="auto"/>
              </w:rPr>
              <w:t>Interest paid, net of capitalized interest</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3"/>
                <w:szCs w:val="23"/>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9"/>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Reconciliation of cash, cash equivalents and restricted cash in condensed consolidated</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statements of cash flows:</w:t>
            </w: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207,101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336,275</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207,661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336,642</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of Class B common stock to Class A common stock</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Cashless exercise of stock options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Non-cash investing activities: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 from inventory to property, plant and equipment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w w:val="98"/>
              </w:rPr>
              <w:t>Purchase property, plant and equipment through accounts payable and other payable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27,388</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 of prepayment for property to property, plant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41,497</w:t>
            </w:r>
          </w:p>
        </w:tc>
      </w:tr>
      <w:tr>
        <w:trPr>
          <w:trHeight w:val="20"/>
        </w:trPr>
        <w:tc>
          <w:tcPr>
            <w:tcW w:w="6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83" w:lineRule="exact"/>
        <w:rPr>
          <w:sz w:val="20"/>
          <w:szCs w:val="20"/>
          <w:color w:val="auto"/>
        </w:rPr>
      </w:pPr>
    </w:p>
    <w:p>
      <w:pPr>
        <w:ind w:left="2060"/>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4"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ACM Research, Inc. (“ACM” or “ACM Research”) and its subsidiaries (collectively with ACM, the “Company”) develop, manufacture and sell single-wafer wet-cleaning equipment used to improve the manufacturing process and yield for advanced integrated chips. The Company markets and sells its single-wafer wet-cleaning equipment, under the brand name "Ultra C," which are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2006, the Company established its operational center in Shanghai in the People’s Republic of China (“mainland China”), where it operates through ACM’s subsidiary, ACM Research (Shanghai), Inc. (“ACM Shanghai”). ACM Shanghai was formed to help establish and build relationships with integrated circuit manufacturers in mainland China, and the Company initially financed its Shanghai operations in part through sales of non-controlling equity interests in ACM Shanghai.</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the Company introduced in March 2019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In 2022, the Company added two major new product categories with the introduction of the Ultra Pmax™ PECVD and Ultra Track tools. The Company also offers a range of custom-made equipment, including cleaners, coaters and developers, to back-end wafer assembly and packaging factories, principally in mainland China.</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2011, ACM Shanghai formed a wholly-owned subsidiary in mainland China, ACM Research (Wuxi), Inc. (“ACM Wuxi”), to manage sales and service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2016, ACM re-domesticated from California to Delaware pursuant to a merger in which ACM Research, Inc., a California corporation, was merged into a newly formed, wholly-owned Delaware subsidiary, also named ACM Research, Inc.</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2017, ACM formed a wholly-owned subsidiary in Hong Kong, CleanChip Technologies Limited (“CleanChip”), to act on the Company’s behalf in Asian markets outside mainland China by, for example, serving as a trading partner between ACM Shanghai and its customers, procuring raw materials and components, performing sales and marketing activities, and making strategic investments.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2017, ACM purchased 18.77% of ACM Shanghai’s equity interests held by Shanghai Science and Technology Venture Capital Co., Ltd. On November 8, 2017, ACM purchased the remaining 18.36% of ACM Shanghai’s equity interests held by third parties, Shanghai Pudong High-Tech Investment Co., Ltd. and Shanghai Zhangjiang Science &amp; Technology Venture Capital Co., Ltd. At December 31, 2017, ACM owned all of the outstanding equity interests of ACM Shanghai, and indirectly through ACM Shanghai, owned all of the outstanding equity interests of ACM Wuxi.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2017, ACM formed a wholly-owned subsidiary in the Republic of Korea (“Korea”), ACM Research Korea CO., LTD. (“ACM Korea”), to serve customers based in Korea and perform sales and marketing and research and development (“R&amp;D”) activities for new products and solutions.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2019, ACM Shanghai formed a wholly-owned subsidiary in mainland China, ACM Research (Lingang), Inc. ("ACM Lingang") to manage activities related to the addition of future long-term production capacity. ACM Lingang is the English name referred to by its Chinese language name Shengwei Research (Shanghai), Inc. ("ACM Shengwei") in prior filings. ACM Shengwei and ACM Lingang refer to the same entity.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2019, CleanChip formed a wholly-owned subsidiary in California, ACM Research (CA), Inc. (“ACM California”), to provide procurement services on behalf of ACM Shanghai. In June 2019, ACM Korea was reorganized as a wholly-owned subsidiary of CleanChip.</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2019, ACM announced plans to complete a listing (the “STAR Listing”) of shares of ACM Shanghai on the Shanghai Stock Exchange’s Sci-Tech Innovation Board, known as the STAR Market, and a concurrent initial public offering (the “STAR IPO”) of ACM Shanghai shares in mainland China. ACM Shanghai is currently ACM’s primary operating subsidiary, and at the time of announcement, was wholly-owned by ACM. To meet a STAR Listing requirement that it have multiple independent stockholders in mainland China,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August 2021, ACM formed a wholly-owned subsidiary in Singapore, ACM Research (Singapore) PTE, Ltd. </w:t>
      </w:r>
      <w:r>
        <w:rPr>
          <w:rFonts w:ascii="Arial" w:cs="Arial" w:eastAsia="Arial" w:hAnsi="Arial"/>
          <w:sz w:val="17"/>
          <w:szCs w:val="17"/>
          <w:color w:val="auto"/>
        </w:rPr>
        <w:t>(“ACM Singapore”)</w:t>
      </w:r>
      <w:r>
        <w:rPr>
          <w:rFonts w:ascii="Arial" w:cs="Arial" w:eastAsia="Arial" w:hAnsi="Arial"/>
          <w:sz w:val="18"/>
          <w:szCs w:val="18"/>
          <w:color w:val="auto"/>
        </w:rPr>
        <w:t>, to perform sales, marketing, and other business development activities.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2021, ACM Shanghai completed its STAR Listing and STAR IPO and its shares began trading on the STAR Market. In the STAR IPO, ACM Shanghai issued 43,355,753 shares, representing 10% of the total 433,557,100 shares outstanding after the issuance. The shares were issued at a public offering price of RMB 85.00 per share, and the net proceeds of the STAR IPO, after issuance costs, totaled $545,512. Upon completion of the STAR IPO, ACM owned 82.5% of the outstanding ACM Shanghai shares. However, in May 2023, ACM's ownership declined to 82.1% due to the exercise of 2,150,309 stock options related to ACM Shanghai shares (note 18).</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2022, ACM Shanghai formed a wholly-owned subsidiary in mainland China, ACM Research (Beijing), Inc. (“ACM Beijing”) to perform sales, marketing and other business development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March 2022, ACM formed a wholly-owned subsidiary in Korea, Hanguk ACM CO., LTD, to perform business development and other related activities.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2022, the Board of Directors of ACM declared a 3-for-1 stock split of Class A and Class B common stock effected in the form of a stock dividend (the “Stock Split”). Each stockholder of record at the close of business on March 16, 2022, received a dividend of two additional shares of Class A common stock for each then-held share of Class A common stock and two additional shares of Class B common stock for each then-held share of Class B common stock, which were distributed after the close of trading on March 23, 2022. Unless otherwise indicated, all share numbers, per share amount, share prices, exercise prices and conversion rates set forth in these notes and the accompanying condensed consolidated financial statements reflect the Stock Split</w:t>
      </w:r>
      <w:r>
        <w:rPr>
          <w:rFonts w:ascii="Arial" w:cs="Arial" w:eastAsia="Arial" w:hAnsi="Arial"/>
          <w:sz w:val="17"/>
          <w:szCs w:val="17"/>
          <w:color w:val="auto"/>
        </w:rPr>
        <w: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2023, ACM Shanghai formed a wholly-owned subsidiary in mainland China, Yusheng Micro Semiconductor (Shanghai), Co., Ltd, ("Yusheng Micro") to perform business development activities.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2023, Yusheng Micro together with Wooil Flucon Co. (note 14) and a private investor established ACM-Wooil Microelectronics (Shanghai) Co., Ltd, ("ACM-Wooil"), a partially owned subsidiary based in mainland China to develop and produce key components for the semiconductor equipment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direct or indirect interests in the following subsidiaries: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8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Effective interest held as at</w:t>
            </w:r>
          </w:p>
        </w:tc>
      </w:tr>
      <w:tr>
        <w:trPr>
          <w:trHeight w:val="252"/>
        </w:trPr>
        <w:tc>
          <w:tcPr>
            <w:tcW w:w="39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400" w:type="dxa"/>
            <w:vAlign w:val="bottom"/>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Name of subsidiaries</w:t>
            </w:r>
          </w:p>
        </w:tc>
        <w:tc>
          <w:tcPr>
            <w:tcW w:w="3440" w:type="dxa"/>
            <w:vAlign w:val="bottom"/>
          </w:tcPr>
          <w:p>
            <w:pPr>
              <w:ind w:left="160"/>
              <w:spacing w:after="0"/>
              <w:rPr>
                <w:sz w:val="20"/>
                <w:szCs w:val="20"/>
                <w:color w:val="auto"/>
              </w:rPr>
            </w:pPr>
            <w:r>
              <w:rPr>
                <w:rFonts w:ascii="Arial" w:cs="Arial" w:eastAsia="Arial" w:hAnsi="Arial"/>
                <w:sz w:val="18"/>
                <w:szCs w:val="18"/>
                <w:b w:val="1"/>
                <w:bCs w:val="1"/>
                <w:color w:val="auto"/>
              </w:rPr>
              <w:t>Place and date of incorporation</w:t>
            </w:r>
          </w:p>
        </w:tc>
        <w:tc>
          <w:tcPr>
            <w:tcW w:w="24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7"/>
        </w:trPr>
        <w:tc>
          <w:tcPr>
            <w:tcW w:w="39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ACM Research (Shanghai), Inc.</w:t>
            </w: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Mainland China, May 2005</w:t>
            </w:r>
          </w:p>
        </w:tc>
        <w:tc>
          <w:tcPr>
            <w:tcW w:w="2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82.1 %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82.5 %</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ACM Research (Wuxi), Inc.</w:t>
            </w:r>
          </w:p>
        </w:tc>
        <w:tc>
          <w:tcPr>
            <w:tcW w:w="3440" w:type="dxa"/>
            <w:vAlign w:val="bottom"/>
          </w:tcPr>
          <w:p>
            <w:pPr>
              <w:ind w:left="160"/>
              <w:spacing w:after="0"/>
              <w:rPr>
                <w:sz w:val="20"/>
                <w:szCs w:val="20"/>
                <w:color w:val="auto"/>
              </w:rPr>
            </w:pPr>
            <w:r>
              <w:rPr>
                <w:rFonts w:ascii="Arial" w:cs="Arial" w:eastAsia="Arial" w:hAnsi="Arial"/>
                <w:sz w:val="18"/>
                <w:szCs w:val="18"/>
                <w:color w:val="auto"/>
              </w:rPr>
              <w:t>Mainland China, July 2011</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82.1 %</w:t>
            </w:r>
          </w:p>
        </w:tc>
        <w:tc>
          <w:tcPr>
            <w:tcW w:w="1480" w:type="dxa"/>
            <w:vAlign w:val="bottom"/>
          </w:tcPr>
          <w:p>
            <w:pPr>
              <w:jc w:val="right"/>
              <w:spacing w:after="0"/>
              <w:rPr>
                <w:sz w:val="20"/>
                <w:szCs w:val="20"/>
                <w:color w:val="auto"/>
              </w:rPr>
            </w:pPr>
            <w:r>
              <w:rPr>
                <w:rFonts w:ascii="Arial" w:cs="Arial" w:eastAsia="Arial" w:hAnsi="Arial"/>
                <w:sz w:val="18"/>
                <w:szCs w:val="18"/>
                <w:color w:val="auto"/>
              </w:rPr>
              <w:t>82.5 %</w:t>
            </w:r>
          </w:p>
        </w:tc>
      </w:tr>
      <w:tr>
        <w:trPr>
          <w:trHeight w:val="27"/>
        </w:trPr>
        <w:tc>
          <w:tcPr>
            <w:tcW w:w="3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CleanChip Technologies Limited</w:t>
            </w: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Hong Kong, June 2017</w:t>
            </w:r>
          </w:p>
        </w:tc>
        <w:tc>
          <w:tcPr>
            <w:tcW w:w="2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82.1 %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82.5 %</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ACM Research Korea CO., LTD.</w:t>
            </w:r>
          </w:p>
        </w:tc>
        <w:tc>
          <w:tcPr>
            <w:tcW w:w="3440" w:type="dxa"/>
            <w:vAlign w:val="bottom"/>
          </w:tcPr>
          <w:p>
            <w:pPr>
              <w:ind w:left="160"/>
              <w:spacing w:after="0"/>
              <w:rPr>
                <w:sz w:val="20"/>
                <w:szCs w:val="20"/>
                <w:color w:val="auto"/>
              </w:rPr>
            </w:pPr>
            <w:r>
              <w:rPr>
                <w:rFonts w:ascii="Arial" w:cs="Arial" w:eastAsia="Arial" w:hAnsi="Arial"/>
                <w:sz w:val="18"/>
                <w:szCs w:val="18"/>
                <w:color w:val="auto"/>
              </w:rPr>
              <w:t>Korea, December 2017</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82.1 %</w:t>
            </w:r>
          </w:p>
        </w:tc>
        <w:tc>
          <w:tcPr>
            <w:tcW w:w="1480" w:type="dxa"/>
            <w:vAlign w:val="bottom"/>
          </w:tcPr>
          <w:p>
            <w:pPr>
              <w:jc w:val="right"/>
              <w:spacing w:after="0"/>
              <w:rPr>
                <w:sz w:val="20"/>
                <w:szCs w:val="20"/>
                <w:color w:val="auto"/>
              </w:rPr>
            </w:pPr>
            <w:r>
              <w:rPr>
                <w:rFonts w:ascii="Arial" w:cs="Arial" w:eastAsia="Arial" w:hAnsi="Arial"/>
                <w:sz w:val="18"/>
                <w:szCs w:val="18"/>
                <w:color w:val="auto"/>
              </w:rPr>
              <w:t>82.5 %</w:t>
            </w:r>
          </w:p>
        </w:tc>
      </w:tr>
      <w:tr>
        <w:trPr>
          <w:trHeight w:val="27"/>
        </w:trPr>
        <w:tc>
          <w:tcPr>
            <w:tcW w:w="3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ACM Research (Lingang), Inc. (1)</w:t>
            </w: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Mainland China, March 2019</w:t>
            </w:r>
          </w:p>
        </w:tc>
        <w:tc>
          <w:tcPr>
            <w:tcW w:w="2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82.1 %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82.5 %</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ACM Research (CA), Inc.</w:t>
            </w:r>
          </w:p>
        </w:tc>
        <w:tc>
          <w:tcPr>
            <w:tcW w:w="3440" w:type="dxa"/>
            <w:vAlign w:val="bottom"/>
          </w:tcPr>
          <w:p>
            <w:pPr>
              <w:ind w:left="160"/>
              <w:spacing w:after="0"/>
              <w:rPr>
                <w:sz w:val="20"/>
                <w:szCs w:val="20"/>
                <w:color w:val="auto"/>
              </w:rPr>
            </w:pPr>
            <w:r>
              <w:rPr>
                <w:rFonts w:ascii="Arial" w:cs="Arial" w:eastAsia="Arial" w:hAnsi="Arial"/>
                <w:sz w:val="18"/>
                <w:szCs w:val="18"/>
                <w:color w:val="auto"/>
              </w:rPr>
              <w:t>USA, April 2019</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82.1 %</w:t>
            </w:r>
          </w:p>
        </w:tc>
        <w:tc>
          <w:tcPr>
            <w:tcW w:w="1480" w:type="dxa"/>
            <w:vAlign w:val="bottom"/>
          </w:tcPr>
          <w:p>
            <w:pPr>
              <w:jc w:val="right"/>
              <w:spacing w:after="0"/>
              <w:rPr>
                <w:sz w:val="20"/>
                <w:szCs w:val="20"/>
                <w:color w:val="auto"/>
              </w:rPr>
            </w:pPr>
            <w:r>
              <w:rPr>
                <w:rFonts w:ascii="Arial" w:cs="Arial" w:eastAsia="Arial" w:hAnsi="Arial"/>
                <w:sz w:val="18"/>
                <w:szCs w:val="18"/>
                <w:color w:val="auto"/>
              </w:rPr>
              <w:t>82.5 %</w:t>
            </w:r>
          </w:p>
        </w:tc>
      </w:tr>
      <w:tr>
        <w:trPr>
          <w:trHeight w:val="27"/>
        </w:trPr>
        <w:tc>
          <w:tcPr>
            <w:tcW w:w="3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ACM Research (Cayman), Inc.</w:t>
            </w: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Cayman Islands, April 2019</w:t>
            </w:r>
          </w:p>
        </w:tc>
        <w:tc>
          <w:tcPr>
            <w:tcW w:w="2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100.0 %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ACM Research (Singapore) PTE. Ltd.</w:t>
            </w:r>
          </w:p>
        </w:tc>
        <w:tc>
          <w:tcPr>
            <w:tcW w:w="3440" w:type="dxa"/>
            <w:vAlign w:val="bottom"/>
          </w:tcPr>
          <w:p>
            <w:pPr>
              <w:ind w:left="160"/>
              <w:spacing w:after="0"/>
              <w:rPr>
                <w:sz w:val="20"/>
                <w:szCs w:val="20"/>
                <w:color w:val="auto"/>
              </w:rPr>
            </w:pPr>
            <w:r>
              <w:rPr>
                <w:rFonts w:ascii="Arial" w:cs="Arial" w:eastAsia="Arial" w:hAnsi="Arial"/>
                <w:sz w:val="18"/>
                <w:szCs w:val="18"/>
                <w:color w:val="auto"/>
              </w:rPr>
              <w:t>Singapore, August 2021</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100.0 %</w:t>
            </w: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3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ACM Research (Beijing), Inc.</w:t>
            </w: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Mainland China,, February 2022</w:t>
            </w:r>
          </w:p>
        </w:tc>
        <w:tc>
          <w:tcPr>
            <w:tcW w:w="2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82.1 %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82.5 %</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Hanguk ACM CO., LTD.</w:t>
            </w:r>
          </w:p>
        </w:tc>
        <w:tc>
          <w:tcPr>
            <w:tcW w:w="3440" w:type="dxa"/>
            <w:vAlign w:val="bottom"/>
          </w:tcPr>
          <w:p>
            <w:pPr>
              <w:ind w:left="160"/>
              <w:spacing w:after="0"/>
              <w:rPr>
                <w:sz w:val="20"/>
                <w:szCs w:val="20"/>
                <w:color w:val="auto"/>
              </w:rPr>
            </w:pPr>
            <w:r>
              <w:rPr>
                <w:rFonts w:ascii="Arial" w:cs="Arial" w:eastAsia="Arial" w:hAnsi="Arial"/>
                <w:sz w:val="18"/>
                <w:szCs w:val="18"/>
                <w:color w:val="auto"/>
              </w:rPr>
              <w:t>Korea, March 2022</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100.0 %</w:t>
            </w: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3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Yusheng Micro Semiconductor (Shanghai) Co., Ltd</w:t>
            </w: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Mainland China, June 2023</w:t>
            </w:r>
          </w:p>
        </w:tc>
        <w:tc>
          <w:tcPr>
            <w:tcW w:w="2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82.1 %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ACM-Wooil Microelectronics (Shanghai) Co., Ltd</w:t>
            </w:r>
          </w:p>
        </w:tc>
        <w:tc>
          <w:tcPr>
            <w:tcW w:w="3440" w:type="dxa"/>
            <w:vAlign w:val="bottom"/>
          </w:tcPr>
          <w:p>
            <w:pPr>
              <w:ind w:left="160"/>
              <w:spacing w:after="0"/>
              <w:rPr>
                <w:sz w:val="20"/>
                <w:szCs w:val="20"/>
                <w:color w:val="auto"/>
              </w:rPr>
            </w:pPr>
            <w:r>
              <w:rPr>
                <w:rFonts w:ascii="Arial" w:cs="Arial" w:eastAsia="Arial" w:hAnsi="Arial"/>
                <w:sz w:val="18"/>
                <w:szCs w:val="18"/>
                <w:color w:val="auto"/>
              </w:rPr>
              <w:t>Mainland China, June 2023</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59.4 %</w:t>
            </w: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1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(1)ACM Research (Lingang) Inc. is the English name referred to by its Chinese language name Shengwei Research (Shanghai), Inc. in prior filings. ACM Research (Lingang), Inc. and Shengwei Research (Shanghai), Inc. refer to the same entity.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condensed consolidated financial statements include the accounts of ACM and its subsidiaries. ACM’s subsidiaries are those entities in which ACM, directly or indirectly, controls a majority of the voting power. All significant intercompany transactions and balances have been eliminated upon consolidation.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condensed consolidated financial statements of the Company have been prepared in accordance with U.S. generally accepted accounting principles (“GAAP”) for interim financial information and the rules and regulations of the Securities and Exchange Commission (the “SEC”)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2022 included in ACM’s Annual Report on Form 10-K for the fiscal year ended December 31, 2022.</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accompanying condensed consolidated financial statements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September 30, 2023 and the results of operations for the three and nine months ended September 30, 2023 are not necessarily indicative of the results to be expected for any future period.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Split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indicated, all prior period share and per share amounts, common stock, other capital information presented in the accompanying financial statements and these notes thereto reflect the impact of the Stock Split (Note 1). Proportional adjustments were also made to outstanding awards under the Company’s stock-based compensation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period balances have been reclassified to conform to the current period presentation in the accompanying notes. These reclassifications did not have a material impact on the previously reported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Restrictions by U.S. Department of Commerce, Japan and Netherlands for Mainland China-based Semiconductor Producers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Substantially all of ACM Shanghai’s customers and a significant portion of its operations are based in mainland China. In 2022, Shanghai Huali Microelectronics Corporation, together with Huahong Semiconductor Ltd., collectively known as The Shanghai Huahong (Group) Company, Ltd., or The Huali Huahong Group, a leading mainland China-based foundry, accounted for 18.2% of our revenue; Semiconductor Manufacturing International Corporation, or SMIC, a leading mainland China-based foundry, accounted for 15.6% of our revenue; and Yangtze Memory Technologies Co., Ltd., or YMTC, a leading mainland China-based memory chip company, together with one of its subsidiaries, accounted for 10.0% of our revenue.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early October 2022 the U.S. government enacted new rules aimed at restricting U.S. support for mainland China’s ability to manufacture advanced semiconductors. The rules include new export license requirements for exports, re-exports or transfers to or within mainland China of additional types of semiconductor manufacturing items, items for use in manufacturing designated types of semiconductor manufacturing equipment in mainland China, and semiconductor manufacturing equipment for use at certain IC manufacturing and development facilities in mainland China. In addition, the U.S. government imposed new restrictions by which U.S. persons anywhere in the world are effectively barred from engaging in certain activities related to the development and production of certain semiconductors at mainland China fabrication facilities meeting specified criteria, even if no items subject to the U.S. Export Administration Regulations (EAR) are involved. These restrictions were later updated to extend to Macau</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October 2023, the U.S. government revised and expanded the October 2022 controls with the release of additional rules. While the release primarily clarified the October 2022 regulations, certain changes have the potential to be more significant. In particular, the U.S. government expanded license requirements on additional types of semiconductors, semiconductor manufacturing items, and items for use in manufacturing certain types of semiconductor manufacturing equipment, and also expanded the scope to include additional countries beyond mainland China and Macau.</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ACM Shanghai has determined that several of its customers have mainland China-based facilities that meet the restricted criteria set out in the October 2022 and October 2023 rules, and has also determined that several of its products, and/or components for its products, may meet the parameters of export control classification numbers, or ECCNs, affected by the restrictions. ACM and ACM Shanghai have implemented modifications to their existing business policies and practices in response to the October 2022 restrictions, including by imposing limitations on the activities of their U.S. persons and undertaking measures in connection with their supply chains more broadly to comply with the new regulations. ACM Shanghai is continuing to assess the impact of the October 2023 changes, together with the October 2022 rules, and will further modify its policies and practices as required to comply with the updates. Based on our ongoing review, we believe these regulations may directly impact ACM Shanghai’s ability to meet its future production plans, or indirectly impact the spending plans of ACM Shanghai’s customer base. ACM may not be able to import, or may face substantial restrictions in importing, certain parts from the United States or parts subject to U.S. export controls from outside the United States to support tool shipments to such facilities, or to be embedded into tools defined by affected ECCNs.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ACM and ACM Shanghai believe that as a result of the October 2022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regulations. These factors had an adverse impact on ACM Shanghai’s shipments and sales for the three and nine months ended September 30, 2023.</w:t>
      </w:r>
    </w:p>
    <w:p>
      <w:pPr>
        <w:spacing w:after="0" w:line="2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nine months ended September 30, 2023, two prominent exporters of advanced semiconductor manufacturing equipment, the Netherlands and Japan, announced and began to implement plans to join the United States in imposing semiconductor-focused export controls.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On May 23, 2023, the Japanese government issued the final amendment to an ordinance implementing new export controls to require licensing for export</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of certain advanced semiconductor manufacturing equipment, effective as of July 23, 2023. The amendment expands the scope of export controls to prohibit (1) exporting twenty-three additional categories of items relating to semiconductor manufacturing and (2) providing technology relating to</w:t>
      </w:r>
    </w:p>
    <w:p>
      <w:pPr>
        <w:jc w:val="both"/>
        <w:spacing w:after="0" w:line="259" w:lineRule="auto"/>
        <w:rPr>
          <w:sz w:val="20"/>
          <w:szCs w:val="20"/>
          <w:color w:val="auto"/>
        </w:rPr>
      </w:pPr>
      <w:r>
        <w:rPr>
          <w:rFonts w:ascii="Arial" w:cs="Arial" w:eastAsia="Arial" w:hAnsi="Arial"/>
          <w:sz w:val="18"/>
          <w:szCs w:val="18"/>
          <w:color w:val="auto"/>
        </w:rPr>
        <w:t>manufacturing, development or use of these categories of items, in both cases, without an advance license. While the expanded export controls apply to exports to any jurisdiction, exports to certain jurisdictions, such as the United States, are expected to be permitted by certain types of broad general licenses. However, it remains to be seen whether the Japanese government will authorize any exports of these items to mainland China by a limited general license or specific license, if at all.</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30, 2023, the Government of the Netherlands published additional export control measures for advanced semiconductor manufacturing equipment. The Regulation on Advanced Semiconductor Manufacturing Equipment took effect on September 1, 2023. From that point on, the export of certain</w:t>
      </w:r>
    </w:p>
    <w:p>
      <w:pPr>
        <w:jc w:val="both"/>
        <w:ind w:right="20"/>
        <w:spacing w:after="0" w:line="283" w:lineRule="auto"/>
        <w:rPr>
          <w:sz w:val="20"/>
          <w:szCs w:val="20"/>
          <w:color w:val="auto"/>
        </w:rPr>
      </w:pPr>
      <w:r>
        <w:rPr>
          <w:rFonts w:ascii="Arial" w:cs="Arial" w:eastAsia="Arial" w:hAnsi="Arial"/>
          <w:sz w:val="18"/>
          <w:szCs w:val="18"/>
          <w:color w:val="auto"/>
        </w:rPr>
        <w:t>advanced semiconductor manufacturing equipment, as specified in the Annex to the Regulation</w:t>
      </w:r>
      <w:r>
        <w:rPr>
          <w:rFonts w:ascii="Arial" w:cs="Arial" w:eastAsia="Arial" w:hAnsi="Arial"/>
          <w:sz w:val="21"/>
          <w:szCs w:val="21"/>
          <w:color w:val="auto"/>
        </w:rPr>
        <w:t>,</w:t>
      </w:r>
      <w:r>
        <w:rPr>
          <w:rFonts w:ascii="Arial" w:cs="Arial" w:eastAsia="Arial" w:hAnsi="Arial"/>
          <w:sz w:val="18"/>
          <w:szCs w:val="18"/>
          <w:color w:val="auto"/>
        </w:rPr>
        <w:t xml:space="preserve"> has been subject to a national export license authorization requirement by the Dutch Central Import and Export Service.</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new restrictions imposed by the Japanese and Dutch governments, ACM Shanghai and/or several of its customers in mainland China may be impacted by, and required to reduce their production capabilities due to, the lack of, or reduced, ability to source items relating to semiconductor manufacturing from Japan and the Netherlands.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“Part II. Item 1A – Risk Factors – Regulatory Risks – Our ability to sell our tools to customers in mainland China has been impacted, and will likely continue to be materially and adversely impacted, by export license requirements, other regulatory changes, or other actions taken by the U.S. or other governmental agencies”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the valuation and recognition of fair value of certain short-term investments, stock-based compensation arrangements, realization of deferred tax assets, assessment for impairment of long-lived assets and long-term investments, allowance for credit losses, inventory valuation, useful lives of property, plant and equipment and useful lives of intangible assets.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Management evaluates these estimates and assumptions on a regular basis. Actual results could differ from those estimates and assumptions.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derives revenue principally from the sale of semiconductor capital equipment, or tools, used for the fabrication of integrated semiconductor circuits. The Company recognizes revenue when promised goods or services are transferred to customers in an amount that reflects the consideration to which the Company expects to be entitled in exchange for those goods or services by following a five-step process:</w:t>
      </w: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 Recognize revenue when, or as, a performance obligation is satisfied.</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Identify the contract(s) with a customer. </w:t>
      </w:r>
      <w:r>
        <w:rPr>
          <w:rFonts w:ascii="Arial" w:cs="Arial" w:eastAsia="Arial" w:hAnsi="Arial"/>
          <w:sz w:val="17"/>
          <w:szCs w:val="17"/>
          <w:color w:val="auto"/>
        </w:rPr>
        <w:t>The Company generally considers written documentation including, but not limited to, signed purchase orders,</w:t>
      </w:r>
      <w:r>
        <w:rPr>
          <w:rFonts w:ascii="Arial" w:cs="Arial" w:eastAsia="Arial" w:hAnsi="Arial"/>
          <w:sz w:val="17"/>
          <w:szCs w:val="17"/>
          <w:i w:val="1"/>
          <w:iCs w:val="1"/>
          <w:color w:val="auto"/>
        </w:rPr>
        <w:t xml:space="preserve"> </w:t>
      </w:r>
      <w:r>
        <w:rPr>
          <w:rFonts w:ascii="Arial" w:cs="Arial" w:eastAsia="Arial" w:hAnsi="Arial"/>
          <w:sz w:val="17"/>
          <w:szCs w:val="17"/>
          <w:color w:val="auto"/>
        </w:rPr>
        <w:t>master agreements, and sales orders as contracts, provided it has approval and commitment from the customer, the rights of the parties are identified, payment terms are identified, the contract has commercial substance, and collection is probable. Collectability is assessed based on management’s assessment of the customer’s creditworthiness, historical payment experience, as well as other relevant factors.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i w:val="1"/>
          <w:iCs w:val="1"/>
          <w:color w:val="auto"/>
        </w:rPr>
        <w:t xml:space="preserve">Identify the performance obligations in the contract. </w:t>
      </w:r>
      <w:r>
        <w:rPr>
          <w:rFonts w:ascii="Arial" w:cs="Arial" w:eastAsia="Arial" w:hAnsi="Arial"/>
          <w:sz w:val="16"/>
          <w:szCs w:val="16"/>
          <w:color w:val="auto"/>
        </w:rPr>
        <w:t>Performance obligations are accounted for separately if they are distinct. A good or service is distinct</w:t>
      </w:r>
      <w:r>
        <w:rPr>
          <w:rFonts w:ascii="Arial" w:cs="Arial" w:eastAsia="Arial" w:hAnsi="Arial"/>
          <w:sz w:val="16"/>
          <w:szCs w:val="16"/>
          <w:i w:val="1"/>
          <w:iCs w:val="1"/>
          <w:color w:val="auto"/>
        </w:rPr>
        <w:t xml:space="preserve"> </w:t>
      </w:r>
      <w:r>
        <w:rPr>
          <w:rFonts w:ascii="Arial" w:cs="Arial" w:eastAsia="Arial" w:hAnsi="Arial"/>
          <w:sz w:val="16"/>
          <w:szCs w:val="16"/>
          <w:color w:val="auto"/>
        </w:rPr>
        <w:t>if the customer can benefit from the good or service either on its own or together with other resources that are readily available to the customer, and the</w:t>
      </w:r>
    </w:p>
    <w:p>
      <w:pPr>
        <w:jc w:val="both"/>
        <w:spacing w:after="0" w:line="263" w:lineRule="auto"/>
        <w:rPr>
          <w:sz w:val="20"/>
          <w:szCs w:val="20"/>
          <w:color w:val="auto"/>
        </w:rPr>
      </w:pPr>
      <w:r>
        <w:rPr>
          <w:rFonts w:ascii="Arial" w:cs="Arial" w:eastAsia="Arial" w:hAnsi="Arial"/>
          <w:sz w:val="18"/>
          <w:szCs w:val="18"/>
          <w:color w:val="auto"/>
        </w:rPr>
        <w:t>good or service is distinct in the context of the contract. The Company’s performance obligations generally include sales of tools and spare parts. In addition, customer contracts can contain provisions for installation, training, software updates, most-favored pricing for spare parts, and other items which have been deemed immaterial in the context of the contract.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Determine the transaction price. </w:t>
      </w:r>
      <w:r>
        <w:rPr>
          <w:rFonts w:ascii="Arial" w:cs="Arial" w:eastAsia="Arial" w:hAnsi="Arial"/>
          <w:sz w:val="18"/>
          <w:szCs w:val="18"/>
          <w:color w:val="auto"/>
        </w:rPr>
        <w:t>The transaction price for the Company’s contracts with customers may include fixed and variable consideration.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includes variable consideration in the transaction price to the extent that it is probable that a significant reversal of revenue will not occur in the future based on the Company’s historical experience with similar arrangements.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Allocate the transaction price to the performance obligations in the contract. </w:t>
      </w:r>
      <w:r>
        <w:rPr>
          <w:rFonts w:ascii="Arial" w:cs="Arial" w:eastAsia="Arial" w:hAnsi="Arial"/>
          <w:sz w:val="18"/>
          <w:szCs w:val="18"/>
          <w:color w:val="auto"/>
        </w:rPr>
        <w:t>For contracts that contain multiple performance obligations,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allocates the transaction price to the performance obligations on a relative standalone selling price basis. The Company defers revenue associated with spare parts, sold together with its tools, based on its stand-alone observable selling prices or using an expected cost-plus-margin approach when a stand-alone selling price is not directly observable, and recognizes revenue upon subsequent delivery.</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Recognize revenue when, or as, a performance obligation is satisfied</w:t>
      </w:r>
      <w:r>
        <w:rPr>
          <w:rFonts w:ascii="Arial" w:cs="Arial" w:eastAsia="Arial" w:hAnsi="Arial"/>
          <w:sz w:val="17"/>
          <w:szCs w:val="17"/>
          <w:color w:val="auto"/>
        </w:rPr>
        <w:t>. The Company recognizes revenue from tools and spare parts at a point in time, when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satisfied its performance obligation. The Company’s sales arrangements do not include a general right of return. For shipments made to a customer that has not previously accepted a specific type of tool (“first tools”), revenues are recognized when the goods are accepted by the customer. For shipments made to a customer that has previously accepted a specific type of tool, revenues are recognized upon shipment or delivery because the Company can objectively demonstrate that the goods meet all the required customer specifications.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warranties provide assurance that its products will function as expected and in accordance with certain specifications. The Company’s warranties are intended to safeguard the customer against existing defects and do not provide any incremental service to the customer. They are not separate performance obligations and are accounted for under </w:t>
      </w:r>
      <w:r>
        <w:rPr>
          <w:rFonts w:ascii="Arial" w:cs="Arial" w:eastAsia="Arial" w:hAnsi="Arial"/>
          <w:sz w:val="18"/>
          <w:szCs w:val="18"/>
          <w:i w:val="1"/>
          <w:iCs w:val="1"/>
          <w:color w:val="auto"/>
        </w:rPr>
        <w:t>ASC 460, Guarantees</w:t>
      </w:r>
      <w:r>
        <w:rPr>
          <w:rFonts w:ascii="Arial" w:cs="Arial" w:eastAsia="Arial" w:hAnsi="Arial"/>
          <w:sz w:val="18"/>
          <w:szCs w:val="18"/>
          <w:color w:val="auto"/>
        </w:rPr>
        <w:t>.</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Contract liabilities include payments received from customers prior to the transfer of control of certain goods which are recorded as advances from customers, and spare parts sold together with its tools which are recorded as deferred revenue. The Company does not have contract assets.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and cash equivalents, according to jurisdiction as of September 30, 2023 and December 31,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25,011</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Mainland China</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109,992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129,695</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 Hong Kong</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89,187</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Korea</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4,007</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Singapore</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63"/>
        </w:trPr>
        <w:tc>
          <w:tcPr>
            <w:tcW w:w="80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247,951</w:t>
            </w:r>
          </w:p>
        </w:tc>
      </w:tr>
      <w:tr>
        <w:trPr>
          <w:trHeight w:val="21"/>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amounts in mainland China do not include short-term and long-term time deposits which totaled $118,834 and $172,448 at September 30, 2023 and December 31, 2022,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held in the U.S. exceeds the Federal Deposit Insurance Corporation insurance limits and is subject to risk of loss. No losses have been experienced to date.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amounts held in mainland China are subject to a series of risk control regulatory standards from mainland China bank regulatory authorities. ACM’s subsidiaries in mainland China are required to obtain approval from the State Administration of Foreign Exchange (“SAFE”) to transfer funds into or out of mainland China. SAFE requires a valid agreement to approve the transfers, which are processed through a bank. Other than these mainland China foreign exchange restrictions, ACM’s subsidiaries in mainland China are not subject to any restrictions and limitations on its ability to transfer funds to ACM or among our other subsidiaries. However, cash held in mainland China does exceed applicable insurance limits and is subject to risk of loss, although no such losses have been experienced to date.</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ACM California periodically procures goods and services on behalf of ACM Shanghai. For these transactions, ACM Shanghai makes cash payments to ACM California in accordance with applicable transfer pricing arrangements. For the three and nine months ended September 30, 2023, cash payments from ACM Shanghai to ACM California for the procurement of goods and services were $10,724 and $35,195, respectively. For the three and nine months ended September 30, 2022, cash payments from ACM Shanghai to ACM California for the procurement of goods and services were $12,682 and $24,631, respectively. ACM California periodically borrows funds for working capital advances from its direct parent, CleanChip. ACM California repays or renews these intercompany loans in accordance with their terms.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sales through CleanChip and ACM Research, a certain amount of sales or advanced payments from customers is repatriated back to ACM Shanghai in accordance with applicable transfer pricing arrangements in the ordinary course of business. ACM Research provides services to certain customers located in the U.S., Europe and other regions outside of mainland China to support the evaluation of first tools and provide support for tools under warranty on behalf of ACM Shanghai. For these transactions, ACM Shanghai makes cash payments to ACM Research in accordance with applicable transfer pricing arrangements.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Subsequent to June 30, 2020, with the exception of sales and services-related transfer-pricing payments in the ordinary course of business, and dividends paid by ACM Shanghai to ACM Research, no cash transfers or other payments or distributions have been made between ACM Research and ACM Shanghai. ACM Research intends to retain any future earnings to finance the operations and expenses of the business, and does not expect to distribute earnings or declare or pay any dividends to holders of ACM Research Class A common stock in the foreseeable future.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held in Korea exceed the Korea Deposit Insurance Corporation insurance limits and is subject to risk of loss. No losses have been experienced to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is no additional restriction for the transfer of cash from bank accounts in the U.S., Korea, Singapore and Hong Kong.</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three and nine months ended September 30, 2023 and 2022, with the exception of sales and services-related transfer-pricing payments in the ordinary course of business, and dividends paid by ACM Shanghai to ACM Research, no</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or distributions have been made between ACM Research and its subsidiaries, including ACM Shanghai, or to holders of ACM Research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Time Deposits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Time deposits are deposited with banks in mainland China with fixed terms and interest rates which cannot be withdrawn before maturity, and are presented as short-term deposits and long-term deposits in the condensed consolidated financial statements based on their expected time of collection. They are also subject to the risk control regulatory standards described above upon maturity.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At September 30, 2023 and December 31, 2022, time deposits consisted of the following:</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68"/>
        </w:trPr>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Deposit in China Merchant Bank which matured on January 29, 2023 with an annual interest rate of 2.25%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38,772</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w w:val="94"/>
              </w:rPr>
              <w:t>Deposit in China Everbright Bank which matured on January 29, 2023 with an annual interest rate of 2.25%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20" w:type="dxa"/>
            <w:vAlign w:val="bottom"/>
          </w:tcPr>
          <w:p>
            <w:pPr>
              <w:jc w:val="right"/>
              <w:spacing w:after="0"/>
              <w:rPr>
                <w:sz w:val="20"/>
                <w:szCs w:val="20"/>
                <w:color w:val="auto"/>
              </w:rPr>
            </w:pPr>
            <w:r>
              <w:rPr>
                <w:rFonts w:ascii="Arial" w:cs="Arial" w:eastAsia="Arial" w:hAnsi="Arial"/>
                <w:sz w:val="18"/>
                <w:szCs w:val="18"/>
                <w:color w:val="auto"/>
              </w:rPr>
              <w:t>14,360</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Deposit in China Everbright Bank which matured on May 22, 2023 with an annual interest rate of 5.07%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w w:val="95"/>
              </w:rPr>
              <w:t>Deposit in China Industrial Bank which matured on January 30, 2023 with an annual interest rate of 2.15%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14,360</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Deposit in China Merchant Bank which matures on January 29, 2024 with an annual interest rate of 2.85%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28,720</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Deposit in Bank of Ningbo which matures on February 17, 2024 with an annual interest rate of 2.85%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41,790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43,080</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Deposit in Shanghai Pudong Development Bank which matures on October 20, 2025 with an annual interest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rate of 3.10%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w w:val="91"/>
              </w:rPr>
              <w:t>Deposit in Shanghai Pudong Development Bank which matures on November 14, 2025 with an annual interest</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rate of 3.10%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7,180</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Deposit in Shanghai Pudong Development Bank which matures on December 8, 2025 with an annual interest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rate of 3.10%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w w:val="91"/>
              </w:rPr>
              <w:t>Deposit in Shanghai Pudong Development Bank which matures on December 15, 2025 with an annual interest</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rate of 3.10%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4,308</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Deposit in Shanghai Pudong Development Bank which matures on December 30, 2025 with an annual interest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rate of 3.10%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w w:val="95"/>
              </w:rPr>
              <w:t>Deposit in China Industrial Bank which matures on January 30, 2026 with an annual interest rate of 3.15%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13,930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Deposit in China Everbright Bank which matures on November 22, 2023 with an annual interest rate of 5.43%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w w:val="95"/>
              </w:rPr>
              <w:t>Deposit in China Everbright Bank which matures on January 5, 2024 with an annual interest rate of 5.38%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172,448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September 30, 2023 and 2022, interest income related to time deposits was $867 and $929, respectively. For the nine months ended September 30, 2023 and 2022, interest income related to time deposits was $2,779 and $2,468,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periodically invests in equity securities, and maintains an investment portfolio of various holdings, types, and maturities. For equity investments that do not have a readily determinable fair value, the Company classified them as long-term investments, and records them using either: 1) the measurement alternative which measures the equity investments at cost minus impairment, if any, plus or minus changes resulting from qualifying observable price changes; or 2) the equity method whereby the Company recognizes its proportional share of the income or loss from the equity method investment. The equity method is utilized when the equity investments are common stock or in substance common stock, and the Company does not have the ability to control the investee but is deemed to have the ability to exercise significant influence over the investee’s operating or financial policies. For equity investments that have a readily determinable fair value, the Company classified them as short-term investments, and records them at fair market value on a recurring basis based upon quoted market prices. Realized and unrealized gains and losses resulting from application of the measurement alternative, the impact of the application of the equity method to the Company’s equity investments, and recognition of changes in fair market value, as applicable, are recognized as non-operating income (expenses), net in the condensed consolidated statements of operations and comprehensive income (loss).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fair value hierarchy has been established that prioritizes the inputs to valuation techniques used to measure fair value. The level of an asset or liability in the hierarchy is based on the lowest level of input that is significant to the fair value measurement. Assets and liabilities carried at fair value are classified and disclosed in one of the following three categories: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Level 1: Valuations based on quoted prices in active markets for identical assets or liabilities with sufficient volume and frequency of transactions.</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Valuations based on observable inputs other than Level 1 prices such as quoted prices for similar assets or liabilities, quoted prices in markets that are not active for identical assets or liabilities, or model-derived valuations techniques for which all significant inputs are observable in the market or can be corroborated by observable market data for substantially the full term of the assets or liabilities.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3: Valuations based on unobservable inputs to the valuation methodology that are significant to the measurement of fair value of assets or liabilities and based on non-binding, broker-provided price quotes and may not have been corroborated by observable market data.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primary financial instruments include its cash, cash equivalents, short term and long term deposits, restricted cash, short-term and long-term investments, accounts receivable, accounts payable, and short-term and long-term borrowings. The estimated fair value of cash and cash equivalents, short-term time deposits, accounts receivable, other receivable, accounts payable, and short-term borrowings approximates their carrying value due to the short period of time to their maturities.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426085</wp:posOffset>
            </wp:positionV>
            <wp:extent cx="42176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Arial" w:cs="Arial" w:eastAsia="Arial" w:hAnsi="Arial"/>
                <w:sz w:val="18"/>
                <w:szCs w:val="18"/>
                <w:b w:val="1"/>
                <w:bCs w:val="1"/>
                <w:color w:val="auto"/>
              </w:rPr>
              <w:t>Significant Other</w:t>
            </w:r>
          </w:p>
        </w:tc>
        <w:tc>
          <w:tcPr>
            <w:tcW w:w="1780" w:type="dxa"/>
            <w:vAlign w:val="bottom"/>
          </w:tcPr>
          <w:p>
            <w:pPr>
              <w:ind w:left="180"/>
              <w:spacing w:after="0"/>
              <w:rPr>
                <w:sz w:val="20"/>
                <w:szCs w:val="20"/>
                <w:color w:val="auto"/>
              </w:rPr>
            </w:pPr>
            <w:r>
              <w:rPr>
                <w:rFonts w:ascii="Arial" w:cs="Arial" w:eastAsia="Arial" w:hAnsi="Arial"/>
                <w:sz w:val="18"/>
                <w:szCs w:val="18"/>
                <w:b w:val="1"/>
                <w:bCs w:val="1"/>
                <w:color w:val="auto"/>
              </w:rPr>
              <w:t>Significant</w:t>
            </w:r>
          </w:p>
        </w:tc>
        <w:tc>
          <w:tcPr>
            <w:tcW w:w="116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Identical Liabilities</w:t>
            </w:r>
          </w:p>
        </w:tc>
        <w:tc>
          <w:tcPr>
            <w:tcW w:w="140" w:type="dxa"/>
            <w:vAlign w:val="bottom"/>
          </w:tcPr>
          <w:p>
            <w:pPr>
              <w:spacing w:after="0"/>
              <w:rPr>
                <w:sz w:val="18"/>
                <w:szCs w:val="18"/>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b w:val="1"/>
                <w:bCs w:val="1"/>
                <w:color w:val="auto"/>
              </w:rPr>
              <w:t>Observable Inputs  Unobservable Inputs</w:t>
            </w:r>
          </w:p>
        </w:tc>
        <w:tc>
          <w:tcPr>
            <w:tcW w:w="116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20"/>
                <w:szCs w:val="20"/>
                <w:color w:val="auto"/>
              </w:rPr>
            </w:pPr>
          </w:p>
        </w:tc>
        <w:tc>
          <w:tcPr>
            <w:tcW w:w="1860" w:type="dxa"/>
            <w:vAlign w:val="bottom"/>
          </w:tcPr>
          <w:p>
            <w:pPr>
              <w:ind w:left="400"/>
              <w:spacing w:after="0"/>
              <w:rPr>
                <w:sz w:val="20"/>
                <w:szCs w:val="20"/>
                <w:color w:val="auto"/>
              </w:rPr>
            </w:pPr>
            <w:r>
              <w:rPr>
                <w:rFonts w:ascii="Arial" w:cs="Arial" w:eastAsia="Arial" w:hAnsi="Arial"/>
                <w:sz w:val="18"/>
                <w:szCs w:val="18"/>
                <w:b w:val="1"/>
                <w:bCs w:val="1"/>
                <w:color w:val="auto"/>
              </w:rPr>
              <w:t>(Level 2)</w:t>
            </w:r>
          </w:p>
        </w:tc>
        <w:tc>
          <w:tcPr>
            <w:tcW w:w="178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2023:</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207,101</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21,844</w:t>
            </w:r>
          </w:p>
        </w:tc>
        <w:tc>
          <w:tcPr>
            <w:tcW w:w="140" w:type="dxa"/>
            <w:vAlign w:val="bottom"/>
          </w:tcPr>
          <w:p>
            <w:pPr>
              <w:spacing w:after="0"/>
              <w:rPr>
                <w:sz w:val="21"/>
                <w:szCs w:val="21"/>
                <w:color w:val="auto"/>
              </w:rPr>
            </w:pPr>
          </w:p>
        </w:tc>
        <w:tc>
          <w:tcPr>
            <w:tcW w:w="1860" w:type="dxa"/>
            <w:vAlign w:val="bottom"/>
          </w:tcPr>
          <w:p>
            <w:pPr>
              <w:ind w:left="1340"/>
              <w:spacing w:after="0"/>
              <w:rPr>
                <w:sz w:val="20"/>
                <w:szCs w:val="20"/>
                <w:color w:val="auto"/>
              </w:rPr>
            </w:pPr>
            <w:r>
              <w:rPr>
                <w:rFonts w:ascii="Arial" w:cs="Arial" w:eastAsia="Arial" w:hAnsi="Arial"/>
                <w:sz w:val="18"/>
                <w:szCs w:val="18"/>
                <w:color w:val="auto"/>
              </w:rPr>
              <w:t>—</w:t>
            </w:r>
          </w:p>
        </w:tc>
        <w:tc>
          <w:tcPr>
            <w:tcW w:w="1780" w:type="dxa"/>
            <w:vAlign w:val="bottom"/>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21,844</w:t>
            </w:r>
          </w:p>
        </w:tc>
      </w:tr>
      <w:tr>
        <w:trPr>
          <w:trHeight w:val="27"/>
        </w:trPr>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228,945</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247,951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1340"/>
              <w:spacing w:after="0"/>
              <w:rPr>
                <w:sz w:val="20"/>
                <w:szCs w:val="20"/>
                <w:color w:val="auto"/>
              </w:rPr>
            </w:pPr>
            <w:r>
              <w:rPr>
                <w:rFonts w:ascii="Arial" w:cs="Arial" w:eastAsia="Arial" w:hAnsi="Arial"/>
                <w:sz w:val="18"/>
                <w:szCs w:val="18"/>
                <w:color w:val="auto"/>
              </w:rPr>
              <w:t>— $</w:t>
            </w:r>
          </w:p>
        </w:tc>
        <w:tc>
          <w:tcPr>
            <w:tcW w:w="1780" w:type="dxa"/>
            <w:vAlign w:val="bottom"/>
          </w:tcPr>
          <w:p>
            <w:pPr>
              <w:ind w:left="120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247,951</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20,209</w:t>
            </w:r>
          </w:p>
        </w:tc>
        <w:tc>
          <w:tcPr>
            <w:tcW w:w="1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20,209</w:t>
            </w:r>
          </w:p>
        </w:tc>
      </w:tr>
      <w:tr>
        <w:trPr>
          <w:trHeight w:val="237"/>
        </w:trPr>
        <w:tc>
          <w:tcPr>
            <w:tcW w:w="27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268,160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 $</w:t>
            </w:r>
          </w:p>
        </w:tc>
        <w:tc>
          <w:tcPr>
            <w:tcW w:w="17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268,160</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have any assets and liabilities measured at fair value on a non-recurring basis as of September 30, 2023 and December 30, 2022.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12 for fair value information related to the Company’s outstanding long-term borrowings as of September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gridSpan w:val="2"/>
          </w:tcPr>
          <w:p>
            <w:pPr>
              <w:spacing w:after="0"/>
              <w:rPr>
                <w:sz w:val="20"/>
                <w:szCs w:val="20"/>
                <w:color w:val="auto"/>
              </w:rPr>
            </w:pPr>
            <w:r>
              <w:rPr>
                <w:rFonts w:ascii="Arial" w:cs="Arial" w:eastAsia="Arial" w:hAnsi="Arial"/>
                <w:sz w:val="18"/>
                <w:szCs w:val="18"/>
                <w:color w:val="auto"/>
              </w:rPr>
              <w:t>Basic and Diluted Net Income per Share of Common Stock</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60" w:type="dxa"/>
            <w:vAlign w:val="bottom"/>
            <w:gridSpan w:val="2"/>
          </w:tcPr>
          <w:p>
            <w:pPr>
              <w:spacing w:after="0"/>
              <w:rPr>
                <w:sz w:val="20"/>
                <w:szCs w:val="20"/>
                <w:color w:val="auto"/>
              </w:rPr>
            </w:pPr>
            <w:r>
              <w:rPr>
                <w:rFonts w:ascii="Arial" w:cs="Arial" w:eastAsia="Arial" w:hAnsi="Arial"/>
                <w:sz w:val="18"/>
                <w:szCs w:val="18"/>
                <w:color w:val="auto"/>
                <w:w w:val="93"/>
              </w:rPr>
              <w:t>Basic and diluted net income per share of common stock are calculated as follows: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80" w:type="dxa"/>
            <w:vAlign w:val="bottom"/>
            <w:gridSpan w:val="9"/>
          </w:tcPr>
          <w:p>
            <w:pPr>
              <w:ind w:left="20"/>
              <w:spacing w:after="0"/>
              <w:rPr>
                <w:sz w:val="20"/>
                <w:szCs w:val="20"/>
                <w:color w:val="auto"/>
              </w:rPr>
            </w:pPr>
            <w:r>
              <w:rPr>
                <w:rFonts w:ascii="Arial" w:cs="Arial" w:eastAsia="Arial" w:hAnsi="Arial"/>
                <w:sz w:val="18"/>
                <w:szCs w:val="18"/>
                <w:b w:val="1"/>
                <w:bCs w:val="1"/>
                <w:color w:val="auto"/>
                <w:w w:val="92"/>
              </w:rPr>
              <w:t>Three Months Ended September Nine Months Ended September</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30,</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30,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73,554</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36,381</w:t>
            </w:r>
          </w:p>
        </w:tc>
        <w:tc>
          <w:tcPr>
            <w:tcW w:w="0" w:type="dxa"/>
            <w:vAlign w:val="bottom"/>
          </w:tcPr>
          <w:p>
            <w:pPr>
              <w:spacing w:after="0"/>
              <w:rPr>
                <w:sz w:val="1"/>
                <w:szCs w:val="1"/>
                <w:color w:val="auto"/>
              </w:rPr>
            </w:pPr>
          </w:p>
        </w:tc>
      </w:tr>
      <w:tr>
        <w:trPr>
          <w:trHeight w:val="243"/>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6,072</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13,905</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8,927</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stockholders, basic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Less: Dilutive effect arising from stock-based awards by ACM Shanghai</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stockholders, diluted</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25,218</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58,311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26,989</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60,219,218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59,360,790</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59,953,144</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59,123,895</w:t>
            </w:r>
          </w:p>
        </w:tc>
        <w:tc>
          <w:tcPr>
            <w:tcW w:w="0" w:type="dxa"/>
            <w:vAlign w:val="bottom"/>
          </w:tcPr>
          <w:p>
            <w:pPr>
              <w:spacing w:after="0"/>
              <w:rPr>
                <w:sz w:val="1"/>
                <w:szCs w:val="1"/>
                <w:color w:val="auto"/>
              </w:rPr>
            </w:pPr>
          </w:p>
        </w:tc>
      </w:tr>
      <w:tr>
        <w:trPr>
          <w:trHeight w:val="243"/>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5,231,723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6,251,875</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4,880,907</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6,505,378</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diluted</w:t>
            </w: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65,450,941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65,612,665</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64,834,051</w:t>
            </w: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65,629,273</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per share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ACM Research has been authorized to issue Class A and Class B common stock since redomesticating in Delaware in November 2016. The two classes of common stock are substantially identical in all material respects, except for voting rights. Since ACM Research did not declare any cash dividends during the three and nine months ended September 30, 2023 or 2022, the net income per share of common stock attributable to each class is the same under the “two-class” method. As such, the two classes of common stock have been presented on a combined basis in the condensed consolidated statements of operations and comprehensive income (loss) and in the above computation of net income per share of common stock.</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net income per share of common stock reflects the potential dilution from securities, such as stock options that could share in ACM Research’s earnings. Certain potential dilutive securities were excluded from the net income per share calculation because the impact would be anti-dilutive. ACM Research’s potential dilutive securities consist of 1,757,605 and 4,099,228 stock options for the three and nine months ended September 30, 2023 and 1,993,050 and 1,897,050 stock options for the three and nine months ended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and cash equivalents, time deposits, and accounts receivable. The Company deposits and invests its cash and cash equivalents and time deposits with financial institutions that management believes are creditworthy.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potentially subject to concentrations of credit risks in its accounts receivable and revenue. For the three months ended September 30, 2023 and 2022, two customers accounted for 53.2% and three customers accounted for 61.4% of revenue, respectively. For the nine months ended September 30, 2023 and 2022, three customers accounted for 48.8% and three customers accounted for 50.1% of revenue, respectively.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and December 31, 2022, three customers accounted for 46.1% and two customers accounted for 42.6%, respectively, of the Company’s accounts receivables. The Company believes that the receivable balances from these largest customers do not represent a significant credit risk based on past collection experience.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Financial Accounting Standards Board, or FASB, issued Accounting Standards Update, or ASU, 2016-13,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(Topic 326): Measurement of Credit Losses on Financial Instruments </w:t>
      </w:r>
      <w:r>
        <w:rPr>
          <w:rFonts w:ascii="Arial" w:cs="Arial" w:eastAsia="Arial" w:hAnsi="Arial"/>
          <w:sz w:val="18"/>
          <w:szCs w:val="18"/>
          <w:color w:val="auto"/>
        </w:rPr>
        <w:t>(“ASC 326”). ASC 326 replaced the pre-existing incurred loss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methodology with a methodology that reflects expected credit losses and requires consideration of a broader range of reasonable and supportable information to inform credit loss estimates. ASC 326 requires use of a forward-looking expected credit loss model for accounts receivables, loans and other financial instruments.</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November 2019, the FASB issued ASU 2019-10,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 </w:t>
      </w:r>
      <w:r>
        <w:rPr>
          <w:rFonts w:ascii="Arial" w:cs="Arial" w:eastAsia="Arial" w:hAnsi="Arial"/>
          <w:sz w:val="16"/>
          <w:szCs w:val="16"/>
          <w:i w:val="1"/>
          <w:iCs w:val="1"/>
          <w:color w:val="auto"/>
        </w:rPr>
        <w:t>Credit Losses (Topic 326), Derivatives and Hedging (Topic 815), and Leases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842): Effective Dates. </w:t>
      </w:r>
      <w:r>
        <w:rPr>
          <w:rFonts w:ascii="Arial" w:cs="Arial" w:eastAsia="Arial" w:hAnsi="Arial"/>
          <w:sz w:val="16"/>
          <w:szCs w:val="16"/>
          <w:color w:val="auto"/>
        </w:rPr>
        <w:t>ASU 2019-10 defers the effective date of ASU 2016-13 for public filers that are considered small reporting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(“SRC”) as defined by the SEC to fiscal years beginning after December 15, 2022, including interim periods within those fiscal years. Since the Company was eligible to be a SRC based on its SRC determination as of November 15, 2019 (which was the issuance date of ASU 2019-10) in accordance with SEC regulations, the Company adopted amendments in ASC 326 for the year beginning January 1, 2023. Adoption of the standard requires using a modified retrospective approach through a cumulative-effect adjustment to retained earnings as of the effective date to align existing credit loss methodology with the new standard. The cumulative-effect adjustment, net of tax impact, to retained earnings as of January 1, 2023 was $(1,769).</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2022, the FASB issued ASU 2022-03—</w:t>
      </w:r>
      <w:r>
        <w:rPr>
          <w:rFonts w:ascii="Arial" w:cs="Arial" w:eastAsia="Arial" w:hAnsi="Arial"/>
          <w:sz w:val="18"/>
          <w:szCs w:val="18"/>
          <w:i w:val="1"/>
          <w:iCs w:val="1"/>
          <w:color w:val="auto"/>
        </w:rPr>
        <w:t>Fair Value Measurement (Topic 820): Fair Value Measurement of Equity Securities Subject to 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Sale Restrictions </w:t>
      </w:r>
      <w:r>
        <w:rPr>
          <w:rFonts w:ascii="Arial" w:cs="Arial" w:eastAsia="Arial" w:hAnsi="Arial"/>
          <w:sz w:val="18"/>
          <w:szCs w:val="18"/>
          <w:color w:val="auto"/>
        </w:rPr>
        <w:t>(“ASU 2022-03”) which clarifies how the fair values of equity securities subject to contractual sale restrictions is determined (Topic 820).</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amendment clarifies that a contractual sale restriction should not be considered in measuring fair value. It also requires certain qualitative and quantitative disclosures related to equity securities subject to contractual sale restrictions. The new guidance is required to be applied prospectively with any adjustments from the adoption of the amendments recognized in earnings and disclosed on the date of adoption. This guidance is effective for the Company for fiscal year beginning after December 15, 2023, and interim periods within those fiscal years. Early adoption is permitted. The Company early adopted ASU 2022-03 in the third quarter of 2023, and the adoption did not have a material impact on the Company’s financial position,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assesses revenues based upon the nature or type of goods or services it provides and the geographic location of the related businesses. The following tables present disaggregated revenue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Three Months Ended September 30,</w:t>
            </w:r>
          </w:p>
        </w:tc>
        <w:tc>
          <w:tcPr>
            <w:tcW w:w="282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Single wafer cleaning, Tahoe and semi-critical cleaning equipment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198,336</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w w:val="98"/>
              </w:rPr>
              <w:t>ECP (front-end and packaging), furnace and other technologies</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25,508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71,223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57,269</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Advanced packaging (excluding ECP), services &amp; spares</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24,685</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Total Revenue By Product Category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168,569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133,709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387,402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280,290</w:t>
            </w: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04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5"/>
              </w:rPr>
              <w:t>Three Months Ended September 30,</w:t>
            </w:r>
          </w:p>
        </w:tc>
        <w:tc>
          <w:tcPr>
            <w:tcW w:w="140" w:type="dxa"/>
            <w:vAlign w:val="bottom"/>
          </w:tcPr>
          <w:p>
            <w:pPr>
              <w:spacing w:after="0"/>
              <w:rPr>
                <w:sz w:val="20"/>
                <w:szCs w:val="20"/>
                <w:color w:val="auto"/>
              </w:rPr>
            </w:pPr>
          </w:p>
        </w:tc>
        <w:tc>
          <w:tcPr>
            <w:tcW w:w="304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5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Mainland China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131,180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375,528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273,585</w:t>
            </w:r>
          </w:p>
        </w:tc>
        <w:tc>
          <w:tcPr>
            <w:tcW w:w="220" w:type="dxa"/>
            <w:vAlign w:val="bottom"/>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Other regions</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2,529</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11,874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6,705</w:t>
            </w:r>
          </w:p>
        </w:tc>
        <w:tc>
          <w:tcPr>
            <w:tcW w:w="22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168,569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133,709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387,402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280,290</w:t>
            </w:r>
          </w:p>
        </w:tc>
        <w:tc>
          <w:tcPr>
            <w:tcW w:w="220" w:type="dxa"/>
            <w:vAlign w:val="bottom"/>
          </w:tcPr>
          <w:p>
            <w:pPr>
              <w:spacing w:after="0"/>
              <w:rPr>
                <w:sz w:val="24"/>
                <w:szCs w:val="24"/>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01"/>
        </w:trPr>
        <w:tc>
          <w:tcPr>
            <w:tcW w:w="5440" w:type="dxa"/>
            <w:vAlign w:val="bottom"/>
            <w:gridSpan w:val="2"/>
          </w:tcPr>
          <w:p>
            <w:pPr>
              <w:spacing w:after="0"/>
              <w:rPr>
                <w:sz w:val="20"/>
                <w:szCs w:val="20"/>
                <w:color w:val="auto"/>
              </w:rPr>
            </w:pPr>
            <w:r>
              <w:rPr>
                <w:rFonts w:ascii="Arial" w:cs="Arial" w:eastAsia="Arial" w:hAnsi="Arial"/>
                <w:sz w:val="18"/>
                <w:szCs w:val="18"/>
                <w:color w:val="auto"/>
                <w:w w:val="92"/>
              </w:rPr>
              <w:t>Below are the accounts receivables and contract liabilities balances as of:</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8"/>
        </w:trPr>
        <w:tc>
          <w:tcPr>
            <w:tcW w:w="5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248,477</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182,936</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Advances from customers</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191,393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153,773</w:t>
            </w:r>
          </w:p>
        </w:tc>
      </w:tr>
      <w:tr>
        <w:trPr>
          <w:trHeight w:val="27"/>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4,174</w:t>
            </w:r>
          </w:p>
        </w:tc>
      </w:tr>
      <w:tr>
        <w:trPr>
          <w:trHeight w:val="27"/>
        </w:trPr>
        <w:tc>
          <w:tcPr>
            <w:tcW w:w="5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advances from customers increased by $37.6 million, due to an increase of payments made by customers for first tools under evaluation, and an increase in customer pre-payments for tools prior to delivery.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NOTE 4 – ACCOUNTS RECEIVABLE</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8060" w:type="dxa"/>
            <w:vAlign w:val="bottom"/>
          </w:tcPr>
          <w:p>
            <w:pPr>
              <w:spacing w:after="0"/>
              <w:rPr>
                <w:sz w:val="20"/>
                <w:szCs w:val="20"/>
                <w:color w:val="auto"/>
              </w:rPr>
            </w:pPr>
            <w:r>
              <w:rPr>
                <w:rFonts w:ascii="Arial" w:cs="Arial" w:eastAsia="Arial" w:hAnsi="Arial"/>
                <w:sz w:val="18"/>
                <w:szCs w:val="18"/>
                <w:color w:val="auto"/>
              </w:rPr>
              <w:t>At September 30, 2023 and December 31, 2022, accounts receivable, net consisted of the following:</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8"/>
        </w:trPr>
        <w:tc>
          <w:tcPr>
            <w:tcW w:w="8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182,936</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Less: Allowance for credit losses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182,936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8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effect of change in accounting principle under ASC 326, before tax, as of January 1,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Provision for credit loss expense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(1,622)</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 before tax, as of September 30,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$65.5 million increase in accounts receivable for the first nine months of 2023 corresponds to a $107.1 million increase in revenue as compared to the same period in 2022.</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assesses collectability by reviewing accounts receivable on a collective basis where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 As a result of the Company’s adoption of ASC 326 as of January 1, 2023 (Note 2), the Company recorded an allowance for credit losses as of September 30, 2023, as compared to no allowance for credit losses as of December 31, 2022.</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NOTE 5 – INVENTORIES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8060" w:type="dxa"/>
            <w:vAlign w:val="bottom"/>
          </w:tcPr>
          <w:p>
            <w:pPr>
              <w:spacing w:after="0"/>
              <w:rPr>
                <w:sz w:val="20"/>
                <w:szCs w:val="20"/>
                <w:color w:val="auto"/>
              </w:rPr>
            </w:pPr>
            <w:r>
              <w:rPr>
                <w:rFonts w:ascii="Arial" w:cs="Arial" w:eastAsia="Arial" w:hAnsi="Arial"/>
                <w:sz w:val="18"/>
                <w:szCs w:val="18"/>
                <w:color w:val="auto"/>
              </w:rPr>
              <w:t>At September 30, 2023 and December 31, 2022, inventories, net consisted of the following: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8"/>
        </w:trPr>
        <w:tc>
          <w:tcPr>
            <w:tcW w:w="8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167,135</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83,386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79,126</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146,911</w:t>
            </w:r>
          </w:p>
        </w:tc>
      </w:tr>
      <w:tr>
        <w:trPr>
          <w:trHeight w:val="263"/>
        </w:trPr>
        <w:tc>
          <w:tcPr>
            <w:tcW w:w="80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507,431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393,172</w:t>
            </w:r>
          </w:p>
        </w:tc>
      </w:tr>
      <w:tr>
        <w:trPr>
          <w:trHeight w:val="21"/>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are stated at the lower of cost or net realizable value on a moving weighted average basis. At September 30, 2023 and December 31, 2022, the value of finished goods inventory of which were first-tools at customer physical locations for which customers were contractually obligated to take ownership upon acceptance totaled $140,788 and $123,169, respectively. At September 30, 2023 and December 31, 2022, the value of finished goods inventory of which were first-tools in warehouse but not delivered to customers for which customers were contractually obligated to take ownership upon acceptance totaled $38,763 and $0, respectively.</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$39.2 million increase in raw materials and work-in-process inventory at September 30, 2023 compared to December 31, 2022 was due to additional purchase of supplies to support a higher level of expected shipments for the next several quarters, and to reduce the risk of supply chain delays to meet anticipated customer demand for the Company’s products. The $75.1 million increase in finished goods inventory at September 30, 2023 compared to December 31, 2022 reflects an increase in completed tools not yet shipped to the customer, and a higher value of first-tools that have been shipped but have not been accepted by the customers.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products each require a certain degree of customization, and the substantial majority of the work-in-process inventory and finished goods inventory is built to meet a specific customer order for a repeat shipment or a first tool shipment. At the end of each period, the Company assesses the status of each item in work-in-process and finished goods inventory. The Company recognizes a loss or impairment if in management’s judgement the inventory cannot be sold or used for production, if it has been damaged or should be considered as obsolete, or if the net realizable value is lower than the cost.</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end of each period, the Company also assesses the status of its raw materials. The Company recognizes a loss or impairment for any raw materials aged more than three years. The three-year aging is based on the Company’s assessment of technology change, its requirement to maintain stock for warranty coverage, and other factors.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30, 2023 and 2022, provision for inventory of $1,807 and $1,157 were recognized in cost of revenue, respectively. During the nine months ended September 30, 2023 and 2022, provision for inventory of $5,031 and $1,739 were recognized in cost of revenue, respectively. Write-downs were due to an internal assessment that certain inventory could not be sold or used for production due to damage or obsolescence.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NOTE 6 – PROPERTY, PLANT AND EQUIPMENT, NET</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60" w:type="dxa"/>
            <w:vAlign w:val="bottom"/>
          </w:tcPr>
          <w:p>
            <w:pPr>
              <w:spacing w:after="0"/>
              <w:rPr>
                <w:sz w:val="20"/>
                <w:szCs w:val="20"/>
                <w:color w:val="auto"/>
              </w:rPr>
            </w:pPr>
            <w:r>
              <w:rPr>
                <w:rFonts w:ascii="Arial" w:cs="Arial" w:eastAsia="Arial" w:hAnsi="Arial"/>
                <w:sz w:val="18"/>
                <w:szCs w:val="18"/>
                <w:color w:val="auto"/>
                <w:w w:val="95"/>
              </w:rPr>
              <w:t>At September 30, 2023 and December 31, 2022, property, plant and equipment consisted of the following:</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8"/>
        </w:trPr>
        <w:tc>
          <w:tcPr>
            <w:tcW w:w="8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plants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35,864</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9,298</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Transportation equipment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7,173</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Total cost</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56,433</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Total accumulated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(10,047)</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92,573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36,489</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190,882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Depreciation and amortization expense for the three months ended September 30, 2023 and 2022 was $2,023 and $897 respectively, and $5,077 and $3,281 for the nine months ended September 30, 2023 and 2022, respectively. Buildings and plants represent Lingang housing property owned by ACM Shengwei at a value of RMB 263,979 ($34,790) as of September 30, 2023, and facilities for the new headquarters of ACM Shanghai ("Zhangjiang New Building") at a value of RMB 338,848 ($47,201) as of September 30, 2023. As of September 30, 2023, ACM Shanghai is in the process of obtaining property ownership certificate for Zhangjiang New Building. The Lingang housing property is pledged as security for loans from China Merchants Bank (Note 12).</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Construction in progress primarily reflects costs incurred related to the construction of ACM Shanghai’s Lingang development and production center.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NOTE 7 – LAND USE RIGHT, NET</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60" w:type="dxa"/>
            <w:vAlign w:val="bottom"/>
          </w:tcPr>
          <w:p>
            <w:pPr>
              <w:spacing w:after="0"/>
              <w:rPr>
                <w:sz w:val="20"/>
                <w:szCs w:val="20"/>
                <w:color w:val="auto"/>
              </w:rPr>
            </w:pPr>
            <w:r>
              <w:rPr>
                <w:rFonts w:ascii="Arial" w:cs="Arial" w:eastAsia="Arial" w:hAnsi="Arial"/>
                <w:sz w:val="18"/>
                <w:szCs w:val="18"/>
                <w:color w:val="auto"/>
              </w:rPr>
              <w:t>A summary of land use right is as follows: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8"/>
        </w:trPr>
        <w:tc>
          <w:tcPr>
            <w:tcW w:w="8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use right purchase amount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9,149</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use right,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ACM Shanghai, through its wholly-owned subsidiary ACM Lingang, entered into an agreement for a 50-year land use right in the Lingang region of Shanghai. In July 2020, ACM Lingang began a multi-year construction project for a new 1,000,000 square foot development and production center that will incorporate new manufacturing systems and automation technologies and will provide floor space to support significantly increased production capacity and related research and development activities.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amortization for the three months ended September 30, 2023 and 2022 was $44 and $45, respectively, and for the nine months ended September 30, 2023 and 2022 was $136 and $144,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annual amortization of land use right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ind w:left="388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 and 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63"/>
        </w:trPr>
        <w:tc>
          <w:tcPr>
            <w:tcW w:w="80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8,299</w:t>
            </w:r>
          </w:p>
        </w:tc>
        <w:tc>
          <w:tcPr>
            <w:tcW w:w="0" w:type="dxa"/>
            <w:vAlign w:val="bottom"/>
          </w:tcPr>
          <w:p>
            <w:pPr>
              <w:spacing w:after="0"/>
              <w:rPr>
                <w:sz w:val="1"/>
                <w:szCs w:val="1"/>
                <w:color w:val="auto"/>
              </w:rPr>
            </w:pPr>
          </w:p>
        </w:tc>
      </w:tr>
      <w:tr>
        <w:trPr>
          <w:trHeight w:val="21"/>
        </w:trPr>
        <w:tc>
          <w:tcPr>
            <w:tcW w:w="8060" w:type="dxa"/>
            <w:vAlign w:val="bottom"/>
            <w:vMerge w:val="restart"/>
          </w:tcPr>
          <w:p>
            <w:pPr>
              <w:spacing w:after="0"/>
              <w:rPr>
                <w:sz w:val="20"/>
                <w:szCs w:val="20"/>
                <w:color w:val="auto"/>
              </w:rPr>
            </w:pPr>
            <w:r>
              <w:rPr>
                <w:rFonts w:ascii="Arial" w:cs="Arial" w:eastAsia="Arial" w:hAnsi="Arial"/>
                <w:sz w:val="18"/>
                <w:szCs w:val="18"/>
                <w:b w:val="1"/>
                <w:bCs w:val="1"/>
                <w:color w:val="auto"/>
              </w:rPr>
              <w:t>NOTE 8 – OTHER LONG-TERM ASSETS</w:t>
            </w: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60" w:type="dxa"/>
            <w:vAlign w:val="bottom"/>
          </w:tcPr>
          <w:p>
            <w:pPr>
              <w:spacing w:after="0"/>
              <w:rPr>
                <w:sz w:val="20"/>
                <w:szCs w:val="20"/>
                <w:color w:val="auto"/>
              </w:rPr>
            </w:pPr>
            <w:r>
              <w:rPr>
                <w:rFonts w:ascii="Arial" w:cs="Arial" w:eastAsia="Arial" w:hAnsi="Arial"/>
                <w:sz w:val="18"/>
                <w:szCs w:val="18"/>
                <w:color w:val="auto"/>
              </w:rPr>
              <w:t>At September 30, 2023 and December 31, 2022, other long-term assets consisted of the following:</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Prepayment for property, plant and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Lease deposit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Security deposit for land use right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Prepayment for property - Zhangjiang New Building</w:t>
            </w:r>
          </w:p>
        </w:tc>
        <w:tc>
          <w:tcPr>
            <w:tcW w:w="18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47,251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64"/>
        </w:trPr>
        <w:tc>
          <w:tcPr>
            <w:tcW w:w="8060" w:type="dxa"/>
            <w:vAlign w:val="bottom"/>
          </w:tcPr>
          <w:p>
            <w:pPr>
              <w:ind w:left="20"/>
              <w:spacing w:after="0"/>
              <w:rPr>
                <w:sz w:val="20"/>
                <w:szCs w:val="20"/>
                <w:color w:val="auto"/>
              </w:rPr>
            </w:pPr>
            <w:r>
              <w:rPr>
                <w:rFonts w:ascii="Arial" w:cs="Arial" w:eastAsia="Arial" w:hAnsi="Arial"/>
                <w:sz w:val="18"/>
                <w:szCs w:val="18"/>
                <w:color w:val="auto"/>
              </w:rPr>
              <w:t>Total other long-term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Prepayment for property - Zhangjiang New Building is for the new corporate headquarters of ACM Shanghai. Pursuant to contractual agreements, ownership of Zhangjiang New Building was transferred to ACM Shanghai in February 2023 at value of RMB 338,848 ($47,201). Upon the transfer of ownership, Prepayment for property - Zhangjiang New Building was reclassified to property, plant and equipment (Note 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SHORT-TERM BORROWINGS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and December 31, 2022, short-term borrowings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September 30,</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7"/>
        </w:trPr>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Line of credit up to RMB 150,000 from China Everbright Bank,</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1)due on August 17, 2023 with an annual interest rate of 3.40%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8,616</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2)due on September 1, 2023 with an annual interest rate of 3.60%</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r>
      <w:tr>
        <w:trPr>
          <w:trHeight w:val="243"/>
        </w:trPr>
        <w:tc>
          <w:tcPr>
            <w:tcW w:w="7060" w:type="dxa"/>
            <w:vAlign w:val="bottom"/>
          </w:tcPr>
          <w:p>
            <w:pPr>
              <w:ind w:left="160"/>
              <w:spacing w:after="0"/>
              <w:rPr>
                <w:sz w:val="20"/>
                <w:szCs w:val="20"/>
                <w:color w:val="auto"/>
              </w:rPr>
            </w:pPr>
            <w:r>
              <w:rPr>
                <w:rFonts w:ascii="Arial" w:cs="Arial" w:eastAsia="Arial" w:hAnsi="Arial"/>
                <w:sz w:val="18"/>
                <w:szCs w:val="18"/>
                <w:color w:val="auto"/>
              </w:rPr>
              <w:t>3)due on December 16, 2023 with an annual interest rate of 3.00%</w:t>
            </w:r>
          </w:p>
        </w:tc>
        <w:tc>
          <w:tcPr>
            <w:tcW w:w="14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4,179</w:t>
            </w:r>
          </w:p>
        </w:tc>
        <w:tc>
          <w:tcPr>
            <w:tcW w:w="1180" w:type="dxa"/>
            <w:vAlign w:val="bottom"/>
          </w:tcPr>
          <w:p>
            <w:pPr>
              <w:jc w:val="right"/>
              <w:spacing w:after="0"/>
              <w:rPr>
                <w:sz w:val="20"/>
                <w:szCs w:val="20"/>
                <w:color w:val="auto"/>
              </w:rPr>
            </w:pPr>
            <w:r>
              <w:rPr>
                <w:rFonts w:ascii="Arial" w:cs="Arial" w:eastAsia="Arial" w:hAnsi="Arial"/>
                <w:sz w:val="18"/>
                <w:szCs w:val="18"/>
                <w:color w:val="auto"/>
              </w:rPr>
              <w:t>4,308</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4)due on August 29, 2024 with an annual interest rate of 3.00%</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2,429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Line of credit up to RMB 100,000 from Bank of Communications,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1)due on August 11, 2023 with an annual interest rate of 3.60%</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2)due on September 5, 2023 with an annual interest rate of 3.50%</w:t>
            </w:r>
          </w:p>
        </w:tc>
        <w:tc>
          <w:tcPr>
            <w:tcW w:w="14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5,744</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Line of credit up to RMB 40,000 from Bank of China,</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1)due on August 26, 2023 with an annual interest rate of 3.15%.</w:t>
            </w:r>
          </w:p>
        </w:tc>
        <w:tc>
          <w:tcPr>
            <w:tcW w:w="14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5,744</w:t>
            </w:r>
          </w:p>
        </w:tc>
      </w:tr>
      <w:tr>
        <w:trPr>
          <w:trHeight w:val="270"/>
        </w:trPr>
        <w:tc>
          <w:tcPr>
            <w:tcW w:w="7060" w:type="dxa"/>
            <w:vAlign w:val="bottom"/>
          </w:tcPr>
          <w:p>
            <w:pPr>
              <w:ind w:left="20"/>
              <w:spacing w:after="0"/>
              <w:rPr>
                <w:sz w:val="20"/>
                <w:szCs w:val="20"/>
                <w:color w:val="auto"/>
              </w:rPr>
            </w:pPr>
            <w:r>
              <w:rPr>
                <w:rFonts w:ascii="Arial" w:cs="Arial" w:eastAsia="Arial" w:hAnsi="Arial"/>
                <w:sz w:val="18"/>
                <w:szCs w:val="18"/>
                <w:color w:val="auto"/>
              </w:rPr>
              <w:t>Line of credit up to RMB 40,000 from Bank of China,</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ind w:left="280"/>
              <w:spacing w:after="0"/>
              <w:rPr>
                <w:sz w:val="20"/>
                <w:szCs w:val="20"/>
                <w:color w:val="auto"/>
              </w:rPr>
            </w:pPr>
            <w:r>
              <w:rPr>
                <w:rFonts w:ascii="Arial" w:cs="Arial" w:eastAsia="Arial" w:hAnsi="Arial"/>
                <w:sz w:val="18"/>
                <w:szCs w:val="18"/>
                <w:color w:val="auto"/>
              </w:rPr>
              <w:t>1)due on September 6, 2024 with an annual interest rate of 2.87%</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5,572</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r>
      <w:tr>
        <w:trPr>
          <w:trHeight w:val="270"/>
        </w:trPr>
        <w:tc>
          <w:tcPr>
            <w:tcW w:w="7060" w:type="dxa"/>
            <w:vAlign w:val="bottom"/>
          </w:tcPr>
          <w:p>
            <w:pPr>
              <w:ind w:left="20"/>
              <w:spacing w:after="0"/>
              <w:rPr>
                <w:sz w:val="20"/>
                <w:szCs w:val="20"/>
                <w:color w:val="auto"/>
              </w:rPr>
            </w:pPr>
            <w:r>
              <w:rPr>
                <w:rFonts w:ascii="Arial" w:cs="Arial" w:eastAsia="Arial" w:hAnsi="Arial"/>
                <w:sz w:val="18"/>
                <w:szCs w:val="18"/>
                <w:color w:val="auto"/>
              </w:rPr>
              <w:t>Line of credit up to RMB 100,000 from China Merchants Bank,</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1)due on July 21, 2023 with an annual interest rate of 3.50%.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400" w:type="dxa"/>
            <w:vAlign w:val="bottom"/>
          </w:tcPr>
          <w:p>
            <w:pPr>
              <w:spacing w:after="0"/>
              <w:rPr>
                <w:sz w:val="21"/>
                <w:szCs w:val="21"/>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2)due on July 27, 2023 with an annual interest rate of 3.50%.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1,292</w:t>
            </w:r>
          </w:p>
        </w:tc>
        <w:tc>
          <w:tcPr>
            <w:tcW w:w="14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3)due on August 1, 2023 with an annual interest rate of 3.50%.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400" w:type="dxa"/>
            <w:vAlign w:val="bottom"/>
          </w:tcPr>
          <w:p>
            <w:pPr>
              <w:spacing w:after="0"/>
              <w:rPr>
                <w:sz w:val="21"/>
                <w:szCs w:val="21"/>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4)due on August 3, 2023 with an annual interest rate of 3.50%.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1,292</w:t>
            </w:r>
          </w:p>
        </w:tc>
        <w:tc>
          <w:tcPr>
            <w:tcW w:w="14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5)due on August 7, 2023 with an annual interest rate of 3.50%.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400" w:type="dxa"/>
            <w:vAlign w:val="bottom"/>
          </w:tcPr>
          <w:p>
            <w:pPr>
              <w:spacing w:after="0"/>
              <w:rPr>
                <w:sz w:val="21"/>
                <w:szCs w:val="21"/>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6)due on August 14, 2023 with an annual interest rate of 3.50%.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1,293</w:t>
            </w:r>
          </w:p>
        </w:tc>
        <w:tc>
          <w:tcPr>
            <w:tcW w:w="14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7)due on August 15, 2023 with an annual interest rate of 3.50%.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400" w:type="dxa"/>
            <w:vAlign w:val="bottom"/>
          </w:tcPr>
          <w:p>
            <w:pPr>
              <w:spacing w:after="0"/>
              <w:rPr>
                <w:sz w:val="21"/>
                <w:szCs w:val="21"/>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8)due on August 21, 2023 with an annual interest rate of 3.50%.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1,005</w:t>
            </w:r>
          </w:p>
        </w:tc>
        <w:tc>
          <w:tcPr>
            <w:tcW w:w="14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9)due on August 28, 2023 with an annual interest rate of 3.50%.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400" w:type="dxa"/>
            <w:vAlign w:val="bottom"/>
          </w:tcPr>
          <w:p>
            <w:pPr>
              <w:spacing w:after="0"/>
              <w:rPr>
                <w:sz w:val="21"/>
                <w:szCs w:val="21"/>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10)due on September 13, 2023 with an annual interest rate of 3.50%.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1,292</w:t>
            </w:r>
          </w:p>
        </w:tc>
        <w:tc>
          <w:tcPr>
            <w:tcW w:w="14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11)due on September 20, 2023 with an annual interest rate of 3.50%.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400" w:type="dxa"/>
            <w:vAlign w:val="bottom"/>
          </w:tcPr>
          <w:p>
            <w:pPr>
              <w:spacing w:after="0"/>
              <w:rPr>
                <w:sz w:val="21"/>
                <w:szCs w:val="21"/>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12)due on October 7, 2023 with an annual interest rate of 3.50%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w:t>
            </w:r>
          </w:p>
        </w:tc>
        <w:tc>
          <w:tcPr>
            <w:tcW w:w="14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Line of credit up to RMB 200,000 from China Merchants Bank,</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7060" w:type="dxa"/>
            <w:vAlign w:val="bottom"/>
          </w:tcPr>
          <w:p>
            <w:pPr>
              <w:ind w:left="80"/>
              <w:spacing w:after="0"/>
              <w:rPr>
                <w:sz w:val="20"/>
                <w:szCs w:val="20"/>
                <w:color w:val="auto"/>
              </w:rPr>
            </w:pPr>
            <w:r>
              <w:rPr>
                <w:rFonts w:ascii="Arial" w:cs="Arial" w:eastAsia="Arial" w:hAnsi="Arial"/>
                <w:sz w:val="18"/>
                <w:szCs w:val="18"/>
                <w:color w:val="auto"/>
              </w:rPr>
              <w:t>1)due on August 7, 2024 with an annual interest rate of 3.00%.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2)due on August 8, 2024 with an annual interest rate of 3.00%.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43"/>
        </w:trPr>
        <w:tc>
          <w:tcPr>
            <w:tcW w:w="7060" w:type="dxa"/>
            <w:vAlign w:val="bottom"/>
          </w:tcPr>
          <w:p>
            <w:pPr>
              <w:ind w:left="80"/>
              <w:spacing w:after="0"/>
              <w:rPr>
                <w:sz w:val="20"/>
                <w:szCs w:val="20"/>
                <w:color w:val="auto"/>
              </w:rPr>
            </w:pPr>
            <w:r>
              <w:rPr>
                <w:rFonts w:ascii="Arial" w:cs="Arial" w:eastAsia="Arial" w:hAnsi="Arial"/>
                <w:sz w:val="18"/>
                <w:szCs w:val="18"/>
                <w:color w:val="auto"/>
              </w:rPr>
              <w:t>3)due on August 9, 2024 with an annual interest rate of 3.00%.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4)due on August 14, 2024 with an annual interest rate of 3.00%.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43"/>
        </w:trPr>
        <w:tc>
          <w:tcPr>
            <w:tcW w:w="7060" w:type="dxa"/>
            <w:vAlign w:val="bottom"/>
          </w:tcPr>
          <w:p>
            <w:pPr>
              <w:ind w:left="80"/>
              <w:spacing w:after="0"/>
              <w:rPr>
                <w:sz w:val="20"/>
                <w:szCs w:val="20"/>
                <w:color w:val="auto"/>
              </w:rPr>
            </w:pPr>
            <w:r>
              <w:rPr>
                <w:rFonts w:ascii="Arial" w:cs="Arial" w:eastAsia="Arial" w:hAnsi="Arial"/>
                <w:sz w:val="18"/>
                <w:szCs w:val="18"/>
                <w:color w:val="auto"/>
              </w:rPr>
              <w:t>5)due on August 17, 2024 with an annual interest rate of 3.00%.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6)due on August 20, 2024 with an annual interest rate of 3.00%.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43"/>
        </w:trPr>
        <w:tc>
          <w:tcPr>
            <w:tcW w:w="7060" w:type="dxa"/>
            <w:vAlign w:val="bottom"/>
          </w:tcPr>
          <w:p>
            <w:pPr>
              <w:ind w:left="80"/>
              <w:spacing w:after="0"/>
              <w:rPr>
                <w:sz w:val="20"/>
                <w:szCs w:val="20"/>
                <w:color w:val="auto"/>
              </w:rPr>
            </w:pPr>
            <w:r>
              <w:rPr>
                <w:rFonts w:ascii="Arial" w:cs="Arial" w:eastAsia="Arial" w:hAnsi="Arial"/>
                <w:sz w:val="18"/>
                <w:szCs w:val="18"/>
                <w:color w:val="auto"/>
              </w:rPr>
              <w:t>7)due on August 21, 2024 with an annual interest rate of 3.00%.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8)due on August 22, 2024 with an annual interest rate of 3.00%.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43"/>
        </w:trPr>
        <w:tc>
          <w:tcPr>
            <w:tcW w:w="7060" w:type="dxa"/>
            <w:vAlign w:val="bottom"/>
          </w:tcPr>
          <w:p>
            <w:pPr>
              <w:ind w:left="80"/>
              <w:spacing w:after="0"/>
              <w:rPr>
                <w:sz w:val="20"/>
                <w:szCs w:val="20"/>
                <w:color w:val="auto"/>
              </w:rPr>
            </w:pPr>
            <w:r>
              <w:rPr>
                <w:rFonts w:ascii="Arial" w:cs="Arial" w:eastAsia="Arial" w:hAnsi="Arial"/>
                <w:sz w:val="18"/>
                <w:szCs w:val="18"/>
                <w:color w:val="auto"/>
              </w:rPr>
              <w:t>9)due on August 24, 2024 with an annual interest rate of 3.00%.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10)due on August 27, 2024 with an annual interest rate of 3.00%.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43"/>
        </w:trPr>
        <w:tc>
          <w:tcPr>
            <w:tcW w:w="7060" w:type="dxa"/>
            <w:vAlign w:val="bottom"/>
          </w:tcPr>
          <w:p>
            <w:pPr>
              <w:ind w:left="80"/>
              <w:spacing w:after="0"/>
              <w:rPr>
                <w:sz w:val="20"/>
                <w:szCs w:val="20"/>
                <w:color w:val="auto"/>
              </w:rPr>
            </w:pPr>
            <w:r>
              <w:rPr>
                <w:rFonts w:ascii="Arial" w:cs="Arial" w:eastAsia="Arial" w:hAnsi="Arial"/>
                <w:sz w:val="18"/>
                <w:szCs w:val="18"/>
                <w:color w:val="auto"/>
              </w:rPr>
              <w:t>11)due on August 29, 2024 with an annual interest rate of 3.00%.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12)due on August 30, 2024 with an annual interest rate of 3.00%.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43"/>
        </w:trPr>
        <w:tc>
          <w:tcPr>
            <w:tcW w:w="7060" w:type="dxa"/>
            <w:vAlign w:val="bottom"/>
          </w:tcPr>
          <w:p>
            <w:pPr>
              <w:ind w:left="80"/>
              <w:spacing w:after="0"/>
              <w:rPr>
                <w:sz w:val="20"/>
                <w:szCs w:val="20"/>
                <w:color w:val="auto"/>
              </w:rPr>
            </w:pPr>
            <w:r>
              <w:rPr>
                <w:rFonts w:ascii="Arial" w:cs="Arial" w:eastAsia="Arial" w:hAnsi="Arial"/>
                <w:sz w:val="18"/>
                <w:szCs w:val="18"/>
                <w:color w:val="auto"/>
              </w:rPr>
              <w:t>13)due on September 3, 2024 with an annual interest rate of 3.00%.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1,253</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14)due on September 5, 2024 with an annual interest rate of 3.00%.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43"/>
        </w:trPr>
        <w:tc>
          <w:tcPr>
            <w:tcW w:w="7060" w:type="dxa"/>
            <w:vAlign w:val="bottom"/>
          </w:tcPr>
          <w:p>
            <w:pPr>
              <w:ind w:left="80"/>
              <w:spacing w:after="0"/>
              <w:rPr>
                <w:sz w:val="20"/>
                <w:szCs w:val="20"/>
                <w:color w:val="auto"/>
              </w:rPr>
            </w:pPr>
            <w:r>
              <w:rPr>
                <w:rFonts w:ascii="Arial" w:cs="Arial" w:eastAsia="Arial" w:hAnsi="Arial"/>
                <w:sz w:val="18"/>
                <w:szCs w:val="18"/>
                <w:color w:val="auto"/>
              </w:rPr>
              <w:t>15)due on September 6, 2024 with an annual interest rate of 3.00%.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1,253</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16)due on September 10, 2024 with an annual interest rate of 3.00%.</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43"/>
        </w:trPr>
        <w:tc>
          <w:tcPr>
            <w:tcW w:w="7060" w:type="dxa"/>
            <w:vAlign w:val="bottom"/>
          </w:tcPr>
          <w:p>
            <w:pPr>
              <w:ind w:left="80"/>
              <w:spacing w:after="0"/>
              <w:rPr>
                <w:sz w:val="20"/>
                <w:szCs w:val="20"/>
                <w:color w:val="auto"/>
              </w:rPr>
            </w:pPr>
            <w:r>
              <w:rPr>
                <w:rFonts w:ascii="Arial" w:cs="Arial" w:eastAsia="Arial" w:hAnsi="Arial"/>
                <w:sz w:val="18"/>
                <w:szCs w:val="18"/>
                <w:color w:val="auto"/>
              </w:rPr>
              <w:t>17)due on September 12, 2024 with an annual interest rate of 3.00%.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1,253</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289"/>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33,911</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56,004</w:t>
            </w:r>
          </w:p>
        </w:tc>
        <w:tc>
          <w:tcPr>
            <w:tcW w:w="1400" w:type="dxa"/>
            <w:vAlign w:val="bottom"/>
          </w:tcPr>
          <w:p>
            <w:pPr>
              <w:spacing w:after="0"/>
              <w:rPr>
                <w:sz w:val="24"/>
                <w:szCs w:val="24"/>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96" w:lineRule="exact"/>
        <w:rPr>
          <w:sz w:val="20"/>
          <w:szCs w:val="20"/>
          <w:color w:val="auto"/>
        </w:rPr>
      </w:pPr>
    </w:p>
    <w:p>
      <w:pPr>
        <w:ind w:hanging="61"/>
        <w:spacing w:after="0" w:line="342" w:lineRule="auto"/>
        <w:rPr>
          <w:sz w:val="20"/>
          <w:szCs w:val="20"/>
          <w:color w:val="auto"/>
        </w:rPr>
      </w:pPr>
      <w:r>
        <w:rPr>
          <w:rFonts w:ascii="Arial" w:cs="Arial" w:eastAsia="Arial" w:hAnsi="Arial"/>
          <w:sz w:val="16"/>
          <w:szCs w:val="16"/>
          <w:color w:val="auto"/>
        </w:rPr>
        <w:t>or the three months ended September 30, 2023 and 2022, interest expense related to short-term borrowings amounted to $364 and $201, respectively, and for the nine months ended September 30, 2023 and 2022, interest expense related to short-term borrowings amounted to $1,338 and $326, respectively.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PAYABLES AND 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and December 31, 2022, other payables and accrued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2211705"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11705" cy="445770"/>
                    </a:xfrm>
                    <a:prstGeom prst="rect">
                      <a:avLst/>
                    </a:prstGeom>
                    <a:noFill/>
                  </pic:spPr>
                </pic:pic>
              </a:graphicData>
            </a:graphic>
          </wp:anchor>
        </w:drawing>
      </w:r>
    </w:p>
    <w:p>
      <w:pPr>
        <w:spacing w:after="0" w:line="255" w:lineRule="exact"/>
        <w:rPr>
          <w:sz w:val="20"/>
          <w:szCs w:val="20"/>
          <w:color w:val="auto"/>
        </w:rPr>
      </w:pPr>
    </w:p>
    <w:p>
      <w:pPr>
        <w:jc w:val="center"/>
        <w:ind w:right="7740"/>
        <w:spacing w:after="0"/>
        <w:rPr>
          <w:sz w:val="20"/>
          <w:szCs w:val="20"/>
          <w:color w:val="auto"/>
        </w:rPr>
      </w:pPr>
      <w:r>
        <w:rPr>
          <w:rFonts w:ascii="Arial" w:cs="Arial" w:eastAsia="Arial" w:hAnsi="Arial"/>
          <w:sz w:val="18"/>
          <w:szCs w:val="18"/>
          <w:b w:val="1"/>
          <w:bCs w:val="1"/>
          <w:color w:val="auto"/>
        </w:rPr>
        <w:t>September December</w:t>
      </w:r>
    </w:p>
    <w:p>
      <w:pPr>
        <w:spacing w:after="0" w:line="27" w:lineRule="exact"/>
        <w:rPr>
          <w:sz w:val="20"/>
          <w:szCs w:val="20"/>
          <w:color w:val="auto"/>
        </w:rPr>
      </w:pPr>
    </w:p>
    <w:p>
      <w:pPr>
        <w:ind w:left="2120"/>
        <w:spacing w:after="0"/>
        <w:tabs>
          <w:tab w:leader="none" w:pos="294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31,</w:t>
      </w:r>
    </w:p>
    <w:p>
      <w:pPr>
        <w:spacing w:after="0" w:line="9" w:lineRule="exact"/>
        <w:rPr>
          <w:sz w:val="20"/>
          <w:szCs w:val="20"/>
          <w:color w:val="auto"/>
        </w:rPr>
      </w:pPr>
    </w:p>
    <w:p>
      <w:pPr>
        <w:ind w:left="2060"/>
        <w:spacing w:after="0"/>
        <w:tabs>
          <w:tab w:leader="none" w:pos="288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22860</wp:posOffset>
            </wp:positionV>
            <wp:extent cx="10712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ind w:left="20"/>
              <w:spacing w:after="0"/>
              <w:rPr>
                <w:sz w:val="20"/>
                <w:szCs w:val="20"/>
                <w:color w:val="auto"/>
              </w:rPr>
            </w:pPr>
            <w:r>
              <w:rPr>
                <w:rFonts w:ascii="Arial" w:cs="Arial" w:eastAsia="Arial" w:hAnsi="Arial"/>
                <w:sz w:val="18"/>
                <w:szCs w:val="18"/>
                <w:color w:val="auto"/>
              </w:rPr>
              <w:t>Accrued commissions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14,890</w:t>
            </w:r>
          </w:p>
        </w:tc>
      </w:tr>
      <w:tr>
        <w:trPr>
          <w:trHeight w:val="27"/>
        </w:trPr>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warranty</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10,448</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8,780</w:t>
            </w:r>
          </w:p>
        </w:tc>
      </w:tr>
      <w:tr>
        <w:trPr>
          <w:trHeight w:val="243"/>
        </w:trPr>
        <w:tc>
          <w:tcPr>
            <w:tcW w:w="180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13,713</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12,201</w:t>
            </w:r>
          </w:p>
        </w:tc>
      </w:tr>
      <w:tr>
        <w:trPr>
          <w:trHeight w:val="27"/>
        </w:trPr>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Accrued machine</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1800" w:type="dxa"/>
            <w:vAlign w:val="bottom"/>
          </w:tcPr>
          <w:p>
            <w:pPr>
              <w:ind w:left="20"/>
              <w:spacing w:after="0"/>
              <w:rPr>
                <w:sz w:val="20"/>
                <w:szCs w:val="20"/>
                <w:color w:val="auto"/>
              </w:rPr>
            </w:pPr>
            <w:r>
              <w:rPr>
                <w:rFonts w:ascii="Arial" w:cs="Arial" w:eastAsia="Arial" w:hAnsi="Arial"/>
                <w:sz w:val="18"/>
                <w:szCs w:val="18"/>
                <w:color w:val="auto"/>
              </w:rPr>
              <w:t>testing fees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7"/>
        </w:trPr>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Accrued machine sales</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5,874</w:t>
            </w: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Accrued Lingang</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1800" w:type="dxa"/>
            <w:vAlign w:val="bottom"/>
          </w:tcPr>
          <w:p>
            <w:pPr>
              <w:ind w:left="20"/>
              <w:spacing w:after="0"/>
              <w:rPr>
                <w:sz w:val="20"/>
                <w:szCs w:val="20"/>
                <w:color w:val="auto"/>
              </w:rPr>
            </w:pPr>
            <w:r>
              <w:rPr>
                <w:rFonts w:ascii="Arial" w:cs="Arial" w:eastAsia="Arial" w:hAnsi="Arial"/>
                <w:sz w:val="18"/>
                <w:szCs w:val="18"/>
                <w:color w:val="auto"/>
              </w:rPr>
              <w:t>construction fees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27,259</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
        </w:trPr>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7,779</w:t>
            </w:r>
          </w:p>
        </w:tc>
      </w:tr>
      <w:tr>
        <w:trPr>
          <w:trHeight w:val="264"/>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52,201</w:t>
            </w:r>
          </w:p>
        </w:tc>
      </w:tr>
      <w:tr>
        <w:trPr>
          <w:trHeight w:val="20"/>
        </w:trPr>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space under non-cancelable operating leases for several offices and manufacturing locations. These leases do not have significant rent escalation holidays, concessions, leasehold improvement incentives, or other build-out clauses. Further, the leases do not contain contingent rent provisions.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Most leases include one or more options to renew. The Company regularly evaluates the renewal options, and when they are reasonably certain of exercise, the Company includes the renewal period in its lease term.</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ectPr>
          <w:pgSz w:w="11900" w:h="16838" w:orient="portrait"/>
          <w:cols w:equalWidth="0" w:num="1">
            <w:col w:w="11240"/>
          </w:cols>
          <w:pgMar w:left="320" w:top="121" w:right="339" w:bottom="1006" w:gutter="0" w:footer="0" w:header="0"/>
        </w:sectPr>
      </w:pPr>
    </w:p>
    <w:p>
      <w:pPr>
        <w:spacing w:after="0" w:line="275" w:lineRule="exact"/>
        <w:rPr>
          <w:sz w:val="20"/>
          <w:szCs w:val="20"/>
          <w:color w:val="auto"/>
        </w:rPr>
      </w:pPr>
    </w:p>
    <w:p>
      <w:pPr>
        <w:jc w:val="center"/>
        <w:ind w:left="526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22860</wp:posOffset>
            </wp:positionV>
            <wp:extent cx="1465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38" w:lineRule="exact"/>
        <w:rPr>
          <w:sz w:val="20"/>
          <w:szCs w:val="20"/>
          <w:color w:val="auto"/>
        </w:rPr>
      </w:pPr>
    </w:p>
    <w:p>
      <w:pPr>
        <w:ind w:left="5420"/>
        <w:spacing w:after="0"/>
        <w:tabs>
          <w:tab w:leader="none" w:pos="6560" w:val="left"/>
        </w:tabs>
        <w:rPr>
          <w:sz w:val="20"/>
          <w:szCs w:val="20"/>
          <w:color w:val="auto"/>
        </w:rPr>
      </w:pPr>
      <w:r>
        <w:rPr>
          <w:rFonts w:ascii="Arial" w:cs="Arial" w:eastAsia="Arial" w:hAnsi="Arial"/>
          <w:sz w:val="17"/>
          <w:szCs w:val="17"/>
          <w:b w:val="1"/>
          <w:bCs w:val="1"/>
          <w:color w:val="auto"/>
        </w:rPr>
        <w:t>2023</w:t>
      </w:r>
      <w:r>
        <w:rPr>
          <w:sz w:val="20"/>
          <w:szCs w:val="20"/>
          <w:color w:val="auto"/>
        </w:rPr>
        <w:tab/>
      </w:r>
      <w:r>
        <w:rPr>
          <w:rFonts w:ascii="Arial" w:cs="Arial" w:eastAsia="Arial" w:hAnsi="Arial"/>
          <w:sz w:val="17"/>
          <w:szCs w:val="17"/>
          <w:b w:val="1"/>
          <w:bCs w:val="1"/>
          <w:color w:val="auto"/>
        </w:rPr>
        <w:t>2022</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1780"/>
        <w:spacing w:after="0"/>
        <w:rPr>
          <w:sz w:val="20"/>
          <w:szCs w:val="20"/>
          <w:color w:val="auto"/>
        </w:rPr>
      </w:pPr>
      <w:r>
        <w:rPr>
          <w:rFonts w:ascii="Arial" w:cs="Arial" w:eastAsia="Arial" w:hAnsi="Arial"/>
          <w:sz w:val="16"/>
          <w:szCs w:val="16"/>
          <w:b w:val="1"/>
          <w:bCs w:val="1"/>
          <w:color w:val="auto"/>
        </w:rPr>
        <w:t>Nine Months Ended</w:t>
      </w:r>
    </w:p>
    <w:p>
      <w:pPr>
        <w:spacing w:after="0" w:line="50"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22860</wp:posOffset>
            </wp:positionV>
            <wp:extent cx="15259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8"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2023</w:t>
      </w:r>
      <w:r>
        <w:rPr>
          <w:sz w:val="20"/>
          <w:szCs w:val="20"/>
          <w:color w:val="auto"/>
        </w:rPr>
        <w:tab/>
      </w:r>
      <w:r>
        <w:rPr>
          <w:rFonts w:ascii="Arial" w:cs="Arial" w:eastAsia="Arial" w:hAnsi="Arial"/>
          <w:sz w:val="17"/>
          <w:szCs w:val="17"/>
          <w:b w:val="1"/>
          <w:bCs w:val="1"/>
          <w:color w:val="auto"/>
        </w:rPr>
        <w:t>2022</w:t>
      </w:r>
    </w:p>
    <w:p>
      <w:pPr>
        <w:spacing w:after="0" w:line="46" w:lineRule="exact"/>
        <w:rPr>
          <w:sz w:val="20"/>
          <w:szCs w:val="20"/>
          <w:color w:val="auto"/>
        </w:rPr>
      </w:pPr>
    </w:p>
    <w:p>
      <w:pPr>
        <w:sectPr>
          <w:pgSz w:w="11900" w:h="16838" w:orient="portrait"/>
          <w:cols w:equalWidth="0" w:num="2">
            <w:col w:w="7080" w:space="720"/>
            <w:col w:w="3440"/>
          </w:cols>
          <w:pgMar w:left="320" w:top="121" w:right="339" w:bottom="1006"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50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w:t>
            </w: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859</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Three Months Ended September</w:t>
            </w:r>
          </w:p>
        </w:tc>
        <w:tc>
          <w:tcPr>
            <w:tcW w:w="140" w:type="dxa"/>
            <w:vAlign w:val="bottom"/>
          </w:tcPr>
          <w:p>
            <w:pPr>
              <w:spacing w:after="0"/>
              <w:rPr>
                <w:sz w:val="18"/>
                <w:szCs w:val="18"/>
                <w:color w:val="auto"/>
              </w:rPr>
            </w:pPr>
          </w:p>
        </w:tc>
        <w:tc>
          <w:tcPr>
            <w:tcW w:w="2460" w:type="dxa"/>
            <w:vAlign w:val="bottom"/>
            <w:gridSpan w:val="4"/>
          </w:tcPr>
          <w:p>
            <w:pPr>
              <w:ind w:left="2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30,</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rPr>
              <w:t>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w w:val="90"/>
              </w:rPr>
              <w:t>Cash paid for amounts included in the measurement of lease</w:t>
            </w: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4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Operating cash outflow from operating leases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899 $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006"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06"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w w:val="91"/>
              </w:rPr>
              <w:t>As of September 30, 2023, maturities of outstanding lease liabilities for all operating leases were as follows: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2028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2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3"/>
              </w:rPr>
              <w:t>The weighted average remaining lease terms and discount rates for all operating leases were as follows:</w:t>
            </w: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24"/>
                <w:szCs w:val="24"/>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vMerge w:val="restart"/>
          </w:tcPr>
          <w:p>
            <w:pPr>
              <w:ind w:left="20"/>
              <w:spacing w:after="0"/>
              <w:rPr>
                <w:sz w:val="20"/>
                <w:szCs w:val="20"/>
                <w:color w:val="auto"/>
              </w:rPr>
            </w:pPr>
            <w:r>
              <w:rPr>
                <w:rFonts w:ascii="Arial" w:cs="Arial" w:eastAsia="Arial" w:hAnsi="Arial"/>
                <w:sz w:val="18"/>
                <w:szCs w:val="18"/>
                <w:color w:val="auto"/>
              </w:rPr>
              <w:t>Remaining lease term and discount rate:</w:t>
            </w: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3.94 %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4.25 %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7820" w:type="dxa"/>
            <w:vAlign w:val="bottom"/>
          </w:tcPr>
          <w:p>
            <w:pPr>
              <w:spacing w:after="0"/>
              <w:rPr>
                <w:sz w:val="20"/>
                <w:szCs w:val="20"/>
                <w:color w:val="auto"/>
              </w:rPr>
            </w:pPr>
            <w:r>
              <w:rPr>
                <w:rFonts w:ascii="Arial" w:cs="Arial" w:eastAsia="Arial" w:hAnsi="Arial"/>
                <w:sz w:val="18"/>
                <w:szCs w:val="18"/>
                <w:b w:val="1"/>
                <w:bCs w:val="1"/>
                <w:color w:val="auto"/>
              </w:rPr>
              <w:t>NOTE 12 – LONG-TERM BORROWINGS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Arial" w:cs="Arial" w:eastAsia="Arial" w:hAnsi="Arial"/>
                <w:sz w:val="18"/>
                <w:szCs w:val="18"/>
                <w:color w:val="auto"/>
              </w:rPr>
              <w:t>At September 30, 2023 and December 31, 2022, long-term borrowings consisted of the following:</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from China Merchants Bank</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13,595</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Loans from Bank of China</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from Bank of Shanghai</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Loan from China CITIC Bank</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39,753</w:t>
            </w: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loan from China Merchants Bank is for the purpose of purchasing housing property in Lingang, Shanghai. The loan is repayable in 120 total installments with the last installment due in November 2030, with an annual interest rate of 3.95%. The loan is pledged by the property of ACM Lingang and guaranteed by ACM Shanghai. The housing property was transferred to ACM Lingang in January 2022 (Note 6).</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Two loans from Bank of China are for the purpose of funding ACM Shanghai project expenditures. The loans bear interest at an annual rate of 2.6% and are repayable in 6 installments, with the last installments due in June 2024 and September 2024,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loan from Bank of Shanghai is for the purpose of funding ACM Shanghai project expenditures. The loan bears interest at an annual rate of 2.85%, and will be fully repaid in April 2025.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loan from China CITIC Bank is for the purpose of funding ACM Shanghai project expenditures. The loan bears interest at an annual rate of 3.4% and are repayable in 4 installments, with the last installments due in August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and December 31, 2022, the total carrying amount of long-term loans was $46,470 and $21,009, compared with an estimated fair value of $43,151 and $18,538, respectively. The fair value of the long-term loans is estimated by discounting cash flows using interest rates currently available for debts with similar terms and maturities (Level 2 fair value measurement). Refer to Note 2 for an explanation of the fair value hierarchy 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for the outstanding long-term loan, including the current portion, as of September 30, 2023 are as follows:</w:t>
      </w:r>
    </w:p>
    <w:p>
      <w:pPr>
        <w:spacing w:after="0" w:line="27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Year ending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76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Reminder of 2023</w:t>
            </w:r>
          </w:p>
        </w:tc>
        <w:tc>
          <w:tcPr>
            <w:tcW w:w="500" w:type="dxa"/>
            <w:vAlign w:val="bottom"/>
            <w:tcBorders>
              <w:top w:val="single" w:sz="8" w:color="auto"/>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482</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6,664</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29,591</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1,903</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7"/>
        </w:trPr>
        <w:tc>
          <w:tcPr>
            <w:tcW w:w="976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46,470</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September 30, 2023 and 2022, respectively, interest related to long-term borrowings of $276 and $218 was incurred.</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nine months ended September 30, 2023 and 2022, respectively, interest related to long-term borrowings of $646 and $720 was incurred, of which $646 and $660 was charged to interest expenses and $0 and $60 was capitalized as property plant and equipment and other long-term assets,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LONG-TERM LIABILITIES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Other long-term liabilities represent government subsidies received from mainland China governmental authorities for development and commercialization of certain technology but not yet recognized. At September 30, 2023 and December 31, 2022, other long-term liabilities consisted of the following unearned government subsidies: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40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September 30, 2023</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w w:val="91"/>
              </w:rPr>
              <w:t>Subsidies to Stress Free Polishing project, commenced in 2008 and 2017</w:t>
            </w:r>
          </w:p>
        </w:tc>
        <w:tc>
          <w:tcPr>
            <w:tcW w:w="268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Subsidies to Electro Copper Plating project, commenced in 2014</w:t>
            </w:r>
          </w:p>
        </w:tc>
        <w:tc>
          <w:tcPr>
            <w:tcW w:w="2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Subsidies to other cleaning tools, commenced in 2020</w:t>
            </w:r>
          </w:p>
        </w:tc>
        <w:tc>
          <w:tcPr>
            <w:tcW w:w="2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Subsidies to SW Lingang R&amp;D development, commenced in 2021</w:t>
            </w:r>
          </w:p>
        </w:tc>
        <w:tc>
          <w:tcPr>
            <w:tcW w:w="2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Subsidies to CO2 Technology, commenced in 2022</w:t>
            </w:r>
          </w:p>
        </w:tc>
        <w:tc>
          <w:tcPr>
            <w:tcW w:w="2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80" w:type="dxa"/>
            <w:vAlign w:val="bottom"/>
            <w:vMerge w:val="restart"/>
          </w:tcPr>
          <w:p>
            <w:pPr>
              <w:jc w:val="right"/>
              <w:ind w:right="2270"/>
              <w:spacing w:after="0"/>
              <w:rPr>
                <w:sz w:val="20"/>
                <w:szCs w:val="20"/>
                <w:color w:val="auto"/>
              </w:rPr>
            </w:pPr>
            <w:r>
              <w:rPr>
                <w:rFonts w:ascii="Arial" w:cs="Arial" w:eastAsia="Arial" w:hAnsi="Arial"/>
                <w:sz w:val="18"/>
                <w:szCs w:val="18"/>
                <w:color w:val="auto"/>
              </w:rPr>
              <w:t>29</w:t>
            </w: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4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NOTE 14 – LONG-TERM INVESTMENTS</w:t>
            </w:r>
          </w:p>
        </w:tc>
        <w:tc>
          <w:tcPr>
            <w:tcW w:w="1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68"/>
        </w:trPr>
        <w:tc>
          <w:tcPr>
            <w:tcW w:w="38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Initial investment</w:t>
            </w:r>
          </w:p>
        </w:tc>
        <w:tc>
          <w:tcPr>
            <w:tcW w:w="1840" w:type="dxa"/>
            <w:vAlign w:val="bottom"/>
          </w:tcPr>
          <w:p>
            <w:pPr>
              <w:spacing w:after="0"/>
              <w:rPr>
                <w:sz w:val="24"/>
                <w:szCs w:val="24"/>
                <w:color w:val="auto"/>
              </w:rPr>
            </w:pPr>
          </w:p>
        </w:tc>
        <w:tc>
          <w:tcPr>
            <w:tcW w:w="196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Percent ownership by</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Investment purchase</w:t>
            </w:r>
          </w:p>
        </w:tc>
      </w:tr>
      <w:tr>
        <w:trPr>
          <w:trHeight w:val="234"/>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Equity method investee: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4"/>
              </w:rPr>
              <w:t>dates</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Investment entity</w:t>
            </w:r>
          </w:p>
        </w:tc>
        <w:tc>
          <w:tcPr>
            <w:tcW w:w="196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ACM and subsidiaries</w:t>
            </w:r>
          </w:p>
        </w:tc>
        <w:tc>
          <w:tcPr>
            <w:tcW w:w="40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price</w:t>
            </w:r>
          </w:p>
        </w:tc>
      </w:tr>
      <w:tr>
        <w:trPr>
          <w:trHeight w:val="27"/>
        </w:trPr>
        <w:tc>
          <w:tcPr>
            <w:tcW w:w="38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Ninebell Co., Ltd. ("Ninebell")</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2017</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ACM</w:t>
            </w:r>
          </w:p>
        </w:tc>
        <w:tc>
          <w:tcPr>
            <w:tcW w:w="19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8"/>
              </w:rPr>
              <w:t>20%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Wooil Flucon Co. ("Wooil")</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August 2022</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ACM Singapore</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88"/>
              </w:rPr>
              <w:t>20%</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3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Shengyi Semiconductor Technology Co., Ltd.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2019</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ACM Shanghai</w:t>
            </w:r>
          </w:p>
        </w:tc>
        <w:tc>
          <w:tcPr>
            <w:tcW w:w="1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14%</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7"/>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(“Shengyi”)</w:t>
            </w:r>
          </w:p>
        </w:tc>
        <w:tc>
          <w:tcPr>
            <w:tcW w:w="18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w w:val="97"/>
              </w:rPr>
              <w:t>Hefei Shixi Chanheng Integrated Circuit Industry</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September 2019</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ACM Shanghai</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88"/>
              </w:rPr>
              <w:t>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w w:val="97"/>
              </w:rPr>
              <w:t>RMB 30,000 ($4,200)</w:t>
            </w: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Venture Capital Fund Partnership (LP) (“Hefei</w:t>
            </w:r>
          </w:p>
        </w:tc>
        <w:tc>
          <w:tcPr>
            <w:tcW w:w="18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Shixi”)</w:t>
            </w:r>
          </w:p>
        </w:tc>
        <w:tc>
          <w:tcPr>
            <w:tcW w:w="1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Arial" w:cs="Arial" w:eastAsia="Arial" w:hAnsi="Arial"/>
                <w:sz w:val="18"/>
                <w:szCs w:val="18"/>
                <w:color w:val="auto"/>
              </w:rPr>
              <w:t>Equity method investee:</w:t>
            </w:r>
          </w:p>
        </w:tc>
        <w:tc>
          <w:tcPr>
            <w:tcW w:w="18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Ninebell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Wooil</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Shengyi</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Hefei Shixi</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6,148</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Subtotal</w:t>
            </w:r>
          </w:p>
        </w:tc>
        <w:tc>
          <w:tcPr>
            <w:tcW w:w="18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14,426</w:t>
            </w:r>
          </w:p>
        </w:tc>
        <w:tc>
          <w:tcPr>
            <w:tcW w:w="2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16,023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Investments accounted for using measurement alternative: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Waferworks (Shanghai) Co., Ltd</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Shengyi</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22,306</w:t>
            </w:r>
          </w:p>
        </w:tc>
        <w:tc>
          <w:tcPr>
            <w:tcW w:w="2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17,459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September 30, 2023 and 2022, the Company’s share of equity investees’ net income (loss) was $(160) and $1,251, respectively, and $3,728 and $1,652 for the nine months ended September 30, 2023 and 2022, respectively, which amounts were included in income (loss) from equity method investments in the accompanying condensed consolidated statements of operations and comprehensive income (loss). For the nine months ended September 30, 2023, the Company received a dividend payment of $5,147 from equity-method investee.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SHORT-TERM INVESTMENTS</w:t>
      </w:r>
    </w:p>
    <w:p>
      <w:pPr>
        <w:spacing w:after="0" w:line="229"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Pursuant to a Partnership Agreement dated June 9, 2020 (the “Partnership Agreement”) and a Supplementary Agreement thereto dated June 15, 2020 (the “Supplementary Agreement”), ACM Shanghai acquired shares of SMIC in July 2020. Shares of SMIC are listed on the STAR Market.</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an Agreement entered into on September 19, 2022 (the ‘‘Agreement’’), ACM Shanghai became a limited partner of the Nuode Asset Fund Pujiang No. 783 Single Asset Management Plan (‘‘Nuode Asset Fund’’), a Chinese limited partnership formed by Nuode Asset Management Co., Ltd, a financial services firm based in Shanghai, China. Nuode Asset Fund was formed to establish a special fund with the purpose to participate in certain technology related investments in mainland China. Subsequent to the future purchase, any investment will be held by Nuode Asset Fund and restricted for a minimum period of nine months. The limited partners of the Nuode Asset Fund contributed a total RMB 160 million ($22,160) to the fund, of which ACM Shanghai contributed RMB 30 million ($4,196), or 18.75% of the contribution on September 27, 2022.</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2022, the Nuode Asset Fund purchased shares in the secondary stock offering of a publicly traded mainland China-stock listing. The number of shares owned by Nuode Asset Fund was apportioned to all of the limited partners in proportion to their respective capital contributions which is 18.75% in the case of ACM Shanghai.</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Share Purchase Agreement dated June 2023, ACM Shanghai acquired shares of Huahong Semiconductor Limited (“Huahong”) in July 2023 with amount of RMB 100 million ($13,930). The shares held by ACM Shanghai are restricted for sale for a minimum period of twelve months. Huahong completed it STAR IPO in August 2023.</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 Share Purchase Agreement dated August 2023, ACM Shanghai acquired shares of Zhongjuxin Limited Company (“Zhongjuxin”) in September 2023 with amount of RMB 30 million ($4,179). The shares held by ACM Shanghai are restricted for sale for a minimum period of twelve months. Zhongjuxin completed it STAR IPO in September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w w:val="93"/>
              </w:rPr>
              <w:t>At September 30, 2023 and December 31, 2022, the components of short-term investments were as follows: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68"/>
        </w:trPr>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 listed in Shanghai Stock Exchange</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080" w:type="dxa"/>
            <w:vAlign w:val="bottom"/>
          </w:tcPr>
          <w:p>
            <w:pPr>
              <w:ind w:left="180"/>
              <w:spacing w:after="0"/>
              <w:rPr>
                <w:sz w:val="20"/>
                <w:szCs w:val="20"/>
                <w:color w:val="auto"/>
              </w:rPr>
            </w:pPr>
            <w:r>
              <w:rPr>
                <w:rFonts w:ascii="Arial" w:cs="Arial" w:eastAsia="Arial" w:hAnsi="Arial"/>
                <w:sz w:val="18"/>
                <w:szCs w:val="18"/>
                <w:color w:val="auto"/>
              </w:rPr>
              <w:t>Cost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20,902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14,779</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 value</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21,844</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20,209</w:t>
            </w:r>
          </w:p>
        </w:tc>
      </w:tr>
      <w:tr>
        <w:trPr>
          <w:trHeight w:val="27"/>
        </w:trPr>
        <w:tc>
          <w:tcPr>
            <w:tcW w:w="8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0"/>
              </w:rPr>
              <w:t>Three Months Ended September 30,</w:t>
            </w:r>
          </w:p>
        </w:tc>
        <w:tc>
          <w:tcPr>
            <w:tcW w:w="28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7"/>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84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7"/>
        </w:trPr>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on short-term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(4,428)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w:t>
            </w:r>
          </w:p>
        </w:tc>
      </w:tr>
      <w:tr>
        <w:trPr>
          <w:trHeight w:val="27"/>
        </w:trPr>
        <w:tc>
          <w:tcPr>
            <w:tcW w:w="5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2023, the Company received $2,205 and $19,914 in proceeds from the sale of short-term investments, including a realized gain of $656 and $8,569,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2022, the Company received $4,488 in proceeds from the sale of short-term investments, including a realized gain of $1,136.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RELATED PARTY BALANCES AND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Ninebell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Ninebell is an equity investee of ACM (Note 14) and is the Company’s principal supplier of robotic delivery system subassemblies used in our single-wafer cleaning equipment. The Company purchases equipment from Ninebell for production in the ordinary course of business. The Company pays for a portion of the equipment in advance and is obligated for the remaining amounts upon receipt of the product.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Shengyi</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Shengyi is an equity investee of ACM Shanghai (Note 14) and is one of the Company’s component suppliers in mainland China. The Company purchases components from Shengyi for production in the ordinary course of business. The Company incurs a service fee related to installation and hook-up fees which is recorded within cost of revenue on the Company’s condensed consolidated statements of operations and comprehensive income (loss). The Company pays for a portion of the raw materials in advance and is obligated for the remaining amounts upon receipt of the product.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All related party outstanding balances are short-term in nature and are expected to be settled in cash.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related party transactions in our condensed consolidated financial statements: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Advances to related party</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r>
      <w:tr>
        <w:trPr>
          <w:trHeight w:val="27"/>
        </w:trPr>
        <w:tc>
          <w:tcPr>
            <w:tcW w:w="448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8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Ninebell</w:t>
            </w:r>
          </w:p>
        </w:tc>
        <w:tc>
          <w:tcPr>
            <w:tcW w:w="160" w:type="dxa"/>
            <w:vAlign w:val="bottom"/>
            <w:shd w:val="clear" w:color="auto" w:fill="CFF0FC"/>
          </w:tcPr>
          <w:p>
            <w:pPr>
              <w:spacing w:after="0"/>
              <w:rPr>
                <w:sz w:val="24"/>
                <w:szCs w:val="24"/>
                <w:color w:val="auto"/>
              </w:rPr>
            </w:pPr>
          </w:p>
        </w:tc>
        <w:tc>
          <w:tcPr>
            <w:tcW w:w="14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0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3"/>
              </w:rPr>
              <w:t>1,164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3,322</w:t>
            </w: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536"/>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Accounts payable</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r>
      <w:tr>
        <w:trPr>
          <w:trHeight w:val="27"/>
        </w:trPr>
        <w:tc>
          <w:tcPr>
            <w:tcW w:w="448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3"/>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Ninebell</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w w:val="93"/>
              </w:rPr>
              <w:t>4,054</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10,526</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Shengyi</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w w:val="93"/>
              </w:rPr>
              <w:t>3,630</w:t>
            </w:r>
          </w:p>
        </w:tc>
        <w:tc>
          <w:tcPr>
            <w:tcW w:w="2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3,942</w:t>
            </w:r>
          </w:p>
        </w:tc>
      </w:tr>
      <w:tr>
        <w:trPr>
          <w:trHeight w:val="27"/>
        </w:trPr>
        <w:tc>
          <w:tcPr>
            <w:tcW w:w="448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83"/>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shd w:val="clear" w:color="auto" w:fill="CFF0FC"/>
          </w:tcPr>
          <w:p>
            <w:pPr>
              <w:ind w:left="100"/>
              <w:spacing w:after="0"/>
              <w:rPr>
                <w:sz w:val="20"/>
                <w:szCs w:val="20"/>
                <w:color w:val="auto"/>
              </w:rPr>
            </w:pPr>
            <w:r>
              <w:rPr>
                <w:rFonts w:ascii="Arial" w:cs="Arial" w:eastAsia="Arial" w:hAnsi="Arial"/>
                <w:sz w:val="18"/>
                <w:szCs w:val="18"/>
                <w:color w:val="auto"/>
                <w:w w:val="93"/>
              </w:rPr>
              <w:t>7,684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14,468</w:t>
            </w:r>
          </w:p>
        </w:tc>
      </w:tr>
      <w:tr>
        <w:trPr>
          <w:trHeight w:val="20"/>
        </w:trPr>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541"/>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2"/>
              </w:rPr>
              <w:t>Three Months Ended September 30,</w:t>
            </w:r>
          </w:p>
        </w:tc>
        <w:tc>
          <w:tcPr>
            <w:tcW w:w="160" w:type="dxa"/>
            <w:vAlign w:val="bottom"/>
          </w:tcPr>
          <w:p>
            <w:pPr>
              <w:spacing w:after="0"/>
              <w:rPr>
                <w:sz w:val="24"/>
                <w:szCs w:val="24"/>
                <w:color w:val="auto"/>
              </w:rPr>
            </w:pPr>
          </w:p>
        </w:tc>
        <w:tc>
          <w:tcPr>
            <w:tcW w:w="336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7"/>
        </w:trPr>
        <w:tc>
          <w:tcPr>
            <w:tcW w:w="4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Purchase of materials</w:t>
            </w:r>
          </w:p>
        </w:tc>
        <w:tc>
          <w:tcPr>
            <w:tcW w:w="16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13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Ninebell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33,831</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27,500</w:t>
            </w:r>
          </w:p>
        </w:tc>
        <w:tc>
          <w:tcPr>
            <w:tcW w:w="420" w:type="dxa"/>
            <w:vAlign w:val="bottom"/>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Shengyi</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2,298</w:t>
            </w:r>
          </w:p>
        </w:tc>
        <w:tc>
          <w:tcPr>
            <w:tcW w:w="16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3,760</w:t>
            </w:r>
          </w:p>
        </w:tc>
        <w:tc>
          <w:tcPr>
            <w:tcW w:w="420" w:type="dxa"/>
            <w:vAlign w:val="bottom"/>
          </w:tcPr>
          <w:p>
            <w:pPr>
              <w:spacing w:after="0"/>
              <w:rPr>
                <w:sz w:val="21"/>
                <w:szCs w:val="2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r>
      <w:tr>
        <w:trPr>
          <w:trHeight w:val="28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4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37,632</w:t>
            </w:r>
          </w:p>
        </w:tc>
        <w:tc>
          <w:tcPr>
            <w:tcW w:w="5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31,260</w:t>
            </w:r>
          </w:p>
        </w:tc>
        <w:tc>
          <w:tcPr>
            <w:tcW w:w="420" w:type="dxa"/>
            <w:vAlign w:val="bottom"/>
          </w:tcPr>
          <w:p>
            <w:pPr>
              <w:spacing w:after="0"/>
              <w:rPr>
                <w:sz w:val="24"/>
                <w:szCs w:val="24"/>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1540" w:type="dxa"/>
            <w:vAlign w:val="bottom"/>
            <w:tcBorders>
              <w:top w:val="single" w:sz="8" w:color="CCEEFF"/>
              <w:bottom w:val="single" w:sz="8" w:color="auto"/>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55"/>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Three Months Ended September 30,</w:t>
            </w:r>
          </w:p>
        </w:tc>
        <w:tc>
          <w:tcPr>
            <w:tcW w:w="160" w:type="dxa"/>
            <w:vAlign w:val="bottom"/>
          </w:tcPr>
          <w:p>
            <w:pPr>
              <w:spacing w:after="0"/>
              <w:rPr>
                <w:sz w:val="24"/>
                <w:szCs w:val="24"/>
                <w:color w:val="auto"/>
              </w:rPr>
            </w:pPr>
          </w:p>
        </w:tc>
        <w:tc>
          <w:tcPr>
            <w:tcW w:w="336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4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Service fee charged by</w:t>
            </w:r>
          </w:p>
        </w:tc>
        <w:tc>
          <w:tcPr>
            <w:tcW w:w="16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13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r>
      <w:tr>
        <w:trPr>
          <w:trHeight w:val="27"/>
        </w:trPr>
        <w:tc>
          <w:tcPr>
            <w:tcW w:w="44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Shengyi</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3"/>
              </w:rPr>
              <w:t>809</w:t>
            </w:r>
          </w:p>
        </w:tc>
        <w:tc>
          <w:tcPr>
            <w:tcW w:w="100" w:type="dxa"/>
            <w:vAlign w:val="bottom"/>
          </w:tcPr>
          <w:p>
            <w:pPr>
              <w:spacing w:after="0"/>
              <w:rPr>
                <w:sz w:val="20"/>
                <w:szCs w:val="20"/>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315</w:t>
            </w:r>
          </w:p>
        </w:tc>
        <w:tc>
          <w:tcPr>
            <w:tcW w:w="420" w:type="dxa"/>
            <w:vAlign w:val="bottom"/>
            <w:tcBorders>
              <w:left w:val="single" w:sz="8" w:color="CFF0FC"/>
            </w:tcBorders>
          </w:tcPr>
          <w:p>
            <w:pPr>
              <w:spacing w:after="0"/>
              <w:rPr>
                <w:sz w:val="20"/>
                <w:szCs w:val="20"/>
                <w:color w:val="auto"/>
              </w:rPr>
            </w:pPr>
          </w:p>
        </w:tc>
      </w:tr>
      <w:tr>
        <w:trPr>
          <w:trHeight w:val="27"/>
        </w:trPr>
        <w:tc>
          <w:tcPr>
            <w:tcW w:w="44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tcBorders>
              <w:right w:val="single" w:sz="8" w:color="CCEEFF"/>
            </w:tcBorders>
            <w:shd w:val="clear" w:color="auto" w:fill="CCEEFF"/>
          </w:tcPr>
          <w:p>
            <w:pPr>
              <w:spacing w:after="0"/>
              <w:rPr>
                <w:sz w:val="2"/>
                <w:szCs w:val="2"/>
                <w:color w:val="auto"/>
              </w:rPr>
            </w:pPr>
          </w:p>
        </w:tc>
        <w:tc>
          <w:tcPr>
            <w:tcW w:w="420" w:type="dxa"/>
            <w:vAlign w:val="bottom"/>
            <w:tcBorders>
              <w:left w:val="single" w:sz="8" w:color="CFF0FC"/>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COMMON STOCK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which is subject to approval from a majority of common stockholders.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2023, ACM issued 623,244 shares of Class A common stock upon option exercises by employees and non-employees. During the nine months ended September 30, 2023, ACM issued 919,448 shares of Class A common stock upon option exercises by employees and non-employees.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months ended September 30, 2022, ACM issued 231,710 shares of Class A common stock upon option exercises by employees and non-employees. During the nine months ended September 30, 2022, ACM issued 763,584 shares of Class A common stock upon option exercises by employees and non-employees and an additional 1,002 shares of Class A common stock upon conversion of an equal number of shares of Class B common stock.</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2023 and December 31, 2022, the number of shares of Class A common stock issued and outstanding was 55,574,734 and 54,655,286,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2023 and December 31, 2022, the number of shares of Class B common stock issued and outstanding was 5,021,811 and 5,021,811,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STOCK-BASED COMPENSATION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ACM’s stock-based compensation consists of employee and non-employee awards issued under its 1998 Stock Option Plan and its 2016 Omnibus Incentive Plan. The vesting condition may consist of a service period condition determined by the Board of Directors for a grant or certain performance conditions determined by the Board of Directors for a grant. The fair value of the stock options granted with a service period based condition and/or performance condition is estimated at the date of grant using the Black-Scholes option pricing model. The fair value of the stock options granted with a market based condition is estimated at the date of grant using the Monte Carlo simulation model.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employee share option activities during the nine months ended September 30,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4620" w:type="dxa"/>
            <w:vAlign w:val="bottom"/>
          </w:tcPr>
          <w:p>
            <w:pPr>
              <w:spacing w:after="0"/>
              <w:rPr>
                <w:sz w:val="18"/>
                <w:szCs w:val="18"/>
                <w:color w:val="auto"/>
              </w:rPr>
            </w:pPr>
          </w:p>
        </w:tc>
        <w:tc>
          <w:tcPr>
            <w:tcW w:w="1940" w:type="dxa"/>
            <w:vAlign w:val="bottom"/>
          </w:tcPr>
          <w:p>
            <w:pPr>
              <w:jc w:val="right"/>
              <w:ind w:right="47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Average Grant</w:t>
            </w: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4620" w:type="dxa"/>
            <w:vAlign w:val="bottom"/>
          </w:tcPr>
          <w:p>
            <w:pPr>
              <w:spacing w:after="0"/>
              <w:rPr>
                <w:sz w:val="20"/>
                <w:szCs w:val="20"/>
                <w:color w:val="auto"/>
              </w:rPr>
            </w:pPr>
          </w:p>
        </w:tc>
        <w:tc>
          <w:tcPr>
            <w:tcW w:w="1940" w:type="dxa"/>
            <w:vAlign w:val="bottom"/>
          </w:tcPr>
          <w:p>
            <w:pPr>
              <w:jc w:val="right"/>
              <w:ind w:right="330"/>
              <w:spacing w:after="0"/>
              <w:rPr>
                <w:sz w:val="20"/>
                <w:szCs w:val="20"/>
                <w:color w:val="auto"/>
              </w:rPr>
            </w:pPr>
            <w:r>
              <w:rPr>
                <w:rFonts w:ascii="Arial" w:cs="Arial" w:eastAsia="Arial" w:hAnsi="Arial"/>
                <w:sz w:val="18"/>
                <w:szCs w:val="18"/>
                <w:b w:val="1"/>
                <w:bCs w:val="1"/>
                <w:color w:val="auto"/>
              </w:rPr>
              <w:t>Option Shares</w:t>
            </w: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Date Fair Value</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Exercise Price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r>
      <w:tr>
        <w:trPr>
          <w:trHeight w:val="27"/>
        </w:trPr>
        <w:tc>
          <w:tcPr>
            <w:tcW w:w="4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9,211,641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8.24</w:t>
            </w:r>
          </w:p>
        </w:tc>
        <w:tc>
          <w:tcPr>
            <w:tcW w:w="1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w w:val="89"/>
              </w:rPr>
              <w:t>6.36 years</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2,202,000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13.87</w:t>
            </w:r>
          </w:p>
        </w:tc>
        <w:tc>
          <w:tcPr>
            <w:tcW w:w="150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(680,319)</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500" w:type="dxa"/>
            <w:vAlign w:val="bottom"/>
            <w:tcBorders>
              <w:bottom w:val="single" w:sz="8" w:color="CFF0FC"/>
            </w:tcBorders>
            <w:shd w:val="clear" w:color="auto" w:fill="CFF0FC"/>
          </w:tcPr>
          <w:p>
            <w:pPr>
              <w:spacing w:after="0"/>
              <w:rPr>
                <w:sz w:val="21"/>
                <w:szCs w:val="2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Forfeited/cancelled</w:t>
            </w:r>
          </w:p>
        </w:tc>
        <w:tc>
          <w:tcPr>
            <w:tcW w:w="1940" w:type="dxa"/>
            <w:vAlign w:val="bottom"/>
          </w:tcPr>
          <w:p>
            <w:pPr>
              <w:jc w:val="right"/>
              <w:spacing w:after="0"/>
              <w:rPr>
                <w:sz w:val="20"/>
                <w:szCs w:val="20"/>
                <w:color w:val="auto"/>
              </w:rPr>
            </w:pPr>
            <w:r>
              <w:rPr>
                <w:rFonts w:ascii="Arial" w:cs="Arial" w:eastAsia="Arial" w:hAnsi="Arial"/>
                <w:sz w:val="18"/>
                <w:szCs w:val="18"/>
                <w:color w:val="auto"/>
              </w:rPr>
              <w:t>(44,560)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21.76</w:t>
            </w:r>
          </w:p>
        </w:tc>
        <w:tc>
          <w:tcPr>
            <w:tcW w:w="1500" w:type="dxa"/>
            <w:vAlign w:val="bottom"/>
          </w:tcPr>
          <w:p>
            <w:pPr>
              <w:spacing w:after="0"/>
              <w:rPr>
                <w:sz w:val="21"/>
                <w:szCs w:val="21"/>
                <w:color w:val="auto"/>
              </w:rPr>
            </w:pPr>
          </w:p>
        </w:tc>
      </w:tr>
      <w:tr>
        <w:trPr>
          <w:trHeight w:val="27"/>
        </w:trPr>
        <w:tc>
          <w:tcPr>
            <w:tcW w:w="4620" w:type="dxa"/>
            <w:vAlign w:val="bottom"/>
            <w:tcBorders>
              <w:bottom w:val="single" w:sz="8" w:color="CFF0FC"/>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36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320" w:type="dxa"/>
            <w:vAlign w:val="bottom"/>
            <w:tcBorders>
              <w:bottom w:val="single" w:sz="8" w:color="CFF0FC"/>
            </w:tcBorders>
          </w:tcPr>
          <w:p>
            <w:pPr>
              <w:spacing w:after="0"/>
              <w:rPr>
                <w:sz w:val="2"/>
                <w:szCs w:val="2"/>
                <w:color w:val="auto"/>
              </w:rPr>
            </w:pPr>
          </w:p>
        </w:tc>
        <w:tc>
          <w:tcPr>
            <w:tcW w:w="1500" w:type="dxa"/>
            <w:vAlign w:val="bottom"/>
            <w:tcBorders>
              <w:bottom w:val="single" w:sz="8" w:color="CFF0FC"/>
            </w:tcBorders>
          </w:tcPr>
          <w:p>
            <w:pPr>
              <w:spacing w:after="0"/>
              <w:rPr>
                <w:sz w:val="2"/>
                <w:szCs w:val="2"/>
                <w:color w:val="auto"/>
              </w:rPr>
            </w:pPr>
          </w:p>
        </w:tc>
      </w:tr>
      <w:tr>
        <w:trPr>
          <w:trHeight w:val="288"/>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September 30, 2023</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10,688,762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5.15</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9.59</w:t>
            </w:r>
          </w:p>
        </w:tc>
        <w:tc>
          <w:tcPr>
            <w:tcW w:w="150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8"/>
                <w:szCs w:val="18"/>
                <w:b w:val="1"/>
                <w:bCs w:val="1"/>
                <w:color w:val="auto"/>
                <w:w w:val="89"/>
              </w:rPr>
              <w:t>6.36 years</w:t>
            </w: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r>
      <w:tr>
        <w:trPr>
          <w:trHeight w:val="217"/>
        </w:trPr>
        <w:tc>
          <w:tcPr>
            <w:tcW w:w="4620" w:type="dxa"/>
            <w:vAlign w:val="bottom"/>
          </w:tcPr>
          <w:p>
            <w:pPr>
              <w:ind w:left="20"/>
              <w:spacing w:after="0"/>
              <w:rPr>
                <w:sz w:val="20"/>
                <w:szCs w:val="20"/>
                <w:color w:val="auto"/>
              </w:rPr>
            </w:pPr>
            <w:r>
              <w:rPr>
                <w:rFonts w:ascii="Arial" w:cs="Arial" w:eastAsia="Arial" w:hAnsi="Arial"/>
                <w:sz w:val="18"/>
                <w:szCs w:val="18"/>
                <w:color w:val="auto"/>
              </w:rPr>
              <w:t>Vested and exercisable at September 30, 2023</w:t>
            </w:r>
          </w:p>
        </w:tc>
        <w:tc>
          <w:tcPr>
            <w:tcW w:w="1940" w:type="dxa"/>
            <w:vAlign w:val="bottom"/>
          </w:tcPr>
          <w:p>
            <w:pPr>
              <w:jc w:val="right"/>
              <w:spacing w:after="0"/>
              <w:rPr>
                <w:sz w:val="20"/>
                <w:szCs w:val="20"/>
                <w:color w:val="auto"/>
              </w:rPr>
            </w:pPr>
            <w:r>
              <w:rPr>
                <w:rFonts w:ascii="Arial" w:cs="Arial" w:eastAsia="Arial" w:hAnsi="Arial"/>
                <w:sz w:val="18"/>
                <w:szCs w:val="18"/>
                <w:color w:val="auto"/>
              </w:rPr>
              <w:t>6,356,350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r>
    </w:tbl>
    <w:p>
      <w:pPr>
        <w:spacing w:after="0" w:line="323" w:lineRule="exact"/>
        <w:rPr>
          <w:sz w:val="20"/>
          <w:szCs w:val="20"/>
          <w:color w:val="auto"/>
        </w:rPr>
      </w:pPr>
    </w:p>
    <w:p>
      <w:pPr>
        <w:jc w:val="both"/>
        <w:ind w:right="20" w:firstLine="23"/>
        <w:spacing w:after="0" w:line="286" w:lineRule="auto"/>
        <w:rPr>
          <w:sz w:val="20"/>
          <w:szCs w:val="20"/>
          <w:color w:val="auto"/>
        </w:rPr>
      </w:pPr>
      <w:r>
        <w:rPr>
          <w:rFonts w:ascii="Arial" w:cs="Arial" w:eastAsia="Arial" w:hAnsi="Arial"/>
          <w:sz w:val="17"/>
          <w:szCs w:val="17"/>
          <w:color w:val="auto"/>
        </w:rPr>
        <w:t>As of September 30, 2023 and December 31, 2022, $30,703 and $16,009, respectively, of total unrecognized employee stock-based compensation expense, net of estimated forfeitures, related to employee stock-based awards for ACM were expected to be recognized over a weighted-average period of 3.90 years and 4.04 years, respectively. Total recognized compensation cost may be adjusted for future changes in estimated forfeitures.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options granted to employees with a service period based condition is estimated on the grant date using the Black-Scholes valuation with following assumptions: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w w:val="94"/>
              </w:rPr>
              <w:t>Nine Months Ended</w:t>
            </w:r>
          </w:p>
        </w:tc>
        <w:tc>
          <w:tcPr>
            <w:tcW w:w="1660" w:type="dxa"/>
            <w:vAlign w:val="bottom"/>
          </w:tcPr>
          <w:p>
            <w:pPr>
              <w:ind w:left="400"/>
              <w:spacing w:after="0"/>
              <w:rPr>
                <w:sz w:val="20"/>
                <w:szCs w:val="20"/>
                <w:color w:val="auto"/>
              </w:rPr>
            </w:pPr>
            <w:r>
              <w:rPr>
                <w:rFonts w:ascii="Arial" w:cs="Arial" w:eastAsia="Arial" w:hAnsi="Arial"/>
                <w:sz w:val="18"/>
                <w:szCs w:val="18"/>
                <w:b w:val="1"/>
                <w:bCs w:val="1"/>
                <w:color w:val="auto"/>
              </w:rPr>
              <w:t>Years ended</w:t>
            </w:r>
          </w:p>
        </w:tc>
      </w:tr>
      <w:tr>
        <w:trPr>
          <w:trHeight w:val="234"/>
        </w:trPr>
        <w:tc>
          <w:tcPr>
            <w:tcW w:w="7680" w:type="dxa"/>
            <w:vAlign w:val="bottom"/>
          </w:tcPr>
          <w:p>
            <w:pPr>
              <w:spacing w:after="0"/>
              <w:rPr>
                <w:sz w:val="20"/>
                <w:szCs w:val="20"/>
                <w:color w:val="auto"/>
              </w:rPr>
            </w:pPr>
          </w:p>
        </w:tc>
        <w:tc>
          <w:tcPr>
            <w:tcW w:w="1720" w:type="dxa"/>
            <w:vAlign w:val="bottom"/>
          </w:tcPr>
          <w:p>
            <w:pPr>
              <w:ind w:left="140"/>
              <w:spacing w:after="0"/>
              <w:rPr>
                <w:sz w:val="20"/>
                <w:szCs w:val="20"/>
                <w:color w:val="auto"/>
              </w:rPr>
            </w:pPr>
            <w:r>
              <w:rPr>
                <w:rFonts w:ascii="Arial" w:cs="Arial" w:eastAsia="Arial" w:hAnsi="Arial"/>
                <w:sz w:val="18"/>
                <w:szCs w:val="18"/>
                <w:b w:val="1"/>
                <w:bCs w:val="1"/>
                <w:color w:val="auto"/>
                <w:w w:val="92"/>
              </w:rPr>
              <w:t>September 30, 2023</w:t>
            </w:r>
          </w:p>
        </w:tc>
        <w:tc>
          <w:tcPr>
            <w:tcW w:w="1660" w:type="dxa"/>
            <w:vAlign w:val="bottom"/>
          </w:tcPr>
          <w:p>
            <w:pPr>
              <w:ind w:left="140"/>
              <w:spacing w:after="0"/>
              <w:rPr>
                <w:sz w:val="20"/>
                <w:szCs w:val="20"/>
                <w:color w:val="auto"/>
              </w:rPr>
            </w:pPr>
            <w:r>
              <w:rPr>
                <w:rFonts w:ascii="Arial" w:cs="Arial" w:eastAsia="Arial" w:hAnsi="Arial"/>
                <w:sz w:val="18"/>
                <w:szCs w:val="18"/>
                <w:b w:val="1"/>
                <w:bCs w:val="1"/>
                <w:color w:val="auto"/>
                <w:w w:val="92"/>
              </w:rPr>
              <w:t>December 31, 2022</w:t>
            </w:r>
          </w:p>
        </w:tc>
      </w:tr>
      <w:tr>
        <w:trPr>
          <w:trHeight w:val="27"/>
        </w:trPr>
        <w:tc>
          <w:tcPr>
            <w:tcW w:w="76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share of common stock (1)</w:t>
            </w: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$11.85-$13.89</w:t>
            </w:r>
          </w:p>
        </w:tc>
        <w:tc>
          <w:tcPr>
            <w:tcW w:w="1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$16.83-$25.45</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Expected term in years(2)</w:t>
            </w:r>
          </w:p>
        </w:tc>
        <w:tc>
          <w:tcPr>
            <w:tcW w:w="1720" w:type="dxa"/>
            <w:vAlign w:val="bottom"/>
          </w:tcPr>
          <w:p>
            <w:pPr>
              <w:ind w:left="20"/>
              <w:spacing w:after="0"/>
              <w:rPr>
                <w:sz w:val="20"/>
                <w:szCs w:val="20"/>
                <w:color w:val="auto"/>
              </w:rPr>
            </w:pPr>
            <w:r>
              <w:rPr>
                <w:rFonts w:ascii="Arial" w:cs="Arial" w:eastAsia="Arial" w:hAnsi="Arial"/>
                <w:sz w:val="18"/>
                <w:szCs w:val="18"/>
                <w:color w:val="auto"/>
              </w:rPr>
              <w:t>5.50-6.25</w:t>
            </w:r>
          </w:p>
        </w:tc>
        <w:tc>
          <w:tcPr>
            <w:tcW w:w="1660" w:type="dxa"/>
            <w:vAlign w:val="bottom"/>
          </w:tcPr>
          <w:p>
            <w:pPr>
              <w:ind w:left="80"/>
              <w:spacing w:after="0"/>
              <w:rPr>
                <w:sz w:val="20"/>
                <w:szCs w:val="20"/>
                <w:color w:val="auto"/>
              </w:rPr>
            </w:pPr>
            <w:r>
              <w:rPr>
                <w:rFonts w:ascii="Arial" w:cs="Arial" w:eastAsia="Arial" w:hAnsi="Arial"/>
                <w:sz w:val="18"/>
                <w:szCs w:val="18"/>
                <w:color w:val="auto"/>
              </w:rPr>
              <w:t>5.50-6.25</w:t>
            </w:r>
          </w:p>
        </w:tc>
      </w:tr>
      <w:tr>
        <w:trPr>
          <w:trHeight w:val="27"/>
        </w:trPr>
        <w:tc>
          <w:tcPr>
            <w:tcW w:w="7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Volatility(3)</w:t>
            </w: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84.95%-86.45%</w:t>
            </w:r>
          </w:p>
        </w:tc>
        <w:tc>
          <w:tcPr>
            <w:tcW w:w="1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49.43%-50.87%</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Risk-free interest rate(4)</w:t>
            </w:r>
          </w:p>
        </w:tc>
        <w:tc>
          <w:tcPr>
            <w:tcW w:w="1720" w:type="dxa"/>
            <w:vAlign w:val="bottom"/>
          </w:tcPr>
          <w:p>
            <w:pPr>
              <w:ind w:left="20"/>
              <w:spacing w:after="0"/>
              <w:rPr>
                <w:sz w:val="20"/>
                <w:szCs w:val="20"/>
                <w:color w:val="auto"/>
              </w:rPr>
            </w:pPr>
            <w:r>
              <w:rPr>
                <w:rFonts w:ascii="Arial" w:cs="Arial" w:eastAsia="Arial" w:hAnsi="Arial"/>
                <w:sz w:val="18"/>
                <w:szCs w:val="18"/>
                <w:color w:val="auto"/>
              </w:rPr>
              <w:t>4.16%-4.17%</w:t>
            </w:r>
          </w:p>
        </w:tc>
        <w:tc>
          <w:tcPr>
            <w:tcW w:w="1660" w:type="dxa"/>
            <w:vAlign w:val="bottom"/>
          </w:tcPr>
          <w:p>
            <w:pPr>
              <w:ind w:left="80"/>
              <w:spacing w:after="0"/>
              <w:rPr>
                <w:sz w:val="20"/>
                <w:szCs w:val="20"/>
                <w:color w:val="auto"/>
              </w:rPr>
            </w:pPr>
            <w:r>
              <w:rPr>
                <w:rFonts w:ascii="Arial" w:cs="Arial" w:eastAsia="Arial" w:hAnsi="Arial"/>
                <w:sz w:val="18"/>
                <w:szCs w:val="18"/>
                <w:color w:val="auto"/>
              </w:rPr>
              <w:t>1.7%-3.04%</w:t>
            </w:r>
          </w:p>
        </w:tc>
      </w:tr>
    </w:tbl>
    <w:p>
      <w:pPr>
        <w:spacing w:after="0" w:line="310"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Equal to closing value on the grant date.</w:t>
      </w:r>
    </w:p>
    <w:p>
      <w:pPr>
        <w:spacing w:after="0" w:line="23" w:lineRule="exact"/>
        <w:rPr>
          <w:rFonts w:ascii="Arial" w:cs="Arial" w:eastAsia="Arial" w:hAnsi="Arial"/>
          <w:sz w:val="18"/>
          <w:szCs w:val="18"/>
          <w:color w:val="auto"/>
        </w:rPr>
      </w:pPr>
    </w:p>
    <w:p>
      <w:pPr>
        <w:ind w:left="500" w:hanging="492"/>
        <w:spacing w:after="0" w:line="250" w:lineRule="auto"/>
        <w:tabs>
          <w:tab w:leader="none" w:pos="49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Expected term of share options is based on the average of the vesting period and the contractual term for each grant according to ASC 718, </w:t>
      </w:r>
      <w:r>
        <w:rPr>
          <w:rFonts w:ascii="Arial" w:cs="Arial" w:eastAsia="Arial" w:hAnsi="Arial"/>
          <w:sz w:val="18"/>
          <w:szCs w:val="18"/>
          <w:i w:val="1"/>
          <w:iCs w:val="1"/>
          <w:color w:val="auto"/>
        </w:rPr>
        <w:t>Compensation – Stock Compensation.</w:t>
      </w: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is calculated based on the historical volatility of ACM in the period equal to the expected term of each grant.</w:t>
      </w:r>
    </w:p>
    <w:p>
      <w:pPr>
        <w:spacing w:after="0" w:line="9" w:lineRule="exact"/>
        <w:rPr>
          <w:rFonts w:ascii="Arial" w:cs="Arial" w:eastAsia="Arial" w:hAnsi="Arial"/>
          <w:sz w:val="18"/>
          <w:szCs w:val="18"/>
          <w:color w:val="auto"/>
        </w:rPr>
      </w:pPr>
    </w:p>
    <w:p>
      <w:pPr>
        <w:ind w:left="500" w:hanging="492"/>
        <w:spacing w:after="0" w:line="260" w:lineRule="auto"/>
        <w:tabs>
          <w:tab w:leader="none" w:pos="494"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non-employee share option activities during the nine months ended September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620" w:type="dxa"/>
            <w:vAlign w:val="bottom"/>
          </w:tcPr>
          <w:p>
            <w:pPr>
              <w:spacing w:after="0"/>
              <w:rPr>
                <w:sz w:val="18"/>
                <w:szCs w:val="18"/>
                <w:color w:val="auto"/>
              </w:rPr>
            </w:pPr>
          </w:p>
        </w:tc>
        <w:tc>
          <w:tcPr>
            <w:tcW w:w="1940" w:type="dxa"/>
            <w:vAlign w:val="bottom"/>
          </w:tcPr>
          <w:p>
            <w:pPr>
              <w:jc w:val="right"/>
              <w:ind w:right="47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Average Grant</w:t>
            </w: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4620" w:type="dxa"/>
            <w:vAlign w:val="bottom"/>
          </w:tcPr>
          <w:p>
            <w:pPr>
              <w:spacing w:after="0"/>
              <w:rPr>
                <w:sz w:val="20"/>
                <w:szCs w:val="20"/>
                <w:color w:val="auto"/>
              </w:rPr>
            </w:pPr>
          </w:p>
        </w:tc>
        <w:tc>
          <w:tcPr>
            <w:tcW w:w="1940" w:type="dxa"/>
            <w:vAlign w:val="bottom"/>
          </w:tcPr>
          <w:p>
            <w:pPr>
              <w:jc w:val="right"/>
              <w:ind w:right="330"/>
              <w:spacing w:after="0"/>
              <w:rPr>
                <w:sz w:val="20"/>
                <w:szCs w:val="20"/>
                <w:color w:val="auto"/>
              </w:rPr>
            </w:pPr>
            <w:r>
              <w:rPr>
                <w:rFonts w:ascii="Arial" w:cs="Arial" w:eastAsia="Arial" w:hAnsi="Arial"/>
                <w:sz w:val="18"/>
                <w:szCs w:val="18"/>
                <w:b w:val="1"/>
                <w:bCs w:val="1"/>
                <w:color w:val="auto"/>
              </w:rPr>
              <w:t>Option Shares</w:t>
            </w: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Date Fair Value</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Exercise Price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r>
      <w:tr>
        <w:trPr>
          <w:trHeight w:val="27"/>
        </w:trPr>
        <w:tc>
          <w:tcPr>
            <w:tcW w:w="4620" w:type="dxa"/>
            <w:vAlign w:val="bottom"/>
            <w:tcBorders>
              <w:bottom w:val="single" w:sz="8" w:color="CFF0FC"/>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1,483,658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0.38</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w:t>
            </w:r>
          </w:p>
        </w:tc>
        <w:tc>
          <w:tcPr>
            <w:tcW w:w="150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8"/>
                <w:szCs w:val="18"/>
                <w:b w:val="1"/>
                <w:bCs w:val="1"/>
                <w:color w:val="auto"/>
                <w:w w:val="89"/>
              </w:rPr>
              <w:t>3.68 years</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940" w:type="dxa"/>
            <w:vAlign w:val="bottom"/>
          </w:tcPr>
          <w:p>
            <w:pPr>
              <w:jc w:val="right"/>
              <w:spacing w:after="0"/>
              <w:rPr>
                <w:sz w:val="20"/>
                <w:szCs w:val="20"/>
                <w:color w:val="auto"/>
              </w:rPr>
            </w:pPr>
            <w:r>
              <w:rPr>
                <w:rFonts w:ascii="Arial" w:cs="Arial" w:eastAsia="Arial" w:hAnsi="Arial"/>
                <w:sz w:val="18"/>
                <w:szCs w:val="18"/>
                <w:color w:val="auto"/>
              </w:rPr>
              <w:t>(239,129)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0.56</w:t>
            </w:r>
          </w:p>
        </w:tc>
        <w:tc>
          <w:tcPr>
            <w:tcW w:w="150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Forfeited/cancelled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(10,957)</w:t>
            </w: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500" w:type="dxa"/>
            <w:vAlign w:val="bottom"/>
            <w:tcBorders>
              <w:bottom w:val="single" w:sz="8" w:color="CFF0FC"/>
            </w:tcBorders>
            <w:shd w:val="clear" w:color="auto" w:fill="CFF0FC"/>
          </w:tcPr>
          <w:p>
            <w:pPr>
              <w:spacing w:after="0"/>
              <w:rPr>
                <w:sz w:val="23"/>
                <w:szCs w:val="23"/>
                <w:color w:val="auto"/>
              </w:rPr>
            </w:pP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Outstanding at September 30, 2023</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1,233,572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0.41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500" w:type="dxa"/>
            <w:vAlign w:val="bottom"/>
          </w:tcPr>
          <w:p>
            <w:pPr>
              <w:ind w:left="700"/>
              <w:spacing w:after="0"/>
              <w:rPr>
                <w:sz w:val="20"/>
                <w:szCs w:val="20"/>
                <w:color w:val="auto"/>
              </w:rPr>
            </w:pPr>
            <w:r>
              <w:rPr>
                <w:rFonts w:ascii="Arial" w:cs="Arial" w:eastAsia="Arial" w:hAnsi="Arial"/>
                <w:sz w:val="18"/>
                <w:szCs w:val="18"/>
                <w:b w:val="1"/>
                <w:bCs w:val="1"/>
                <w:color w:val="auto"/>
                <w:w w:val="89"/>
              </w:rPr>
              <w:t>2.85 years</w:t>
            </w:r>
          </w:p>
        </w:tc>
      </w:tr>
      <w:tr>
        <w:trPr>
          <w:trHeight w:val="20"/>
        </w:trPr>
        <w:tc>
          <w:tcPr>
            <w:tcW w:w="4620" w:type="dxa"/>
            <w:vAlign w:val="bottom"/>
            <w:tcBorders>
              <w:bottom w:val="single" w:sz="8" w:color="CFF0FC"/>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36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320" w:type="dxa"/>
            <w:vAlign w:val="bottom"/>
            <w:tcBorders>
              <w:bottom w:val="single" w:sz="8" w:color="CFF0FC"/>
            </w:tcBorders>
          </w:tcPr>
          <w:p>
            <w:pPr>
              <w:spacing w:after="0" w:line="20" w:lineRule="exact"/>
              <w:rPr>
                <w:sz w:val="1"/>
                <w:szCs w:val="1"/>
                <w:color w:val="auto"/>
              </w:rPr>
            </w:pPr>
          </w:p>
        </w:tc>
        <w:tc>
          <w:tcPr>
            <w:tcW w:w="1500" w:type="dxa"/>
            <w:vAlign w:val="bottom"/>
            <w:tcBorders>
              <w:bottom w:val="single" w:sz="8" w:color="CFF0FC"/>
            </w:tcBorders>
          </w:tcPr>
          <w:p>
            <w:pPr>
              <w:spacing w:after="0" w:line="20" w:lineRule="exact"/>
              <w:rPr>
                <w:sz w:val="1"/>
                <w:szCs w:val="1"/>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exercisable at September 30, 2023</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1,226,072</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r>
      <w:tr>
        <w:trPr>
          <w:trHeight w:val="27"/>
        </w:trPr>
        <w:tc>
          <w:tcPr>
            <w:tcW w:w="4620" w:type="dxa"/>
            <w:vAlign w:val="bottom"/>
            <w:shd w:val="clear" w:color="auto" w:fill="CFF0FC"/>
          </w:tcPr>
          <w:p>
            <w:pPr>
              <w:spacing w:after="0"/>
              <w:rPr>
                <w:sz w:val="2"/>
                <w:szCs w:val="2"/>
                <w:color w:val="auto"/>
              </w:rPr>
            </w:pPr>
          </w:p>
        </w:tc>
        <w:tc>
          <w:tcPr>
            <w:tcW w:w="19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r>
    </w:tbl>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2023 and December 31, 2022, $21 and $55, respectively, of total unrecognized non-employee stock-based compensation expense, net of estimated forfeitures, related to stock-based awards were expected to be recognized over a weighted-average period of 0.45 years and 1.20 years, respectively. Total recognized compensation cost may be adjusted for future changes in estimated forfeitures.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ACM Shanghai 2019 Option Grants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2020, ACM Shanghai adopted a 2019 Stock Option Incentive Plan (the “2019 Subsidiary Stock Option Plan”) that provides for, among other incentives, the granting to officers, directors, employees of options to purchase shares of ACM Shanghai’s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stock option activities of the ACM Shanghai 2019 Subsidiary Stock Option Plan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0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0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Option Shares in</w:t>
            </w:r>
          </w:p>
        </w:tc>
        <w:tc>
          <w:tcPr>
            <w:tcW w:w="14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Average Grant</w:t>
            </w:r>
          </w:p>
        </w:tc>
        <w:tc>
          <w:tcPr>
            <w:tcW w:w="18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50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4"/>
              </w:rPr>
              <w:t>ACM Shanghai</w:t>
            </w:r>
          </w:p>
        </w:tc>
        <w:tc>
          <w:tcPr>
            <w:tcW w:w="140" w:type="dxa"/>
            <w:vAlign w:val="bottom"/>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Date Fair Value</w:t>
            </w:r>
          </w:p>
        </w:tc>
        <w:tc>
          <w:tcPr>
            <w:tcW w:w="18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Exercise Price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r>
      <w:tr>
        <w:trPr>
          <w:trHeight w:val="27"/>
        </w:trPr>
        <w:tc>
          <w:tcPr>
            <w:tcW w:w="50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5,377,500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w w:val="87"/>
              </w:rPr>
              <w:t>1.76 years</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Exercise</w:t>
            </w:r>
          </w:p>
        </w:tc>
        <w:tc>
          <w:tcPr>
            <w:tcW w:w="1480" w:type="dxa"/>
            <w:vAlign w:val="bottom"/>
          </w:tcPr>
          <w:p>
            <w:pPr>
              <w:jc w:val="right"/>
              <w:spacing w:after="0"/>
              <w:rPr>
                <w:sz w:val="20"/>
                <w:szCs w:val="20"/>
                <w:color w:val="auto"/>
              </w:rPr>
            </w:pPr>
            <w:r>
              <w:rPr>
                <w:rFonts w:ascii="Arial" w:cs="Arial" w:eastAsia="Arial" w:hAnsi="Arial"/>
                <w:sz w:val="18"/>
                <w:szCs w:val="18"/>
                <w:color w:val="auto"/>
              </w:rPr>
              <w:t>(2,150,309)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1.85</w:t>
            </w:r>
          </w:p>
        </w:tc>
        <w:tc>
          <w:tcPr>
            <w:tcW w:w="15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Forfeited/cancelled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(92,308)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500" w:type="dxa"/>
            <w:vAlign w:val="bottom"/>
            <w:tcBorders>
              <w:bottom w:val="single" w:sz="8" w:color="CCEEFF"/>
            </w:tcBorders>
            <w:shd w:val="clear" w:color="auto" w:fill="CCEEFF"/>
          </w:tcPr>
          <w:p>
            <w:pPr>
              <w:spacing w:after="0"/>
              <w:rPr>
                <w:sz w:val="23"/>
                <w:szCs w:val="23"/>
                <w:color w:val="auto"/>
              </w:rPr>
            </w:pPr>
          </w:p>
        </w:tc>
      </w:tr>
      <w:tr>
        <w:trPr>
          <w:trHeight w:val="289"/>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2023</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3,134,883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5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w w:val="87"/>
              </w:rPr>
              <w:t>1.10 years</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r>
        <w:trPr>
          <w:trHeight w:val="217"/>
        </w:trPr>
        <w:tc>
          <w:tcPr>
            <w:tcW w:w="5080" w:type="dxa"/>
            <w:vAlign w:val="bottom"/>
          </w:tcPr>
          <w:p>
            <w:pPr>
              <w:ind w:left="20"/>
              <w:spacing w:after="0"/>
              <w:rPr>
                <w:sz w:val="20"/>
                <w:szCs w:val="20"/>
                <w:color w:val="auto"/>
              </w:rPr>
            </w:pPr>
            <w:r>
              <w:rPr>
                <w:rFonts w:ascii="Arial" w:cs="Arial" w:eastAsia="Arial" w:hAnsi="Arial"/>
                <w:sz w:val="18"/>
                <w:szCs w:val="18"/>
                <w:color w:val="auto"/>
              </w:rPr>
              <w:t>Vested and exercisable at September 30, 2023</w:t>
            </w:r>
          </w:p>
        </w:tc>
        <w:tc>
          <w:tcPr>
            <w:tcW w:w="1480" w:type="dxa"/>
            <w:vAlign w:val="bottom"/>
          </w:tcPr>
          <w:p>
            <w:pPr>
              <w:jc w:val="right"/>
              <w:spacing w:after="0"/>
              <w:rPr>
                <w:sz w:val="20"/>
                <w:szCs w:val="20"/>
                <w:color w:val="auto"/>
              </w:rPr>
            </w:pPr>
            <w:r>
              <w:rPr>
                <w:rFonts w:ascii="Arial" w:cs="Arial" w:eastAsia="Arial" w:hAnsi="Arial"/>
                <w:sz w:val="18"/>
                <w:szCs w:val="18"/>
                <w:color w:val="auto"/>
              </w:rPr>
              <w:t>492,308</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r>
    </w:tbl>
    <w:p>
      <w:pPr>
        <w:spacing w:after="0" w:line="3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2023 and December 31, 2022, $38 and $160, respectively, of total unrecognized employee stock-based compensation expense, net of estimated forfeitures, related to ACM Shanghai 2019 stock-based awards were expected to be recognized over a weighted-average period of 0.75 years and 0.25 years, respectively. Total recognized compensation cost may be adjusted for future changes in estimated forfeitures.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ACM Shanghai 2023 Option Grants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2023, ACM Shanghai adopted a 2023 Stock Option Incentive Plan ( the "2023 Subsidiary Stock Option Plan”) that provides for, among other incentives, the granting to officers, directors, employees of options to purchase shares of ACM</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Shanghai’s common stock. The vesting conditions consist of service periods conditions and performance conditions related to certain sales and research and development progress targets determined by the Board of Directors of ACM Shanghai.</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ACM Shanghai 2023 Subsidiary Stock Option Plan’s stock option activities during the nine months ended September 30, 2023:</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9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Number of Option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9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Shares in ACM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Average Grant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49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Shanghai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Date Fair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r>
      <w:tr>
        <w:trPr>
          <w:trHeight w:val="27"/>
        </w:trPr>
        <w:tc>
          <w:tcPr>
            <w:tcW w:w="49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w w:val="87"/>
              </w:rPr>
              <w:t>0.00 years</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10,648,500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8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10,648,500</w:t>
            </w:r>
          </w:p>
        </w:tc>
        <w:tc>
          <w:tcPr>
            <w:tcW w:w="100" w:type="dxa"/>
            <w:vAlign w:val="bottom"/>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w:t>
            </w:r>
          </w:p>
        </w:tc>
        <w:tc>
          <w:tcPr>
            <w:tcW w:w="100" w:type="dxa"/>
            <w:vAlign w:val="bottom"/>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w:t>
            </w:r>
          </w:p>
        </w:tc>
        <w:tc>
          <w:tcPr>
            <w:tcW w:w="100" w:type="dxa"/>
            <w:vAlign w:val="bottom"/>
          </w:tcPr>
          <w:p>
            <w:pPr>
              <w:spacing w:after="0"/>
              <w:rPr>
                <w:sz w:val="24"/>
                <w:szCs w:val="24"/>
                <w:color w:val="auto"/>
              </w:rPr>
            </w:pPr>
          </w:p>
        </w:tc>
        <w:tc>
          <w:tcPr>
            <w:tcW w:w="1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w w:val="87"/>
              </w:rPr>
              <w:t>3.34 years</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8"/>
                <w:szCs w:val="18"/>
                <w:color w:val="auto"/>
              </w:rPr>
              <w:t>Vested and exercisable at September 30, 2023</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3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options granted to employees with a service period based condition is estimated on the grant date using the Black-Scholes valuation with following assumptions: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242424"/>
                <w:w w:val="96"/>
              </w:rPr>
              <w:t>Nine Months Ended</w:t>
            </w:r>
          </w:p>
        </w:tc>
      </w:tr>
      <w:tr>
        <w:trPr>
          <w:trHeight w:val="234"/>
        </w:trPr>
        <w:tc>
          <w:tcPr>
            <w:tcW w:w="942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242424"/>
                <w:w w:val="95"/>
              </w:rPr>
              <w:t>September 30, 2023</w:t>
            </w:r>
          </w:p>
        </w:tc>
      </w:tr>
      <w:tr>
        <w:trPr>
          <w:trHeight w:val="27"/>
        </w:trPr>
        <w:tc>
          <w:tcPr>
            <w:tcW w:w="94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share of common stock (1)</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RMB 105.27</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Expected term in years (2)</w:t>
            </w:r>
          </w:p>
        </w:tc>
        <w:tc>
          <w:tcPr>
            <w:tcW w:w="1720" w:type="dxa"/>
            <w:vAlign w:val="bottom"/>
          </w:tcPr>
          <w:p>
            <w:pPr>
              <w:jc w:val="right"/>
              <w:spacing w:after="0"/>
              <w:rPr>
                <w:sz w:val="20"/>
                <w:szCs w:val="20"/>
                <w:color w:val="auto"/>
              </w:rPr>
            </w:pPr>
            <w:r>
              <w:rPr>
                <w:rFonts w:ascii="Arial" w:cs="Arial" w:eastAsia="Arial" w:hAnsi="Arial"/>
                <w:sz w:val="18"/>
                <w:szCs w:val="18"/>
                <w:color w:val="auto"/>
              </w:rPr>
              <w:t>1.5.-4.5</w:t>
            </w:r>
          </w:p>
        </w:tc>
      </w:tr>
      <w:tr>
        <w:trPr>
          <w:trHeight w:val="27"/>
        </w:trPr>
        <w:tc>
          <w:tcPr>
            <w:tcW w:w="9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 (3)</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60.00%-60.60%</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Risk-free interest rate (4)</w:t>
            </w:r>
          </w:p>
        </w:tc>
        <w:tc>
          <w:tcPr>
            <w:tcW w:w="1720" w:type="dxa"/>
            <w:vAlign w:val="bottom"/>
          </w:tcPr>
          <w:p>
            <w:pPr>
              <w:jc w:val="right"/>
              <w:spacing w:after="0"/>
              <w:rPr>
                <w:sz w:val="20"/>
                <w:szCs w:val="20"/>
                <w:color w:val="auto"/>
              </w:rPr>
            </w:pPr>
            <w:r>
              <w:rPr>
                <w:rFonts w:ascii="Arial" w:cs="Arial" w:eastAsia="Arial" w:hAnsi="Arial"/>
                <w:sz w:val="18"/>
                <w:szCs w:val="18"/>
                <w:color w:val="auto"/>
              </w:rPr>
              <w:t>1.50%-2.75%</w:t>
            </w:r>
          </w:p>
        </w:tc>
      </w:tr>
    </w:tbl>
    <w:p>
      <w:pPr>
        <w:spacing w:after="0" w:line="337"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Equal to closing value on the grant date.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Expected term of share options is based on the average of the vesting period and the contractual term for each grant according to ASC 718.</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is calculated based on the historical volatility of ACM Shanghai in the period equal to the expected term of each grant.</w:t>
      </w:r>
    </w:p>
    <w:p>
      <w:pPr>
        <w:spacing w:after="0" w:line="9" w:lineRule="exact"/>
        <w:rPr>
          <w:rFonts w:ascii="Arial" w:cs="Arial" w:eastAsia="Arial" w:hAnsi="Arial"/>
          <w:sz w:val="18"/>
          <w:szCs w:val="18"/>
          <w:color w:val="auto"/>
        </w:rPr>
      </w:pPr>
    </w:p>
    <w:p>
      <w:pPr>
        <w:ind w:right="20" w:firstLine="8"/>
        <w:spacing w:after="0" w:line="260" w:lineRule="auto"/>
        <w:tabs>
          <w:tab w:leader="none" w:pos="271"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Risk-free interest rate is based on the yields of RMB deposit in mainland China with maturities similar to the expected term of the share options in effect at the time of grant.</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2023 and December 31, 2022, $90,197 and $0, respectively, of total unrecognized non-employee stock-based compensation expense, net of estimated forfeitures, related to ACM Shanghai stock-based awards were expected to be recognized over a weighted-average period of 2.34 years and nil years, respectively. Total recognized compensation cost may be adjusted for future changes in estimated forfeitures.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included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0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5"/>
              </w:rPr>
              <w:t>Three Months Ended September 30,</w:t>
            </w:r>
          </w:p>
        </w:tc>
        <w:tc>
          <w:tcPr>
            <w:tcW w:w="140" w:type="dxa"/>
            <w:vAlign w:val="bottom"/>
          </w:tcPr>
          <w:p>
            <w:pPr>
              <w:spacing w:after="0"/>
              <w:rPr>
                <w:sz w:val="20"/>
                <w:szCs w:val="20"/>
                <w:color w:val="auto"/>
              </w:rPr>
            </w:pPr>
          </w:p>
        </w:tc>
        <w:tc>
          <w:tcPr>
            <w:tcW w:w="28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CFF0FC"/>
            </w:tcBorders>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3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Sales and marketing expense</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2,543</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3,405</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w:t>
            </w:r>
          </w:p>
        </w:tc>
        <w:tc>
          <w:tcPr>
            <w:tcW w:w="10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3,421</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4,029</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5,592</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4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0"/>
              </w:rPr>
              <w:t>10,581</w:t>
            </w:r>
          </w:p>
        </w:tc>
        <w:tc>
          <w:tcPr>
            <w:tcW w:w="3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14,666</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0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5"/>
              </w:rPr>
              <w:t>Three Months Ended September 30,</w:t>
            </w:r>
          </w:p>
        </w:tc>
        <w:tc>
          <w:tcPr>
            <w:tcW w:w="160" w:type="dxa"/>
            <w:vAlign w:val="bottom"/>
          </w:tcPr>
          <w:p>
            <w:pPr>
              <w:spacing w:after="0"/>
              <w:rPr>
                <w:sz w:val="20"/>
                <w:szCs w:val="20"/>
                <w:color w:val="auto"/>
              </w:rPr>
            </w:pPr>
          </w:p>
        </w:tc>
        <w:tc>
          <w:tcPr>
            <w:tcW w:w="28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Stock-based compensation expense by type:</w:t>
            </w: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option plan</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Non-employee stock option plan</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and 2023 Subsidiary stock option plan</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10,581</w:t>
            </w: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14,666</w:t>
            </w: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and foreign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ACM Shanghai has shown a three-year historical cumulative profit and has projections of future income. As a result, the Company does not maintain a valuation allowance.</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effective tax rate differs from statutory rates of 21% for U.S. federal income tax purposes and 15% to 25% for Chinese income tax purposes due to the effects of the valuation allowance and certain permanent differences from book-tax differences, including stock based compensation, deemed dividend income under Subchapter F of the U.S. Internal Revenue Code of 1986, as amended (Subpart F), and global intangible low-taxed income (GILTI) inclusions, and R&amp;D super deduction. As a result, the Company recorded income tax expense of $11,235 and $14,138 during the nine months ended September 30, 2023 and 2022, respectively. The decrease in the Company's effective income tax rate for the nine months ended September 30, 2023 compared to the same period of the prior year was primarily due to an increased benefit from the specified deduction to the GILTI inclusion as a result of reduced net operating loss utilization which partially limited the specified deduction in the prior year, and reduced GILTI inclusion related to the amount of capitalized R&amp;D expenses relative to pre-tax income.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change in Section 174 made by the Tax Cuts and Jobs Act of 2017 which became effective on January 1, 2022, the Company is required to capitalize, and subsequently amortize R&amp;D expenses over fifteen years for research activities conducted outside of the U.S. The capitalization of overseas R&amp;D expenses results in a significant increase in the Company’s global intangible low-taxed income inclusion. Congress is considering legislation, but legislation has not passed, that would defer the capitalization requirement to later years.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had total unrecognized tax benefits of $8,448 as of both September 30, 2023 and December 31, 2022. If recognized, the net impact to effective rate, after indirect offset, would be $6,178. The Company did not expect any reversal of unrecognized tax benefits in the next 12 months. The Company will recognize interest and penalties, when they occur, related to uncertain tax provisions as a component of tax expense. For the nine months ended September 30, 2023 and 2022, $853 and $142 of interest and penalties was recognized,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United States and state and foreign jurisdictions. The federal, state and foreign income tax returns are under the statute of limitations subject to tax examinations for the tax years ended December 31, 2001 through December 31, 2022.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four principal mainland China subsidiaries, ACM Shanghai, ACM Wuxi, ACM Beijing and ACM Lingang, are liable for mainland China corporate income taxes at the rates of 15%, 25%, 25% and 15%, respectively. Pursuant to the Corporate Income Tax Law of mainland China, ACM’s mainland China subsidiaries generally would be liable for mainland China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In 2021, ACM Shanghai was certified as an eligible integrated circuit production enterprise and was entitled to a preferential income tax rate of 12.5% from January 1, 2020 to December 31, 2022. Certain entities which meet requirements according to the Policy of the Lingang New area in China(Shanghai) Pilot Free Trade Zone are entitled to a preferential income tax rate of 15%. ACM Lingang was certified for this in 2021, and this preferential income tax rate is valid from January 1, 2020 until December 31,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Income tax expense was as follows:</w:t>
            </w: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4480" w:type="dxa"/>
            <w:vAlign w:val="bottom"/>
          </w:tcPr>
          <w:p>
            <w:pPr>
              <w:spacing w:after="0"/>
              <w:rPr>
                <w:sz w:val="24"/>
                <w:szCs w:val="24"/>
                <w:color w:val="auto"/>
              </w:rPr>
            </w:pPr>
          </w:p>
        </w:tc>
        <w:tc>
          <w:tcPr>
            <w:tcW w:w="30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5"/>
              </w:rPr>
              <w:t>Three Months Ended September 30,</w:t>
            </w:r>
          </w:p>
        </w:tc>
        <w:tc>
          <w:tcPr>
            <w:tcW w:w="140" w:type="dxa"/>
            <w:vAlign w:val="bottom"/>
          </w:tcPr>
          <w:p>
            <w:pPr>
              <w:spacing w:after="0"/>
              <w:rPr>
                <w:sz w:val="24"/>
                <w:szCs w:val="24"/>
                <w:color w:val="auto"/>
              </w:rPr>
            </w:pPr>
          </w:p>
        </w:tc>
        <w:tc>
          <w:tcPr>
            <w:tcW w:w="294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7"/>
        </w:trPr>
        <w:tc>
          <w:tcPr>
            <w:tcW w:w="4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8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(718)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4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COMMITMENTS AND CONTINGENCIES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offices under non-cancelable operating lease agreements. See Note 11 for future minimum lease payments under non-cancelable operating lease agreements with initial terms of one year or more.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 had $41,205 of open capital commitments.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Covenants in Lingang’s Grant Contract for State-owned Construction Land Use Right in Shanghai City with the China (Shanghai) Pilot Free Trade Zone Lingang Special Area Administration require, among other things, that Lingang pay liquidated damages in the event that (a) it does not make a total investment (including the costs of construction, fixtures, equipment and grant fees) of at least RMB 450.0 million ($62,600) or (b) within six years after the land use right is obtained, the Company does not (i) generate a minimum specified amount of annual sales of products manufactured on the granted land or</w:t>
      </w:r>
    </w:p>
    <w:p>
      <w:pPr>
        <w:spacing w:after="0" w:line="1" w:lineRule="exact"/>
        <w:rPr>
          <w:sz w:val="20"/>
          <w:szCs w:val="20"/>
          <w:color w:val="auto"/>
        </w:rPr>
      </w:pPr>
    </w:p>
    <w:p>
      <w:pPr>
        <w:jc w:val="both"/>
        <w:ind w:firstLine="8"/>
        <w:spacing w:after="0" w:line="255" w:lineRule="auto"/>
        <w:tabs>
          <w:tab w:leader="none" w:pos="29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2023 and December 31, 2022, the Company had paid in total $92,917 and $35,376, respectively for its Lingang-related investments.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un-estimable damages.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has evaluated all such proceedings and claims that existed as of September 30, 2023 or December 31, 2022. In the opinion of management, no provision for liability nor disclosure was required as of September 30, 2023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 had no outstanding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SEGMENT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engaged in the development, manufacture and sale of single-wafer wet cleaning equipment, which have been organized as one reporting segment as the equipment has substantially similar nature and economic characteristics. The Company’s chief operating decision maker, ACM’s Chief Executive Officer, receives and reviews the results of the operations for all major types of equipment as a whole when making decisions about allocating resources and assessing performance of the Company.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geographical reporting, revenue by geographic location is determined by the location of customers’ facilities to which products were shipped. Long-lived assets consist primarily of property, plant and equipment, land use right, and right-of-use assets and are attributed to the geographic location in which they are located.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balance of selected long-lived assets by geographic location as of September 30, 2023 and December 31, 2022 are presented in the following table: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Long-lived assets by geographic location:</w:t>
            </w:r>
          </w:p>
        </w:tc>
        <w:tc>
          <w:tcPr>
            <w:tcW w:w="3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98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Mainland China</w:t>
            </w:r>
          </w:p>
        </w:tc>
        <w:tc>
          <w:tcPr>
            <w:tcW w:w="38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196,597</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140,481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Korea</w:t>
            </w:r>
          </w:p>
        </w:tc>
        <w:tc>
          <w:tcPr>
            <w:tcW w:w="3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12,300</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8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16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210,216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800" w:type="dxa"/>
            <w:vAlign w:val="bottom"/>
            <w:vMerge w:val="restart"/>
          </w:tcPr>
          <w:p>
            <w:pPr>
              <w:jc w:val="right"/>
              <w:ind w:right="2270"/>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STATUTORY SURPLUS RESERVE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mainland China’s Foreign Enterprise Law, ACM Shanghai, ACM Lingang, and ACM Wuxi are required to make appropriation to reserve funds, comprising the statutory surplus reserve and discretionary surplus reserve, based on after-tax net income in accordance with generally accepted accounting principles of mainland China (“mainland China GAAP”).</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Appropriations to the statutory surplus reserve are required to be at least 10% of the after-tax net income determined in accordance with mainland China GAAP until the reserve is equal to 50% of the entities’ registered capital. The amount is calculated annually at the end of each calendar year. The balances of statutory reserve funds was $16,881 as of both September 30, 2023 and December 31, 2022, and is presented as statutory surplus reserve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2022, or our Annual Report. The following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Factors that could cause or contribute to these differences include those discussed in Part I, Item 1A. “Risk Factors” in our Annual Report, as well as those discussed below and elsewhere in this report, particularly in the section titled “Item 1A – Risk Factors” in Part II below.</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mainland China or the PRC, in 2005. Unless the context requires otherwise, references in this report to “our company,” “our,” “us,” “we” and similar terms refer to ACM Research, Inc. and its subsidiaries, including ACM Shanghai, collectively.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corporate office is located in Fremont, California. We conduct a substantial majority of our product development, manufacturing, support and services in mainland China through ACM Shanghai. We perform, through a subsidiary of ACM Shanghai, additional product development and subsystem production in Korea, and we conduct, through ACM Research, sales and marketing activities focused on sales of ACM Shanghai products in North America, Europe and certain regions in Asia outside mainland China.</w:t>
      </w:r>
    </w:p>
    <w:p>
      <w:pPr>
        <w:spacing w:after="0" w:line="2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ACM Research is not a mainland China operating company, and we do not conduct our operations in mainland China through the use of a variable interest entity, or VIE, or any other structure designed for the purpose of avoiding mainland China legal restrictions on direct foreign investments in mainland China-based companies. ACM Research has a direct ownership interest in ACM Shanghai as the result of its holding 82.1%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mainland China central government authority in order to continue to list shares of Class A common stock of ACM Research on the Nasdaq Global Select Market. This determination was based on the facts aforementioned and mainland China Company Law, mainland China Securities Law, cybersecurity regulations and other relevant laws, regulations and regulatory requirements in mainland China currently in effect. However, if this determination proves to be incorrect, then it could have a material adverse effect on ACM Research. See “Item IA. Risk Factors—Risks Related to International Aspects of Our Business—If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 in our Annual Report.</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of ACM Shanghai is subject to complex laws and regulations in mainland China that can change quickly with little or no advance notice. To date, beyond the COVID-19-related restrictions in 2022, we have not experienced such intervention or influence by mainland China central government authorities or a change in those authorities’ rules and regulations that have had a material impact on ACM Shanghai or ACM Research.</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in the ordinary course of business, ACM Shanghai is required to obtain certain operating permits and licenses necessary for it to operate in mainland China,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mainland China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mainland China regulatory authorities, and it could have a material adverse effect on our business, financial condition, results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reputation and prospects and on the trading price of ACM Research Class A common stock, which could decline in value or become worthless.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depicts our corporate organization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657850" cy="2091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detailed description of how cash is transferred through our organization is set forth under “Note 2 – Summary of Significant Accounting Policies – Cash and Cash Equivalents” to the Condensed Consolidated Financial Statements of this report.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BDO China Shu Lun Pan Certified Public Accountants LLP, or BDO China, had been our independent registered public accounting firm in recent years, including for the year ended December 31, 2021. On June 22, 2021, the U.S. Senate passed the Accelerating Holding Foreign Companies Accountable Act, which was enacted on December 29, 2022 under the Consolidated Appropriations Act, 2023, as further described below. On December 16, 2021, the PCAOB reported its determination that it was unable to inspect or investigate completely registered public accounting firms headquartered in mainland China and Hong Kong, including BDO China, because of positions taken by mainland China authorities in those jurisdictions. On March 30, 2022, based on this determination, ACM Research was transferred to the SEC’s “Conclusive list of issuers identified under the HFCA.” See “Item 1A. Risk Factors—Risks Related to International Aspects of Our Business—We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 for more information. Under current regulations, if ACM Research were to be included on this list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15, 2022, the PCAOB announced that it was able to secure complete access to inspect and investigate PCAOB-registered public accounting firms headquartered in mainland China and Hong Kong in 2022 and vacated its previous December 16, 2021 determination to the contrary. However, whether the PCAOB will continue to be able to satisfactorily conduct inspections of PCAOB-registered public accounting firms headquartered in mainland China and Hong Kong is subject to uncertainty and depends on a number of factors out of our, and our auditor’s, control. Mainland China authorities will need to ensure that the PCAOB continues to have full access for inspections and investigations in 2023 and beyond. Each year, the PCAOB will determine whether it can inspect and investigate completely audit firms in mainland China and Hong Kong, among other jurisdictions. If mainland China authorities do not allow the PCAOB complete access for inspections and investigations for two consecutive years, the SEC would prohibit trading in the securities of issuers engaging those audit firms, as required under the HFCA Act. Further, on December 29, 2022, the Consolidated Appropriations Act, 2023, was signed into law by U.S. President Biden, which, among other things, amended the HFCA Act to reduce the number of consecutive non-inspection years that would trigger the trading prohibition under the HFCA Act from three years to two years (originally such threshold under the HFCA Act was three consecutive years),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so that any foreign jurisdiction could be the reason why the PCAOB does not have complete access to inspect or investigate a company’s public accounting firm (originally the HFCA Act only applied if the PCAOB’s ability to inspect or investigate was due to a position taken by an authority in the jurisdiction where the relevant public accounting firm was located).</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June 30, 2022, and June 15, 2023, stockholders of ACM Research ratified the appointment of Armanino LLP as our independent auditor for the years ended December 31, 2022 and 2023, respectively. Armanino LLP was neither headquartered in mainland China or Hong Kong nor was it subject to the determinations announced by the PCAOB on December 16, 2021, which determinations were vacated by the PCAOB on December 15, 2022.</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21, 2023, we were informed by Armanino, that Armanino would resign as our independent auditor effective as of the earlier of (a) the date we engaged a new independent registered public accounting firm or (b) the filing of our Quarterly Report on Form 10-Q for the fiscal quarter ended September 30, 2023.</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14, 2023, the Audit Committee of the Board of Directors (the “Audit Committee”) completed a competitive selection process to select and appoint a new accounting firm to serve as our independent registered public accounting firm commencing with the audit of our financial statements for the fiscal year ending December 31, 2023. As a result of this process, the Audit Committee approved the engagement of Ernst &amp; Young Hua Ming LLP (“E&amp;Y”) as our independent registered public accounting firm for the fiscal year ending December 31, 2023. The engagement of E&amp;Y became effective on September 20, 2023. E&amp;Y is a PCAOB-registered firm that is headquartered in mainland China; however, we do not believe ACM Research will appear on the “Conclusive list of issuers identified under the HFCAA” for a second consecutive time, as the determinations announced by the PCAOB on December 16, 2021 were vacated by the PCAOB on December 15, 2022.</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matters discussed above, we are also subject to a number of legal and operational risks associated with our corporate structure, including as the result of a substantial portion of our operations being conducted in mainland 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 in our Annual Report (for which "PRC" is generally replaced by "mainland China" herein), in particular the risk factors addressing the following issues:</w:t>
      </w:r>
    </w:p>
    <w:p>
      <w:pPr>
        <w:spacing w:after="0" w:line="188" w:lineRule="exact"/>
        <w:rPr>
          <w:sz w:val="20"/>
          <w:szCs w:val="20"/>
          <w:color w:val="auto"/>
        </w:rPr>
      </w:pPr>
    </w:p>
    <w:p>
      <w:pPr>
        <w:jc w:val="both"/>
        <w:ind w:left="660" w:hanging="652"/>
        <w:spacing w:after="0" w:line="291"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spacing w:after="0" w:line="166" w:lineRule="exact"/>
        <w:rPr>
          <w:rFonts w:ascii="Arial" w:cs="Arial" w:eastAsia="Arial" w:hAnsi="Arial"/>
          <w:sz w:val="16"/>
          <w:szCs w:val="16"/>
          <w:color w:val="auto"/>
        </w:rPr>
      </w:pPr>
    </w:p>
    <w:p>
      <w:pPr>
        <w:ind w:left="660" w:right="2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Mainland China central government authorities may intervene in, or influence, ACM Shanghai’s mainland China-based operations at any time, and those authorities’ rules and regulations in mainland China can change quickly with little or no advance notice.</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Recent statements and regulatory actions by mainland China central government authorities with respect to the use of VIEs and to data security and anti-monopoly concerns have not affected our ability to conduct our business operations in mainland China. For further information, see “Item 1A. Risk Factors</w:t>
      </w:r>
    </w:p>
    <w:p>
      <w:pPr>
        <w:spacing w:after="0"/>
        <w:rPr>
          <w:sz w:val="20"/>
          <w:szCs w:val="20"/>
          <w:color w:val="auto"/>
        </w:rPr>
      </w:pPr>
      <w:r>
        <w:rPr>
          <w:rFonts w:ascii="Arial" w:cs="Arial" w:eastAsia="Arial" w:hAnsi="Arial"/>
          <w:sz w:val="18"/>
          <w:szCs w:val="18"/>
          <w:color w:val="auto"/>
        </w:rPr>
        <w:t>—Risks Related to International Aspects of Our Business” in our Annual Report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single wafer cleaning, Tahoe and semi-critical cleaning equipment totaled $132.4 million, or 78.6% of total revenue, for the three months ended September 30, 2023, as compared to $99.7 million, or 74.6% of total revenue, for the same period in 2022 Revenue from single wafer cleaning, Tahoe and semi-critical cleaning equipment totaled $281.6 million, or 72.7% of total revenue, for the nine months ended September 30, 2023, as compared to $198.3 million, or70.8% of total revenue, for the same period in 2022.</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ECP (front-end packaging), furnace and other technologies totaled $25.5 million, or 15.1% of total revenue, for the three months ended September 30, 2023, as compared to $24.5 million, or 18.3% of total revenue, for the same period in 2022 Revenue from ECP (front-end packaging), furnace and other technologies totaled $71.2 million, or 18.4% of total revenue, for the nine months ended September 30, 2023, as compared to $57.3 million, or 20.4% of total revenue, for the same period in 2022.</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advanced packaging (excluding ECP), services and spares totaled $10.6 million, or 6.3% of total revenue, for the three months ended September 30, 2023, as compared to $9.5 million, or 7.1% of total revenue, for the same period in 2022 Revenue from advanced packaging (excluding ECP), services and spares totaled $34.6 million, or 8.9% of total revenue, for the nine months ended September 30, 2023, as compared to $24.7 million, or 8.8% of total revenue, for the same period in 2022.</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front-end customers have included Huali Microelectronics Corporation, The Huahong Group, SMIC, Shanghai SK Hynix Inc., YMTC and ChangXin Memory Technologies. Our wafer assembly and packaging customers have included, Jiangyin Changdian Advanced Packaging Co. Ltd., a mainland China-based wafer bumping packaging house that is a subsidiary of JCET Group Co., Ltd.; Nantong Tongfu Microelectronics Co., Ltd., a mainland China-based chip assembly and testing company that is a subsidiary of Nantong Fujitsu Microelectronics Co., Ltd.; Nepes Co., Ltd., a semiconductor packaging company based in Korea; and Wafer Works Corporation, a mainland China-based wafer supplier. Selling prices for our tools generally range from $0.5 million to more than $5 million.</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estimate, based on third-party reports and on customer and other information, that our current product portfolio addresses approximately $16 billion of the 2022 global wafer fab equipment, or WFE, market. By product line, we estimate an approximately $4.6 billion market opportunity is addressed by our wafer cleaning equipment, $4.3 billion by our Plasma-Enhanced Chemical Vapor Deposition, or PECVD, equipment, $3.2 billion by our furnace equipment, $2.6 billion by our Track equipment, $800 million by our electro-chemical plating, or ECP, equipment, and more than $800 million by our stress-free polishing, advanced packaging, wafer processing, and other processing equipment. Based on Gartner’s estimates, the total available global market for these equipment segments increased by 7.6% from $20.1 billion in 2021, to $21.6 billion in 2022, and is expected to decrease by 19.6% to $17.4 billion in 2023. These equipment segments are a subset of the total worldwide semiconductor WFE market, which Gartner estimates increased by 8.9% from $92.4 billion in 2021 to $100.5 billion in 2022, and estimates will decrease by 19.0% to $81.5 billion in 2023.</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2009 we have delivered more than 490 wet-cleaning and other front-end processing tools, of which we have recognized revenue for more than 390. To date, a substantial majority of our sales have been to customers located in Asia, and we anticipate that a substantial majority of our revenue from these products will continue to come from customers located in this region for the foreseeable future.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begun to add to our efforts to further address customers in North America, Western Europe and Southeast Asia by expanding our direct sales and services teams and increasing our global marketing activities. Our U.S. operation includes sales, marketing and services personnel to expand and support major new customer initiatives for the products of ACM Shanghai to additional regions beyond mainland China. As of September 30, 2023, we have delivered one tool for evaluation to a U.S. lab of a global semiconductor capital equipment vendor, and two tools to the U.S. facility of a major U.S. semiconductor manufacturer. Both of these evaluations are supported by our U.S. and global services team.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ACM Shanghai Dividend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three months ended September 30, 2023, ACM Shanghai paid a dividend to the stockholders of ACM Shanghai (including ACM Research) in the amount of RMB 0.372 per share for an aggregate total of RMB 161.28 million ($22.2 million).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RMB Working Capital Loan Contract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2023, ACM Research, Inc. entered into a RMB Working Capital Loan Contract (the “Loan Contract”) with China CITIC Bank Co., Ltd. (“China CITIC Bank”). The Loan Contract provides for a RMB 200 million (approximately $28 million based on currency exchange rates as of July 25, 2023) loan credit facility, which term expires on December 21, 2025 (the “Maturity Date”).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Principal outstanding under the Loan Contract bears interest at a rate equal to (a) the latest one-year loan market quotation rate of the National Interbank Funding Center plus (b) 105 basis points, if the withdrawal date is on or prior to January 24, 2024. If the withdrawal date is after January 24, 2024, China CITIC Bank has the right to adjust the interest rate under the Loan Contract in accordance with China CITIC Bank’s relevant interest rate policy at the time. The specific adjustment method of the interest rate shall be set forth in writing signed by us and China CITIC Bank.</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Payment of interest shall be made on a quarterly basis and repayment of the principal amount is due in full at the Maturity Date. We may, at any time, repay all or part of the principal amount if we meet the following conditions: (a) we have paid all of the amounts due and payable before prepayment, (b) we send, at least 20 bank working days prior to the date of prepayment, a written application for the prepayment to China CITIC Bank and obtain China CITIC Bank’s written consent and (c) we pay to China CITIC Bank the interest and other payable expenses related to the amount of the prepayment simultaneous with the prepayment.</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Loan Contract contains customary representations and warranties and affirmative and restrictive covenants. We are bound by certain affirmative covenants setting forth actions that are required during the term of the Loan Contract, including, without limitation, certain information delivery requirements and certain notice requirements. Additionally, we are bound by certain restrictive covenants setting forth actions that are not permitted to be taken during the term of the Loan Contract without China CITIC Bank’s written consent, including, without limitation, consummating certain transactions.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Loan Contract provides for customary events of default, including, without limitation, events of default based on non-payment of amounts due under the Loan Contract, misuse of funds received under the Loan Contract, defaults on other debt, misrepresentations, covenant breaches, changes of control, and bankruptcy. Upon an event of default China CITIC Bank shall unilaterally stop or terminate the payment of any amount that we have not yet withdrawn under the Loan Contract, the amounts outstanding under the Loan Contract will become immediately due and payable, and China CITIC Bank shall have the right to freeze any account opened by us at any business institution of China CITIC Bank and directly deduct the funds from such accounts to pay off the outstanding amounts due.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Mainland China Government Research and Development Funding</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ACM Shanghai has received eight special government grants.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electrocopper-plating technology. The fourth grant was made in June 2018 and related to development of polytetrafluoroethylene. The fifth grant was made in 2020, and relates to the development of Tahoe single bench cleaning technologies. The sixth grant was made in 2020, and relates to the development of other cleaning technologies. The seventh grant was made in 2021, and relates to the development of the R&amp;D and production center in the Lin-gang Special Area of Shanghai. These governmental authorities provide significant funding, although ACM Shanghai and ACM Research (Lingang), Inc., or ACM Lingang are also required to invest certain amounts in the projects. The eighth grant was made in 2022, and relates to the development of 300 mm cleaning and drying equipment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governmental grants contain certain operating conditions, and we are required to go through a government due diligence process once the project is complete. The grants therefore are recorded as long-term liabilities upon receipt,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although we are not required to return any funds ACM Shanghai receives. Grant amounts are recognized in our statements of operations and comprehensive income (loss) as follows:</w:t>
      </w:r>
    </w:p>
    <w:p>
      <w:pPr>
        <w:spacing w:after="0" w:line="1" w:lineRule="exact"/>
        <w:rPr>
          <w:sz w:val="20"/>
          <w:szCs w:val="20"/>
          <w:color w:val="auto"/>
        </w:rPr>
      </w:pPr>
    </w:p>
    <w:p>
      <w:pPr>
        <w:jc w:val="both"/>
        <w:ind w:left="660" w:hanging="652"/>
        <w:spacing w:after="0" w:line="265"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recorded as reductions of those expenses in the periods in which the current expenses are recorded. For the three months ended September 30, 2023 and 2022, related government subsidies recognized as reductions of relevant expenses in the consolidated statements of operations and comprehensive income (loss) were $0.7 million and $0.2 million, respectively. For the nine months ended September 30, 2023 and 2022, related government subsidies recognized as reductions of relevant expenses in the consolidated statements of operations and comprehensive income (loss) were $1.5 million and $0.3 million, respectively.</w:t>
      </w:r>
    </w:p>
    <w:p>
      <w:pPr>
        <w:jc w:val="both"/>
        <w:ind w:left="660" w:hanging="652"/>
        <w:spacing w:after="0" w:line="25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subsidies related to depreciable assets are credited to income over the useful lives of the related assets for which the grant was received. For the three months ended September 30, 2023 and 2022, related government subsidies recognized as other income in the consolidated statements of operations and comprehensive income (loss) were $121,000 and $77,000, respectively. For the nine months ended September 30, 2023 and 2022, related government subsidies recognized as other income in the consolidated statements of operations and comprehensive income (loss) were $370,000 and $232,000,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During the nine-months ended September 30, 2023, ACM Research's ownership declined to 82.1% due to the exercise of 2,150,309 stock options related to ACM Shanghai shares (note 18). As a result, we reflect the portion of our net income allocable to the minority holders of ACM Shanghai shares as net income attributable to non-controlling interests.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preparing our condensed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assumptions, judgments and estimates involved in the accounting for the following accounting policies have the greatest potential impact on our consolidated financial statements, and we therefore consider these to be our critical accounting estimates. For information on our significant accounting policies, see Note 2 in the 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derive revenue principally from the sale of semiconductor capital equipment, or tools, used for the fabrication of integrated semiconductor circuits. We recognize revenue when promised goods or services are transferred to customers in an amount that reflects the consideration to which we expect to be entitled in exchange for those goods or services by following a five-step process:</w:t>
      </w:r>
    </w:p>
    <w:p>
      <w:pPr>
        <w:spacing w:after="0" w:line="3" w:lineRule="exact"/>
        <w:rPr>
          <w:sz w:val="20"/>
          <w:szCs w:val="20"/>
          <w:color w:val="auto"/>
        </w:rPr>
      </w:pPr>
    </w:p>
    <w:p>
      <w:pPr>
        <w:ind w:left="660" w:hanging="328"/>
        <w:spacing w:after="0"/>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9" w:lineRule="exact"/>
        <w:rPr>
          <w:rFonts w:ascii="Arial" w:cs="Arial" w:eastAsia="Arial" w:hAnsi="Arial"/>
          <w:sz w:val="18"/>
          <w:szCs w:val="18"/>
          <w:color w:val="auto"/>
        </w:rPr>
      </w:pPr>
    </w:p>
    <w:p>
      <w:pPr>
        <w:ind w:left="500" w:hanging="179"/>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500" w:hanging="179"/>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500" w:hanging="179"/>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500" w:hanging="179"/>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Recognize revenue when, or as, a performance obligation is satisfied.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Identify the contract(s) with a customer. </w:t>
      </w:r>
      <w:r>
        <w:rPr>
          <w:rFonts w:ascii="Arial" w:cs="Arial" w:eastAsia="Arial" w:hAnsi="Arial"/>
          <w:sz w:val="18"/>
          <w:szCs w:val="18"/>
          <w:color w:val="auto"/>
        </w:rPr>
        <w:t>We generally consider written documentation including, but not limited to, signed purchase orders, master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and sales orders as contracts, provided it has approval and commitment from the customer, the rights of the parties are identified, payment terms are identified, the contract has commercial substance, and collection is probable. Collectability is assessed based on our management’s assessment of the customer’s creditworthiness, historical payment experience, as well as other relevant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Identify the performance obligations in the contract. </w:t>
      </w:r>
      <w:r>
        <w:rPr>
          <w:rFonts w:ascii="Arial" w:cs="Arial" w:eastAsia="Arial" w:hAnsi="Arial"/>
          <w:sz w:val="18"/>
          <w:szCs w:val="18"/>
          <w:color w:val="auto"/>
        </w:rPr>
        <w:t>Performance obligations are accounted for separately if they are distinct. A good or service is distinct</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customer can benefit from the good or service either on its own or together with other resources that are readily available to the customer, and the good or service is distinct in the context of the contract. Our performance obligations generally include sales of tools and spare parts. In addition, customer contracts can contain provisions for installation, training, software updates, most-favored pricing for spare parts, and other items which have been deemed immaterial in the context of the contract.</w:t>
      </w:r>
    </w:p>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Determine the transaction price. </w:t>
      </w:r>
      <w:r>
        <w:rPr>
          <w:rFonts w:ascii="Arial" w:cs="Arial" w:eastAsia="Arial" w:hAnsi="Arial"/>
          <w:sz w:val="18"/>
          <w:szCs w:val="18"/>
          <w:color w:val="auto"/>
        </w:rPr>
        <w:t>The transaction price for our contracts with customers may include fixed and variable consideration. We include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in the transaction price to the extent that it is probable that a significant reversal of revenue will not occur in the future based on our historical experience with similar arrangements.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Allocate the transaction price to the performance obligations in the contract. </w:t>
      </w:r>
      <w:r>
        <w:rPr>
          <w:rFonts w:ascii="Arial" w:cs="Arial" w:eastAsia="Arial" w:hAnsi="Arial"/>
          <w:sz w:val="18"/>
          <w:szCs w:val="18"/>
          <w:color w:val="auto"/>
        </w:rPr>
        <w:t>For contracts that contain multiple performance obligations, we allocate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price to the performance obligations on a relative standalone selling price basis. We defer revenue associated with spare parts, sold together with its tools, based on its stand-alone observable selling prices or using an expected cost-plus-margin approach when a stand-alone selling price is not directly observable, and recognizes revenue upon subsequent delivery.</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Recognize revenue when, or as, a performance obligation is satisfied. </w:t>
      </w:r>
      <w:r>
        <w:rPr>
          <w:rFonts w:ascii="Arial" w:cs="Arial" w:eastAsia="Arial" w:hAnsi="Arial"/>
          <w:sz w:val="18"/>
          <w:szCs w:val="18"/>
          <w:color w:val="auto"/>
        </w:rPr>
        <w:t>We recognize revenue from tools and spare parts at a point in time, when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satisfied our performance obligation. Our sales arrangements do not include a general right of return. For shipments made to a customer that has not previously accepted a specific type of tool in the past (“first tools”), revenues are recognized when the goods are accepted by the customer. For shipments made to a customer that has previously accepted a specific type of tool, revenues are recognized upon shipment or delivery because we can objectively demonstrate that the goods meet all the required customer specifications.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grants of stock options based on their grant date fair value and recognize compensation expense over the vesting periods. We estimate the fair value of the stock options granted with a service period-based condition and/or performance condition at the date of grant using the Black-Scholes option pricing model. We estimate the fair value of the stock options granted with a market-based condition at the date of grant using the Monte Carlo simulation model.</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options granted with a service period-based and/or performance condition, we estimate the fair value of these stock option grants using the Black-Scholes option pricing model, which requires the input of subjective assumptions, including (a)Fair value of share of common stock, (b)the risk-free interest rate, (c) volatility, and (d) the expected term of the award.</w:t>
      </w:r>
    </w:p>
    <w:p>
      <w:pPr>
        <w:spacing w:after="0" w:line="211" w:lineRule="exact"/>
        <w:rPr>
          <w:sz w:val="20"/>
          <w:szCs w:val="20"/>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use the market closing price for the Class A common stock as reported on the Nasdaq Global Market to determine the fair value of the Class A common stock. We use the market closing price for the ACM Shanghai’s common stock as reported on the STAR Market to determine the fair value of ACM Shanghai’s common stock.</w:t>
      </w:r>
    </w:p>
    <w:p>
      <w:pPr>
        <w:spacing w:after="0" w:line="210"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options granted by ACM Research, risk-free interest rate is based on the yields of U.S. Treasury securities with maturities similar to the expected term of the share options in effect at the time of grant. For options granted by ACM Shanghai, risk-free interest rate is based on the yields of RMB deposit in mainland China with maturities similar to the expected term of the share options in effect at the time of grant.</w:t>
      </w:r>
    </w:p>
    <w:p>
      <w:pPr>
        <w:spacing w:after="0" w:line="19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use historical volatility of our shares in the period equal to the expected term of each grant.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term of share options is based on the average of the vesting period and the contractual term for each grant.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consist of finished goods, raw materials, work-in-process and consumable materials. Finished goods are comprised of direct materials, direct labor, depreciation and manufacturing overhead. Inventory is stated at the lower of cost and net realizable value of the inventory on a moving weighted average basis.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assess the recoverability of all inventories quarterly to determine if any adjustments are required. We recognize a loss or impairment if in our judgement the inventory cannot be sold or used for production, if it has been damaged or should be considered as obsolete, or if the net realizable value is lower than the cost. We also assess the status of our raw materials.We recognize a loss or impairment for any raw materials aged more than three years. The three-year aging is based on our assessment of technology change,our requirement to maintain stock for warranty coverage, and other factors. Actual demand may differ from forecasted demand, and those differences may have a material effect on recorded inventory values.</w:t>
      </w:r>
    </w:p>
    <w:p>
      <w:pPr>
        <w:spacing w:after="0" w:line="2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manufacturing overhead standards for product costs are calculated assuming full absorption of forecasted spending over projected volumes, adjusted for excess capacity. Abnormal inventory costs such as costs of idle facilities, excess freight and handling costs, and spoilage are recognized as current period charges.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Accounts receivables are reflected in our consolidated balance sheets at their estimated collectible amounts. A substantial majority of our accounts receivable are derived from sales to large multinational semiconductor manufacturers in Asia. We assess collectability by reviewing accounts receivable on a collective basis where similar characteristics exist and on an individual basis when we identify specific customers with known disputes or collectability issues. In determining the amount of the allowance for credit losses,we consider historical collectability based on past due status, the age of the accounts receivable balances, credit quality of our customers based on ongoing credit evaluations, current economic conditions, reasonable and supportable forecasts of future economic conditions, and other factors that may affect our ability to collect from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maintained a partial valuation allowance as of September 30, 2023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 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Interest and penalties related to uncertain tax positions are recorded in the provision for income tax expense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provided standard assurance type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 As of September 30, 2023 and December 31, 2022, we had accrued $10.5 million and $8.8 million, respectively, in liability contingency for potential warranty claims.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discussion of recent accounting pronouncements is included in our Annual Report and is updated in Note 2 to the condensed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 as percentages of revenue.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260" w:type="dxa"/>
            <w:vAlign w:val="bottom"/>
            <w:gridSpan w:val="5"/>
          </w:tcPr>
          <w:p>
            <w:pPr>
              <w:ind w:left="180"/>
              <w:spacing w:after="0"/>
              <w:rPr>
                <w:sz w:val="20"/>
                <w:szCs w:val="20"/>
                <w:color w:val="auto"/>
              </w:rPr>
            </w:pPr>
            <w:r>
              <w:rPr>
                <w:rFonts w:ascii="Arial" w:cs="Arial" w:eastAsia="Arial" w:hAnsi="Arial"/>
                <w:sz w:val="18"/>
                <w:szCs w:val="18"/>
                <w:b w:val="1"/>
                <w:bCs w:val="1"/>
                <w:color w:val="auto"/>
                <w:w w:val="99"/>
              </w:rPr>
              <w:t>Three Months Ended September 30,</w:t>
            </w:r>
          </w:p>
        </w:tc>
        <w:tc>
          <w:tcPr>
            <w:tcW w:w="3900" w:type="dxa"/>
            <w:vAlign w:val="bottom"/>
            <w:gridSpan w:val="4"/>
          </w:tcPr>
          <w:p>
            <w:pPr>
              <w:ind w:left="260"/>
              <w:spacing w:after="0"/>
              <w:rPr>
                <w:sz w:val="20"/>
                <w:szCs w:val="20"/>
                <w:color w:val="auto"/>
              </w:rPr>
            </w:pPr>
            <w:r>
              <w:rPr>
                <w:rFonts w:ascii="Arial" w:cs="Arial" w:eastAsia="Arial" w:hAnsi="Arial"/>
                <w:sz w:val="18"/>
                <w:szCs w:val="18"/>
                <w:b w:val="1"/>
                <w:bCs w:val="1"/>
                <w:color w:val="auto"/>
              </w:rPr>
              <w:t>Nine Months Ended September 30,</w:t>
            </w:r>
          </w:p>
        </w:tc>
      </w:tr>
      <w:tr>
        <w:trPr>
          <w:trHeight w:val="27"/>
        </w:trPr>
        <w:tc>
          <w:tcPr>
            <w:tcW w:w="40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0"/>
                <w:szCs w:val="20"/>
                <w:color w:val="auto"/>
              </w:rPr>
            </w:pPr>
          </w:p>
        </w:tc>
      </w:tr>
      <w:tr>
        <w:trPr>
          <w:trHeight w:val="27"/>
        </w:trPr>
        <w:tc>
          <w:tcPr>
            <w:tcW w:w="4080" w:type="dxa"/>
            <w:vAlign w:val="bottom"/>
            <w:tcBorders>
              <w:bottom w:val="single" w:sz="8" w:color="CFF0FC"/>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700" w:type="dxa"/>
            <w:vAlign w:val="bottom"/>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53.7</w:t>
            </w:r>
          </w:p>
        </w:tc>
        <w:tc>
          <w:tcPr>
            <w:tcW w:w="700" w:type="dxa"/>
            <w:vAlign w:val="bottom"/>
          </w:tcPr>
          <w:p>
            <w:pPr>
              <w:spacing w:after="0"/>
              <w:rPr>
                <w:sz w:val="21"/>
                <w:szCs w:val="21"/>
                <w:color w:val="auto"/>
              </w:rPr>
            </w:pPr>
          </w:p>
        </w:tc>
      </w:tr>
      <w:tr>
        <w:trPr>
          <w:trHeight w:val="27"/>
        </w:trPr>
        <w:tc>
          <w:tcPr>
            <w:tcW w:w="4080" w:type="dxa"/>
            <w:vAlign w:val="bottom"/>
            <w:tcBorders>
              <w:bottom w:val="single" w:sz="8" w:color="CFF0FC"/>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63"/>
        </w:trPr>
        <w:tc>
          <w:tcPr>
            <w:tcW w:w="40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Gross margin</w:t>
            </w:r>
          </w:p>
        </w:tc>
        <w:tc>
          <w:tcPr>
            <w:tcW w:w="15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52.5</w:t>
            </w: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50.9</w:t>
            </w:r>
          </w:p>
        </w:tc>
        <w:tc>
          <w:tcPr>
            <w:tcW w:w="8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46.3</w:t>
            </w:r>
          </w:p>
        </w:tc>
        <w:tc>
          <w:tcPr>
            <w:tcW w:w="700" w:type="dxa"/>
            <w:vAlign w:val="bottom"/>
          </w:tcPr>
          <w:p>
            <w:pPr>
              <w:spacing w:after="0"/>
              <w:rPr>
                <w:sz w:val="22"/>
                <w:szCs w:val="22"/>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r>
      <w:tr>
        <w:trPr>
          <w:trHeight w:val="27"/>
        </w:trPr>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Sales and marketing</w:t>
            </w:r>
          </w:p>
        </w:tc>
        <w:tc>
          <w:tcPr>
            <w:tcW w:w="15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9.8</w:t>
            </w:r>
          </w:p>
        </w:tc>
        <w:tc>
          <w:tcPr>
            <w:tcW w:w="700" w:type="dxa"/>
            <w:vAlign w:val="bottom"/>
          </w:tcPr>
          <w:p>
            <w:pPr>
              <w:spacing w:after="0"/>
              <w:rPr>
                <w:sz w:val="21"/>
                <w:szCs w:val="2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15.8</w:t>
            </w:r>
          </w:p>
        </w:tc>
        <w:tc>
          <w:tcPr>
            <w:tcW w:w="7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0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5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5.6</w:t>
            </w:r>
          </w:p>
        </w:tc>
        <w:tc>
          <w:tcPr>
            <w:tcW w:w="700" w:type="dxa"/>
            <w:vAlign w:val="bottom"/>
          </w:tcPr>
          <w:p>
            <w:pPr>
              <w:spacing w:after="0"/>
              <w:rPr>
                <w:sz w:val="23"/>
                <w:szCs w:val="23"/>
                <w:color w:val="auto"/>
              </w:rPr>
            </w:pPr>
          </w:p>
        </w:tc>
      </w:tr>
      <w:tr>
        <w:trPr>
          <w:trHeight w:val="237"/>
        </w:trPr>
        <w:tc>
          <w:tcPr>
            <w:tcW w:w="4080" w:type="dxa"/>
            <w:vAlign w:val="bottom"/>
          </w:tcPr>
          <w:p>
            <w:pPr>
              <w:ind w:left="360"/>
              <w:spacing w:after="0"/>
              <w:rPr>
                <w:sz w:val="20"/>
                <w:szCs w:val="20"/>
                <w:color w:val="auto"/>
              </w:rPr>
            </w:pPr>
            <w:r>
              <w:rPr>
                <w:rFonts w:ascii="Arial" w:cs="Arial" w:eastAsia="Arial" w:hAnsi="Arial"/>
                <w:sz w:val="18"/>
                <w:szCs w:val="18"/>
                <w:color w:val="auto"/>
              </w:rPr>
              <w:t>Total operating expenses, net</w:t>
            </w:r>
          </w:p>
        </w:tc>
        <w:tc>
          <w:tcPr>
            <w:tcW w:w="15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0"/>
                <w:szCs w:val="20"/>
                <w:color w:val="auto"/>
              </w:rPr>
            </w:pPr>
          </w:p>
        </w:tc>
        <w:tc>
          <w:tcPr>
            <w:tcW w:w="1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31.2</w:t>
            </w:r>
          </w:p>
        </w:tc>
        <w:tc>
          <w:tcPr>
            <w:tcW w:w="700" w:type="dxa"/>
            <w:vAlign w:val="bottom"/>
          </w:tcPr>
          <w:p>
            <w:pPr>
              <w:spacing w:after="0"/>
              <w:rPr>
                <w:sz w:val="20"/>
                <w:szCs w:val="20"/>
                <w:color w:val="auto"/>
              </w:rPr>
            </w:pPr>
          </w:p>
        </w:tc>
      </w:tr>
      <w:tr>
        <w:trPr>
          <w:trHeight w:val="27"/>
        </w:trPr>
        <w:tc>
          <w:tcPr>
            <w:tcW w:w="4080" w:type="dxa"/>
            <w:vAlign w:val="bottom"/>
            <w:tcBorders>
              <w:bottom w:val="single" w:sz="8" w:color="CFF0FC"/>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40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Income from operations</w:t>
            </w:r>
          </w:p>
        </w:tc>
        <w:tc>
          <w:tcPr>
            <w:tcW w:w="15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19.7</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18.7</w:t>
            </w:r>
          </w:p>
        </w:tc>
        <w:tc>
          <w:tcPr>
            <w:tcW w:w="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15.1</w:t>
            </w:r>
          </w:p>
        </w:tc>
        <w:tc>
          <w:tcPr>
            <w:tcW w:w="700" w:type="dxa"/>
            <w:vAlign w:val="bottom"/>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Realized gain from sale of short-term investments</w:t>
            </w:r>
          </w:p>
        </w:tc>
        <w:tc>
          <w:tcPr>
            <w:tcW w:w="15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0.4</w:t>
            </w:r>
          </w:p>
        </w:tc>
        <w:tc>
          <w:tcPr>
            <w:tcW w:w="700" w:type="dxa"/>
            <w:vAlign w:val="bottom"/>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Unrealized loss on short-term investments</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15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Income (loss) from equity method investments</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700" w:type="dxa"/>
            <w:vAlign w:val="bottom"/>
          </w:tcPr>
          <w:p>
            <w:pPr>
              <w:spacing w:after="0"/>
              <w:rPr>
                <w:sz w:val="21"/>
                <w:szCs w:val="21"/>
                <w:color w:val="auto"/>
              </w:rPr>
            </w:pPr>
          </w:p>
        </w:tc>
      </w:tr>
      <w:tr>
        <w:trPr>
          <w:trHeight w:val="27"/>
        </w:trPr>
        <w:tc>
          <w:tcPr>
            <w:tcW w:w="4080" w:type="dxa"/>
            <w:vAlign w:val="bottom"/>
            <w:tcBorders>
              <w:bottom w:val="single" w:sz="8" w:color="CFF0FC"/>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44"/>
        </w:trPr>
        <w:tc>
          <w:tcPr>
            <w:tcW w:w="40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Income before income taxes</w:t>
            </w:r>
          </w:p>
        </w:tc>
        <w:tc>
          <w:tcPr>
            <w:tcW w:w="15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18.8</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21.9</w:t>
            </w:r>
          </w:p>
        </w:tc>
        <w:tc>
          <w:tcPr>
            <w:tcW w:w="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18.0</w:t>
            </w:r>
          </w:p>
        </w:tc>
        <w:tc>
          <w:tcPr>
            <w:tcW w:w="700" w:type="dxa"/>
            <w:vAlign w:val="bottom"/>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700" w:type="dxa"/>
            <w:vAlign w:val="bottom"/>
          </w:tcPr>
          <w:p>
            <w:pPr>
              <w:spacing w:after="0"/>
              <w:rPr>
                <w:sz w:val="21"/>
                <w:szCs w:val="21"/>
                <w:color w:val="auto"/>
              </w:rPr>
            </w:pPr>
          </w:p>
        </w:tc>
      </w:tr>
      <w:tr>
        <w:trPr>
          <w:trHeight w:val="27"/>
        </w:trPr>
        <w:tc>
          <w:tcPr>
            <w:tcW w:w="4080" w:type="dxa"/>
            <w:vAlign w:val="bottom"/>
            <w:tcBorders>
              <w:bottom w:val="single" w:sz="8" w:color="CFF0FC"/>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40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income</w:t>
            </w:r>
          </w:p>
        </w:tc>
        <w:tc>
          <w:tcPr>
            <w:tcW w:w="15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18.4</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19.0</w:t>
            </w:r>
          </w:p>
        </w:tc>
        <w:tc>
          <w:tcPr>
            <w:tcW w:w="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13.0</w:t>
            </w:r>
          </w:p>
        </w:tc>
        <w:tc>
          <w:tcPr>
            <w:tcW w:w="700" w:type="dxa"/>
            <w:vAlign w:val="bottom"/>
          </w:tcPr>
          <w:p>
            <w:pPr>
              <w:spacing w:after="0"/>
              <w:rPr>
                <w:sz w:val="21"/>
                <w:szCs w:val="2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0"/>
                <w:szCs w:val="20"/>
                <w:color w:val="auto"/>
              </w:rPr>
            </w:pPr>
          </w:p>
        </w:tc>
      </w:tr>
      <w:tr>
        <w:trPr>
          <w:trHeight w:val="27"/>
        </w:trPr>
        <w:tc>
          <w:tcPr>
            <w:tcW w:w="4080" w:type="dxa"/>
            <w:vAlign w:val="bottom"/>
            <w:tcBorders>
              <w:bottom w:val="single" w:sz="8" w:color="CFF0FC"/>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89"/>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attributable to ACM Research, Inc.</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15.2 %</w:t>
            </w:r>
          </w:p>
        </w:tc>
        <w:tc>
          <w:tcPr>
            <w:tcW w:w="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15.4 %</w:t>
            </w:r>
          </w:p>
        </w:tc>
        <w:tc>
          <w:tcPr>
            <w:tcW w:w="8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9.8 %</w:t>
            </w:r>
          </w:p>
        </w:tc>
        <w:tc>
          <w:tcPr>
            <w:tcW w:w="700" w:type="dxa"/>
            <w:vAlign w:val="bottom"/>
          </w:tcPr>
          <w:p>
            <w:pPr>
              <w:spacing w:after="0"/>
              <w:rPr>
                <w:sz w:val="24"/>
                <w:szCs w:val="24"/>
                <w:color w:val="auto"/>
              </w:rPr>
            </w:pP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878"/>
        </w:trPr>
        <w:tc>
          <w:tcPr>
            <w:tcW w:w="4080" w:type="dxa"/>
            <w:vAlign w:val="bottom"/>
          </w:tcPr>
          <w:p>
            <w:pPr>
              <w:spacing w:after="0"/>
              <w:rPr>
                <w:sz w:val="24"/>
                <w:szCs w:val="24"/>
                <w:color w:val="auto"/>
              </w:rPr>
            </w:pPr>
          </w:p>
        </w:tc>
        <w:tc>
          <w:tcPr>
            <w:tcW w:w="1920" w:type="dxa"/>
            <w:vAlign w:val="bottom"/>
            <w:gridSpan w:val="3"/>
          </w:tcPr>
          <w:p>
            <w:pPr>
              <w:jc w:val="right"/>
              <w:ind w:right="280"/>
              <w:spacing w:after="0"/>
              <w:rPr>
                <w:sz w:val="20"/>
                <w:szCs w:val="20"/>
                <w:color w:val="auto"/>
              </w:rPr>
            </w:pPr>
            <w:r>
              <w:rPr>
                <w:rFonts w:ascii="Arial" w:cs="Arial" w:eastAsia="Arial" w:hAnsi="Arial"/>
                <w:sz w:val="18"/>
                <w:szCs w:val="18"/>
                <w:color w:val="auto"/>
              </w:rPr>
              <w:t>48</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2023 and 2022</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0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Three Months Ended September 30,</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05"/>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(in thousands)</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168,569</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133,709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34,860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w w:val="92"/>
              </w:rPr>
              <w:t>Single wafer cleaning, Tahoe and semi-critical cleaning</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132,417</w:t>
            </w:r>
          </w:p>
        </w:tc>
        <w:tc>
          <w:tcPr>
            <w:tcW w:w="8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99,720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32,697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ECP (front-end and packaging), furnace and other</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technologies</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Advanced packaging (excluding ECP), services &amp;</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spares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10,644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9,468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 by Product Category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168,569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133,709</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26.1 %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34,860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revenue for three months ended September 30, 2023 as compared to the same period in 2022 reflects higher sales of single wafer cleaning, Tahoe and semi-critical cleaning equipment, ECP (front-end and packaging), furnace and other technologies., and Advance packaging (excluding ECP), and services and spares. The increased demand from mainland China-based customers is due in part to their longer term commitment to increase production capacity to achieve a greater share of the global semiconductor market.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Three Months Ended September 30,</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 Change</w:t>
            </w:r>
          </w:p>
        </w:tc>
        <w:tc>
          <w:tcPr>
            <w:tcW w:w="14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3"/>
              </w:rPr>
              <w:t>Absolute Change</w:t>
            </w:r>
          </w:p>
        </w:tc>
        <w:tc>
          <w:tcPr>
            <w:tcW w:w="0" w:type="dxa"/>
            <w:vAlign w:val="bottom"/>
          </w:tcPr>
          <w:p>
            <w:pPr>
              <w:spacing w:after="0"/>
              <w:rPr>
                <w:sz w:val="1"/>
                <w:szCs w:val="1"/>
                <w:color w:val="auto"/>
              </w:rPr>
            </w:pPr>
          </w:p>
        </w:tc>
      </w:tr>
      <w:tr>
        <w:trPr>
          <w:trHeight w:val="205"/>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660" w:type="dxa"/>
            <w:vAlign w:val="bottom"/>
            <w:gridSpan w:val="2"/>
          </w:tcPr>
          <w:p>
            <w:pPr>
              <w:ind w:left="36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2023 v 2022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left="830"/>
              <w:spacing w:after="0"/>
              <w:rPr>
                <w:sz w:val="20"/>
                <w:szCs w:val="20"/>
                <w:color w:val="auto"/>
              </w:rPr>
            </w:pPr>
            <w:r>
              <w:rPr>
                <w:rFonts w:ascii="Arial" w:cs="Arial" w:eastAsia="Arial" w:hAnsi="Arial"/>
                <w:sz w:val="18"/>
                <w:szCs w:val="18"/>
                <w:i w:val="1"/>
                <w:iCs w:val="1"/>
                <w:color w:val="auto"/>
                <w:w w:val="89"/>
              </w:rPr>
              <w:t>(in thousands)</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rPr>
              <w:t>80,055</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67,742</w:t>
            </w:r>
          </w:p>
        </w:tc>
        <w:tc>
          <w:tcPr>
            <w:tcW w:w="8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18.2 %</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12,313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88,514</w:t>
            </w:r>
          </w:p>
        </w:tc>
        <w:tc>
          <w:tcPr>
            <w:tcW w:w="6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65,967</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34.2 %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22,547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52.5 %</w:t>
            </w:r>
          </w:p>
        </w:tc>
        <w:tc>
          <w:tcPr>
            <w:tcW w:w="6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49.3 %</w:t>
            </w:r>
          </w:p>
        </w:tc>
        <w:tc>
          <w:tcPr>
            <w:tcW w:w="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 bps</w:t>
            </w:r>
          </w:p>
        </w:tc>
        <w:tc>
          <w:tcPr>
            <w:tcW w:w="0" w:type="dxa"/>
            <w:vAlign w:val="bottom"/>
          </w:tcPr>
          <w:p>
            <w:pPr>
              <w:spacing w:after="0"/>
              <w:rPr>
                <w:sz w:val="1"/>
                <w:szCs w:val="1"/>
                <w:color w:val="auto"/>
              </w:rPr>
            </w:pPr>
          </w:p>
        </w:tc>
      </w:tr>
      <w:tr>
        <w:trPr>
          <w:trHeight w:val="27"/>
        </w:trPr>
        <w:tc>
          <w:tcPr>
            <w:tcW w:w="35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5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of revenue and gross profit increased in the three months ended September 30, 2023 as compared to the corresponding period in 2022 due to the increased sales volume, and an increase in gross margin. The increase in gross margin versus the prior-year period was primarily due to a favorable revenue mix between tools within our product categories, improved gross margins for specific products, and a unfavorable impact from fluctuations in the RMB to U.S. dollar exchange rate, which was partly offset by a higher provision for inventory versus the prior-year period.</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Gross margin may vary from period to period, primarily related to the level of utilization and the timing and mix of revenue. We expect gross margin to be between 40.0% and 45.0% for the foreseeable future, with direct manufacturing costs approximating 50.0% to 55.0% of revenue and overhead costs totaling 5.0% of revenue.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80" w:type="dxa"/>
            <w:vAlign w:val="bottom"/>
          </w:tcPr>
          <w:p>
            <w:pPr>
              <w:spacing w:after="0"/>
              <w:rPr>
                <w:sz w:val="24"/>
                <w:szCs w:val="24"/>
                <w:color w:val="auto"/>
              </w:rPr>
            </w:pPr>
          </w:p>
        </w:tc>
        <w:tc>
          <w:tcPr>
            <w:tcW w:w="32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6"/>
              </w:rPr>
              <w:t>Three Months Ended September 30,</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 Change</w:t>
            </w:r>
          </w:p>
        </w:tc>
        <w:tc>
          <w:tcPr>
            <w:tcW w:w="150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w w:val="91"/>
              </w:rPr>
              <w:t>Absolute Change</w:t>
            </w:r>
          </w:p>
        </w:tc>
        <w:tc>
          <w:tcPr>
            <w:tcW w:w="0" w:type="dxa"/>
            <w:vAlign w:val="bottom"/>
          </w:tcPr>
          <w:p>
            <w:pPr>
              <w:spacing w:after="0"/>
              <w:rPr>
                <w:sz w:val="1"/>
                <w:szCs w:val="1"/>
                <w:color w:val="auto"/>
              </w:rPr>
            </w:pPr>
          </w:p>
        </w:tc>
      </w:tr>
      <w:tr>
        <w:trPr>
          <w:trHeight w:val="205"/>
        </w:trPr>
        <w:tc>
          <w:tcPr>
            <w:tcW w:w="4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2023 v 2022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 expense</w:t>
            </w:r>
          </w:p>
        </w:tc>
        <w:tc>
          <w:tcPr>
            <w:tcW w:w="960" w:type="dxa"/>
            <w:vAlign w:val="bottom"/>
            <w:tcBorders>
              <w:bottom w:val="single" w:sz="8" w:color="CFF0FC"/>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0"/>
              </w:rPr>
              <w:t>16,803</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13,133</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27.9 %</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26,151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66.8 %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10,473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w:t>
            </w:r>
          </w:p>
        </w:tc>
        <w:tc>
          <w:tcPr>
            <w:tcW w:w="96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0"/>
              </w:rPr>
              <w:t>12,387</w:t>
            </w:r>
          </w:p>
        </w:tc>
        <w:tc>
          <w:tcPr>
            <w:tcW w:w="1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5,520</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124.4 %</w:t>
            </w: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63"/>
        </w:trPr>
        <w:tc>
          <w:tcPr>
            <w:tcW w:w="40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55,341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34,331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61.2 %</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in the three months ended September 30, 2023 as compared to the corresponding period in 2022, reflecting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$3.0 million due to increased costs for personnel, commissions, outside services, travel &amp; entertainment and professional services, $2.2 million in stock-based compensation, and $1.0 million due to warranty and other expenses, offset by a decrease of $2.5 million from costs for supplies and spare parts for promotional tools.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 consists primarily of:</w:t>
      </w:r>
    </w:p>
    <w:p>
      <w:pPr>
        <w:spacing w:after="0" w:line="225" w:lineRule="exact"/>
        <w:rPr>
          <w:sz w:val="20"/>
          <w:szCs w:val="20"/>
          <w:color w:val="auto"/>
        </w:rPr>
      </w:pPr>
    </w:p>
    <w:p>
      <w:pPr>
        <w:ind w:left="1140" w:right="20" w:hanging="646"/>
        <w:spacing w:after="0" w:line="258"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compensation of personnel associated with pre-sale and after-sale services and support and other sales and marketing activities, including stock-based compensation;</w:t>
      </w:r>
    </w:p>
    <w:p>
      <w:pPr>
        <w:spacing w:after="0" w:line="1" w:lineRule="exact"/>
        <w:rPr>
          <w:rFonts w:ascii="Arial" w:cs="Arial" w:eastAsia="Arial" w:hAnsi="Arial"/>
          <w:sz w:val="18"/>
          <w:szCs w:val="18"/>
          <w:color w:val="auto"/>
        </w:rPr>
      </w:pPr>
    </w:p>
    <w:p>
      <w:pPr>
        <w:ind w:left="1140" w:hanging="64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tools built for promotional purposes for current or potential new customers;</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that, for the foreseeable future, sales and marketing expenses will increase in dollars, as we incur additional costs associated with growing our customer base in mainland China and regions outside of mainland China.</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in the three months ended September 30, 2023 as compared to the corresponding period in 2022, reflecting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$4.4 million for personnel and travel related costs to support product development, $2.8 million in costs of components for tools built for product development purposes, $2.8 million in stock-based compensation, and $0.5 million in other R&amp;D-related costs.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 represented 15.5% and 11.7% of our revenue in the three months ended September 30, 2023 and 2022, respectively. Without reduction by grant amounts received from mainland China governmental authorities (see ‘</w:t>
      </w:r>
      <w:r>
        <w:rPr>
          <w:rFonts w:ascii="Arial" w:cs="Arial" w:eastAsia="Arial" w:hAnsi="Arial"/>
          <w:sz w:val="17"/>
          <w:szCs w:val="17"/>
          <w:i w:val="1"/>
          <w:iCs w:val="1"/>
          <w:color w:val="auto"/>
        </w:rPr>
        <w:t>–</w:t>
      </w:r>
      <w:r>
        <w:rPr>
          <w:rFonts w:ascii="Arial" w:cs="Arial" w:eastAsia="Arial" w:hAnsi="Arial"/>
          <w:sz w:val="17"/>
          <w:szCs w:val="17"/>
          <w:color w:val="auto"/>
        </w:rPr>
        <w:t>Mainland China Government Research and Development Funding’’), gross research and development expense totaled $26.8 million, or 15.9% of total revenue, in the three months ended September 30, 2023 as compared to $15.9 million, or 11.9% of revenue, in the corresponding period in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 consists primarily of:</w:t>
      </w:r>
    </w:p>
    <w:p>
      <w:pPr>
        <w:spacing w:after="0" w:line="225" w:lineRule="exact"/>
        <w:rPr>
          <w:sz w:val="20"/>
          <w:szCs w:val="20"/>
          <w:color w:val="auto"/>
        </w:rPr>
      </w:pPr>
    </w:p>
    <w:p>
      <w:pPr>
        <w:ind w:left="1140" w:hanging="64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23" w:lineRule="exact"/>
        <w:rPr>
          <w:rFonts w:ascii="Arial" w:cs="Arial" w:eastAsia="Arial" w:hAnsi="Arial"/>
          <w:sz w:val="18"/>
          <w:szCs w:val="18"/>
          <w:color w:val="auto"/>
        </w:rPr>
      </w:pPr>
    </w:p>
    <w:p>
      <w:pPr>
        <w:ind w:left="1140" w:hanging="64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tools built for product development purposes;</w:t>
      </w:r>
    </w:p>
    <w:p>
      <w:pPr>
        <w:spacing w:after="0" w:line="9" w:lineRule="exact"/>
        <w:rPr>
          <w:rFonts w:ascii="Arial" w:cs="Arial" w:eastAsia="Arial" w:hAnsi="Arial"/>
          <w:sz w:val="18"/>
          <w:szCs w:val="18"/>
          <w:color w:val="auto"/>
        </w:rPr>
      </w:pPr>
    </w:p>
    <w:p>
      <w:pPr>
        <w:ind w:left="1140" w:hanging="646"/>
        <w:spacing w:after="0" w:line="250" w:lineRule="auto"/>
        <w:tabs>
          <w:tab w:leader="none" w:pos="1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travel expense associated with the research of technical requirements for product development purposes and testing of concepts under consideration;</w:t>
      </w:r>
    </w:p>
    <w:p>
      <w:pPr>
        <w:ind w:left="1140" w:hanging="64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that, for the foreseeable future, research and development expenses will increase in dollars, as we incur additional costs to expand our product portfolio to address additional production steps and expand our research and development team to new regions.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increased in the three months ended September 30, 2023 as compared to the corresponding period in 2022,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a $2.4 million increase in personnel, professional services and other general and administrative-related cost, a $3.3 million increase in stock based compensation, and a $1.2 million increase in allowance for credit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consists primarily of:</w:t>
      </w:r>
    </w:p>
    <w:p>
      <w:pPr>
        <w:spacing w:after="0" w:line="225" w:lineRule="exact"/>
        <w:rPr>
          <w:sz w:val="20"/>
          <w:szCs w:val="20"/>
          <w:color w:val="auto"/>
        </w:rPr>
      </w:pPr>
    </w:p>
    <w:p>
      <w:pPr>
        <w:ind w:left="1140" w:hanging="646"/>
        <w:spacing w:after="0" w:line="258" w:lineRule="auto"/>
        <w:tabs>
          <w:tab w:leader="none" w:pos="1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spacing w:after="0" w:line="1" w:lineRule="exact"/>
        <w:rPr>
          <w:rFonts w:ascii="Arial" w:cs="Arial" w:eastAsia="Arial" w:hAnsi="Arial"/>
          <w:sz w:val="18"/>
          <w:szCs w:val="18"/>
          <w:color w:val="auto"/>
        </w:rPr>
      </w:pPr>
    </w:p>
    <w:p>
      <w:pPr>
        <w:ind w:left="1140" w:hanging="64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professional fees, including accounting and corporate legal and defense fees;</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corporate expenses including insurance;</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allowance for credit losses; and</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that, for the foreseeable future, general and administrative expenses will increase in dollars, as we incur additional costs associated with growing our business, operating ACM Research, as a public company in the United States and operating ACM Shanghai as a public company in mainland China.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i w:val="1"/>
                <w:iCs w:val="1"/>
                <w:color w:val="auto"/>
              </w:rPr>
              <w:t>Interest income, net, Other Income, net</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620" w:type="dxa"/>
            <w:vAlign w:val="bottom"/>
          </w:tcPr>
          <w:p>
            <w:pPr>
              <w:spacing w:after="0"/>
              <w:rPr>
                <w:sz w:val="24"/>
                <w:szCs w:val="24"/>
                <w:color w:val="auto"/>
              </w:rPr>
            </w:pPr>
          </w:p>
        </w:tc>
        <w:tc>
          <w:tcPr>
            <w:tcW w:w="32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6"/>
              </w:rPr>
              <w:t>Three Months Ended September 30,</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1"/>
              </w:rPr>
              <w:t>Absolute Change</w:t>
            </w:r>
          </w:p>
        </w:tc>
        <w:tc>
          <w:tcPr>
            <w:tcW w:w="0" w:type="dxa"/>
            <w:vAlign w:val="bottom"/>
          </w:tcPr>
          <w:p>
            <w:pPr>
              <w:spacing w:after="0"/>
              <w:rPr>
                <w:sz w:val="1"/>
                <w:szCs w:val="1"/>
                <w:color w:val="auto"/>
              </w:rPr>
            </w:pPr>
          </w:p>
        </w:tc>
      </w:tr>
      <w:tr>
        <w:trPr>
          <w:trHeight w:val="205"/>
        </w:trPr>
        <w:tc>
          <w:tcPr>
            <w:tcW w:w="3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Pr>
          <w:p>
            <w:pPr>
              <w:spacing w:after="0"/>
              <w:rPr>
                <w:sz w:val="20"/>
                <w:szCs w:val="20"/>
                <w:color w:val="auto"/>
              </w:rPr>
            </w:pP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2023 v 2022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i w:val="1"/>
                <w:iCs w:val="1"/>
                <w:color w:val="auto"/>
                <w:w w:val="99"/>
              </w:rPr>
              <w:t>(in thousands)</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tcBorders>
              <w:bottom w:val="single" w:sz="8" w:color="CFF0FC"/>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6.7 %</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52.7 %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-5.3 %</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(2,150)</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7,207</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-129.8 %</w:t>
            </w:r>
          </w:p>
        </w:tc>
        <w:tc>
          <w:tcPr>
            <w:tcW w:w="80" w:type="dxa"/>
            <w:vAlign w:val="bottom"/>
            <w:shd w:val="clear" w:color="auto" w:fill="CFF0FC"/>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7"/>
        </w:trPr>
        <w:tc>
          <w:tcPr>
            <w:tcW w:w="362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income (expense), net consists of interest earned on our cash and cash equivalents, restricted cash accounts, and short-term and long-term time deposits, offset by interest expense incurred from outstanding short-term and long-term borrowings. Interest income (expense), net decreased in the three months ended September 30, 2023 as compared to the corresponding period in 2022, due to higher interest income related to higher interest rates applied to a lower balance of cash and cash equivalents, restricted cash accounts, and short-term and long-term time deposits, more than offset by higher interest expense related to a higher balance of total borrowings.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(expense), net primarily reflects (a) losses recognized from the impact of exchange rates on our working-capital which were $(1.7) million and $6.4 million for the three months ended September 30, 2023 and 2022, respectively, (b) government subsidies, as described under “—Mainland China Government Research and Development Funding” above,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gain and unrealized loss from short-term investment, and income (loss) from equity investments.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4"/>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80" w:type="dxa"/>
            <w:vAlign w:val="bottom"/>
          </w:tcPr>
          <w:p>
            <w:pPr>
              <w:spacing w:after="0"/>
              <w:rPr>
                <w:sz w:val="2"/>
                <w:szCs w:val="2"/>
                <w:color w:val="auto"/>
              </w:rPr>
            </w:pP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1"/>
              </w:rPr>
              <w:t>Absolute Change</w:t>
            </w:r>
          </w:p>
        </w:tc>
        <w:tc>
          <w:tcPr>
            <w:tcW w:w="0" w:type="dxa"/>
            <w:vAlign w:val="bottom"/>
          </w:tcPr>
          <w:p>
            <w:pPr>
              <w:spacing w:after="0"/>
              <w:rPr>
                <w:sz w:val="1"/>
                <w:szCs w:val="1"/>
                <w:color w:val="auto"/>
              </w:rPr>
            </w:pPr>
          </w:p>
        </w:tc>
      </w:tr>
      <w:tr>
        <w:trPr>
          <w:trHeight w:val="205"/>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58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 v 2022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2023 v 2022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Realized gain from sale of short-term investments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8"/>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Unrealized loss on short-term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(1,319)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290"/>
              <w:spacing w:after="0"/>
              <w:rPr>
                <w:sz w:val="20"/>
                <w:szCs w:val="20"/>
                <w:color w:val="auto"/>
              </w:rPr>
            </w:pPr>
            <w:r>
              <w:rPr>
                <w:rFonts w:ascii="Arial" w:cs="Arial" w:eastAsia="Arial" w:hAnsi="Arial"/>
                <w:sz w:val="18"/>
                <w:szCs w:val="18"/>
                <w:color w:val="auto"/>
                <w:w w:val="91"/>
              </w:rPr>
              <w:t>(5,281)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equity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8"/>
              </w:rPr>
              <w:t>1,251</w:t>
            </w:r>
          </w:p>
        </w:tc>
        <w:tc>
          <w:tcPr>
            <w:tcW w:w="100" w:type="dxa"/>
            <w:vAlign w:val="bottom"/>
            <w:shd w:val="clear" w:color="auto" w:fill="CCEEFF"/>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recorded a realized gain from sale of equity investment of $0.7 million for the three months ended September 30, 2023 as compared to $1.1 million in the prior-year period due to a sale of short-term investments (Note 15).</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recorded an unrealized loss on equity investment of $1.3 million for the three months ended September 30, 2023 as compared to an unrealized loss of $5.3 million for the same period in 2022, based on a change in market value of ACM Shanghai’s short term investments (note 15).</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(loss) from equity investments decreased by $1.4 million for the three months ended September 30, 2023 due to an decrease of net income from investments in affiliates (Note 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components of income tax expense for the indicated periods:</w:t>
      </w:r>
    </w:p>
    <w:p>
      <w:pPr>
        <w:spacing w:after="0" w:line="275"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34290</wp:posOffset>
            </wp:positionV>
            <wp:extent cx="2091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7" w:lineRule="exact"/>
        <w:rPr>
          <w:sz w:val="20"/>
          <w:szCs w:val="20"/>
          <w:color w:val="auto"/>
        </w:rPr>
      </w:pPr>
    </w:p>
    <w:p>
      <w:pPr>
        <w:ind w:left="6220"/>
        <w:spacing w:after="0"/>
        <w:tabs>
          <w:tab w:leader="none" w:pos="790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34290</wp:posOffset>
            </wp:positionV>
            <wp:extent cx="20916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91690" cy="17145"/>
                    </a:xfrm>
                    <a:prstGeom prst="rect">
                      <a:avLst/>
                    </a:prstGeom>
                    <a:noFill/>
                  </pic:spPr>
                </pic:pic>
              </a:graphicData>
            </a:graphic>
          </wp:anchor>
        </w:drawing>
      </w:r>
    </w:p>
    <w:p>
      <w:pPr>
        <w:spacing w:after="0" w:line="74"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64896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8960" cy="205740"/>
                    </a:xfrm>
                    <a:prstGeom prst="rect">
                      <a:avLst/>
                    </a:prstGeom>
                    <a:noFill/>
                  </pic:spPr>
                </pic:pic>
              </a:graphicData>
            </a:graphic>
          </wp:anchor>
        </w:drawing>
      </w:r>
    </w:p>
    <w:p>
      <w:pPr>
        <w:spacing w:after="0" w:line="70" w:lineRule="exact"/>
        <w:rPr>
          <w:sz w:val="20"/>
          <w:szCs w:val="20"/>
          <w:color w:val="auto"/>
        </w:rPr>
      </w:pPr>
    </w:p>
    <w:p>
      <w:pPr>
        <w:ind w:left="20"/>
        <w:spacing w:after="0"/>
        <w:tabs>
          <w:tab w:leader="none" w:pos="5600" w:val="left"/>
          <w:tab w:leader="none" w:pos="6840" w:val="left"/>
          <w:tab w:leader="none" w:pos="7300" w:val="left"/>
          <w:tab w:leader="none" w:pos="8320" w:val="left"/>
        </w:tabs>
        <w:rPr>
          <w:sz w:val="20"/>
          <w:szCs w:val="20"/>
          <w:color w:val="auto"/>
        </w:rPr>
      </w:pPr>
      <w:r>
        <w:rPr>
          <w:rFonts w:ascii="Arial" w:cs="Arial" w:eastAsia="Arial" w:hAnsi="Arial"/>
          <w:sz w:val="18"/>
          <w:szCs w:val="18"/>
          <w:color w:val="auto"/>
        </w:rPr>
        <w:t>Total income tax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718</w:t>
        <w:tab/>
        <w:t>$</w:t>
      </w:r>
      <w:r>
        <w:rPr>
          <w:sz w:val="20"/>
          <w:szCs w:val="20"/>
          <w:color w:val="auto"/>
        </w:rPr>
        <w:tab/>
      </w:r>
      <w:r>
        <w:rPr>
          <w:rFonts w:ascii="Arial" w:cs="Arial" w:eastAsia="Arial" w:hAnsi="Arial"/>
          <w:sz w:val="16"/>
          <w:szCs w:val="16"/>
          <w:color w:val="auto"/>
        </w:rPr>
        <w:t>10,470</w:t>
      </w:r>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a tax expense of $0.7 million for the three months ended September 30, 2023 as compared to a tax expense of $10.5 million for the prior year period. The tax expense for the three months ended September 30, 2023 primarily resulted from the tax effect of a decrease in our effective income tax rate applied to an operating profit for the period. The decrease in our effective income tax rate for the three months ended September 30, 2023 compared to the same period of the prior year was primarily due to an increased benefit from the specified deduction to the GILTI inclusion as a result of reduced net operating loss utilization which partially limited the specified deduction in the prior year, and reduced GILTI inclusion related to the amount of capitalized R&amp;D expenses relative to pre-tax income.</w:t>
      </w:r>
    </w:p>
    <w:p>
      <w:pPr>
        <w:spacing w:after="0" w:line="2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effective tax rate differs from statutory rates of 21% for U.S. federal income tax purposes and 15% to 25% for Chinese income tax purposes due to the treatment of stock-based compensation including the impact from stock option exercises and non-US research expenses. Our four principal mainland China subsidiaries, ACM Shanghai, ACM Research (Wuxi), Inc., ACM Lingang, and ACM Research (Beijing), Inc. are liable for mainland China corporate income taxes at the rates of 15%, 25%, 15% and 25%, respectively. Pursuant to the Corporate Income Tax Law of mainland China, our mainland China subsidiaries generally would be liable for mainland China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Certain entities which meet requirements according to the Policy of the Lingang New area in China (Shanghai) Pilot Free Trade Zone are entitled to a preferential income tax rate of 15%. ACM Lingang was certified for this in 2021, and this preferential income tax rate is valid from January 1, 2020 until December 31, 2024.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change in Section 174 made by the Tax Cuts and Jobs Act of 2017 which became effective on January 1, 2022, we are required to capitalize, and subsequently amortize R&amp;D expenses over fifteen years for research activities conducted outside of the U.S. The capitalization of overseas R&amp;D expenses results in a significant increase in our global intangible low-taxed income inclusion. Congress is considering legislation, but legislation has not passed, that would repeal defer the capitalization requirement to later years.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2001 through 2022.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i w:val="1"/>
                <w:iCs w:val="1"/>
                <w:color w:val="auto"/>
              </w:rPr>
              <w:t>Net Income Attributable to Non-Controlling Interests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400" w:type="dxa"/>
            <w:vAlign w:val="bottom"/>
          </w:tcPr>
          <w:p>
            <w:pPr>
              <w:spacing w:after="0"/>
              <w:rPr>
                <w:sz w:val="24"/>
                <w:szCs w:val="24"/>
                <w:color w:val="auto"/>
              </w:rPr>
            </w:pPr>
          </w:p>
        </w:tc>
        <w:tc>
          <w:tcPr>
            <w:tcW w:w="33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Three Months Ended September 30,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05"/>
        </w:trPr>
        <w:tc>
          <w:tcPr>
            <w:tcW w:w="4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i w:val="1"/>
                <w:iCs w:val="1"/>
                <w:color w:val="auto"/>
                <w:w w:val="89"/>
              </w:rPr>
              <w:t>(in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02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7"/>
              </w:rPr>
              <w:t>5,315</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6,072</w:t>
            </w:r>
          </w:p>
        </w:tc>
        <w:tc>
          <w:tcPr>
            <w:tcW w:w="1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44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ACM Research owns 82.1% of ACM Shanghai’s (note 1) outstanding shares which is reflected in our consolidated financial statements (note 2). We reflect the portion of net income allocable to the minority holders of ACM Shanghai shares as net income attributable to non-controlling interests.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400" w:type="dxa"/>
            <w:vAlign w:val="bottom"/>
          </w:tcPr>
          <w:p>
            <w:pPr>
              <w:spacing w:after="0"/>
              <w:rPr>
                <w:sz w:val="24"/>
                <w:szCs w:val="24"/>
                <w:color w:val="auto"/>
              </w:rPr>
            </w:pPr>
          </w:p>
        </w:tc>
        <w:tc>
          <w:tcPr>
            <w:tcW w:w="33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Three Months Ended September 30,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05"/>
        </w:trPr>
        <w:tc>
          <w:tcPr>
            <w:tcW w:w="4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i w:val="1"/>
                <w:iCs w:val="1"/>
                <w:color w:val="auto"/>
                <w:w w:val="91"/>
              </w:rPr>
              <w:t>(in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4,015</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(42,416)</w:t>
            </w:r>
          </w:p>
        </w:tc>
        <w:tc>
          <w:tcPr>
            <w:tcW w:w="1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46,431</w:t>
            </w:r>
          </w:p>
        </w:tc>
        <w:tc>
          <w:tcPr>
            <w:tcW w:w="0" w:type="dxa"/>
            <w:vAlign w:val="bottom"/>
          </w:tcPr>
          <w:p>
            <w:pPr>
              <w:spacing w:after="0"/>
              <w:rPr>
                <w:sz w:val="1"/>
                <w:szCs w:val="1"/>
                <w:color w:val="auto"/>
              </w:rPr>
            </w:pPr>
          </w:p>
        </w:tc>
      </w:tr>
      <w:tr>
        <w:trPr>
          <w:trHeight w:val="27"/>
        </w:trPr>
        <w:tc>
          <w:tcPr>
            <w:tcW w:w="4400" w:type="dxa"/>
            <w:vAlign w:val="bottom"/>
            <w:shd w:val="clear" w:color="auto" w:fill="CFF0FC"/>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 foreign currency translation adjustment of $4.0 million for the three months ended September 30, 2023, as compared to $(42.4) million for the same period in 2022, primarily based on the net effect of RMB to dollar exchange rate fluctuations for the period on the converted value of ACM Shanghai’s RMB-denominated balances to U.S. dollar equivalents. The amounts for the prior-year period was especially large due to a significant weakening of the RMB versus the U.S. dollar on our large balance of our RMB-denominated assets.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w w:val="98"/>
              </w:rPr>
              <w:t>Comprehensive income (loss) attributable to non-controlling interests</w:t>
            </w: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400" w:type="dxa"/>
            <w:vAlign w:val="bottom"/>
          </w:tcPr>
          <w:p>
            <w:pPr>
              <w:spacing w:after="0"/>
              <w:rPr>
                <w:sz w:val="24"/>
                <w:szCs w:val="24"/>
                <w:color w:val="auto"/>
              </w:rPr>
            </w:pPr>
          </w:p>
        </w:tc>
        <w:tc>
          <w:tcPr>
            <w:tcW w:w="33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Three Months Ended September 30,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05"/>
        </w:trPr>
        <w:tc>
          <w:tcPr>
            <w:tcW w:w="4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i w:val="1"/>
                <w:iCs w:val="1"/>
                <w:color w:val="auto"/>
                <w:w w:val="91"/>
              </w:rPr>
              <w:t>(in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(loss) attributable to non-</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controlling interests</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7,768</w:t>
            </w:r>
          </w:p>
        </w:tc>
        <w:tc>
          <w:tcPr>
            <w:tcW w:w="6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(834.9)%</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7"/>
        </w:trPr>
        <w:tc>
          <w:tcPr>
            <w:tcW w:w="44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income attributable to non-controlling interests increased by $8.8 million for the three months ended September 30, 2023, reflecting a change in net income (loss) attributable to the non-controlling interests for the period together with the impact of foreign exchange rate fluctuations on the cumulative balance.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05"/>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387,402</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280,290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107,112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w w:val="91"/>
              </w:rPr>
              <w:t>Single wafer cleaning, Tahoe and semi-critical cleaning</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281,559</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198,336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ECP (front-end and packaging), furnace and other</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technologies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71,223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57,269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Advanced packaging (excluding ECP), services &amp;</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spares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24,685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 by Product Category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387,402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280,290</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38.2 %</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107,112</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revenue for nine months ended September 30, 2023 as compared to the same period in 2022 was driven by higher sales of single wafer cleaning, Tahoe and semi-critical cleaning equipment, ECP (front-end and packaging), furnace and other technologies, and Advance packaging (excluding ECP), and services and spares. The increased demand from mainland China-based customers is due in part to their longer term commitment to increase production capacity to achieve a greater share of the global semiconductor market.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1"/>
              </w:rPr>
              <w:t>Nine Months Ended September 30,</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 Change</w:t>
            </w: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3"/>
              </w:rPr>
              <w:t>Absolute Change</w:t>
            </w:r>
          </w:p>
        </w:tc>
        <w:tc>
          <w:tcPr>
            <w:tcW w:w="0" w:type="dxa"/>
            <w:vAlign w:val="bottom"/>
          </w:tcPr>
          <w:p>
            <w:pPr>
              <w:spacing w:after="0"/>
              <w:rPr>
                <w:sz w:val="1"/>
                <w:szCs w:val="1"/>
                <w:color w:val="auto"/>
              </w:rPr>
            </w:pPr>
          </w:p>
        </w:tc>
      </w:tr>
      <w:tr>
        <w:trPr>
          <w:trHeight w:val="205"/>
        </w:trPr>
        <w:tc>
          <w:tcPr>
            <w:tcW w:w="3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58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1660" w:type="dxa"/>
            <w:vAlign w:val="bottom"/>
            <w:gridSpan w:val="2"/>
          </w:tcPr>
          <w:p>
            <w:pPr>
              <w:ind w:left="340"/>
              <w:spacing w:after="0"/>
              <w:rPr>
                <w:sz w:val="20"/>
                <w:szCs w:val="20"/>
                <w:color w:val="auto"/>
              </w:rPr>
            </w:pPr>
            <w:r>
              <w:rPr>
                <w:rFonts w:ascii="Arial" w:cs="Arial" w:eastAsia="Arial" w:hAnsi="Arial"/>
                <w:sz w:val="18"/>
                <w:szCs w:val="18"/>
                <w:b w:val="1"/>
                <w:bCs w:val="1"/>
                <w:color w:val="auto"/>
              </w:rPr>
              <w:t>2023 v 2022</w:t>
            </w:r>
          </w:p>
        </w:tc>
        <w:tc>
          <w:tcPr>
            <w:tcW w:w="180" w:type="dxa"/>
            <w:vAlign w:val="bottom"/>
          </w:tcPr>
          <w:p>
            <w:pPr>
              <w:spacing w:after="0"/>
              <w:rPr>
                <w:sz w:val="20"/>
                <w:szCs w:val="20"/>
                <w:color w:val="auto"/>
              </w:rPr>
            </w:pPr>
          </w:p>
        </w:tc>
        <w:tc>
          <w:tcPr>
            <w:tcW w:w="1260" w:type="dxa"/>
            <w:vAlign w:val="bottom"/>
          </w:tcPr>
          <w:p>
            <w:pPr>
              <w:ind w:left="80"/>
              <w:spacing w:after="0"/>
              <w:rPr>
                <w:sz w:val="20"/>
                <w:szCs w:val="20"/>
                <w:color w:val="auto"/>
              </w:rPr>
            </w:pPr>
            <w:r>
              <w:rPr>
                <w:rFonts w:ascii="Arial" w:cs="Arial" w:eastAsia="Arial" w:hAnsi="Arial"/>
                <w:sz w:val="18"/>
                <w:szCs w:val="18"/>
                <w:b w:val="1"/>
                <w:bCs w:val="1"/>
                <w:color w:val="auto"/>
              </w:rPr>
              <w:t>2023 v 2022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center"/>
              <w:ind w:left="810"/>
              <w:spacing w:after="0"/>
              <w:rPr>
                <w:sz w:val="20"/>
                <w:szCs w:val="20"/>
                <w:color w:val="auto"/>
              </w:rPr>
            </w:pPr>
            <w:r>
              <w:rPr>
                <w:rFonts w:ascii="Arial" w:cs="Arial" w:eastAsia="Arial" w:hAnsi="Arial"/>
                <w:sz w:val="18"/>
                <w:szCs w:val="18"/>
                <w:i w:val="1"/>
                <w:iCs w:val="1"/>
                <w:color w:val="auto"/>
                <w:w w:val="91"/>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190,263</w:t>
            </w:r>
          </w:p>
        </w:tc>
        <w:tc>
          <w:tcPr>
            <w:tcW w:w="58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150,480</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center"/>
              <w:ind w:left="530"/>
              <w:spacing w:after="0"/>
              <w:rPr>
                <w:sz w:val="20"/>
                <w:szCs w:val="20"/>
                <w:color w:val="auto"/>
              </w:rPr>
            </w:pPr>
            <w:r>
              <w:rPr>
                <w:rFonts w:ascii="Arial" w:cs="Arial" w:eastAsia="Arial" w:hAnsi="Arial"/>
                <w:sz w:val="18"/>
                <w:szCs w:val="18"/>
                <w:color w:val="auto"/>
                <w:w w:val="87"/>
              </w:rPr>
              <w:t>39,783</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197,139</w:t>
            </w:r>
          </w:p>
        </w:tc>
        <w:tc>
          <w:tcPr>
            <w:tcW w:w="58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129,810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51.9 %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left="530"/>
              <w:spacing w:after="0"/>
              <w:rPr>
                <w:sz w:val="20"/>
                <w:szCs w:val="20"/>
                <w:color w:val="auto"/>
              </w:rPr>
            </w:pPr>
            <w:r>
              <w:rPr>
                <w:rFonts w:ascii="Arial" w:cs="Arial" w:eastAsia="Arial" w:hAnsi="Arial"/>
                <w:sz w:val="18"/>
                <w:szCs w:val="18"/>
                <w:color w:val="auto"/>
                <w:w w:val="87"/>
              </w:rPr>
              <w:t>67,329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50.9 %</w:t>
            </w:r>
          </w:p>
        </w:tc>
        <w:tc>
          <w:tcPr>
            <w:tcW w:w="5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46.3 %</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center"/>
              <w:ind w:left="510"/>
              <w:spacing w:after="0"/>
              <w:rPr>
                <w:sz w:val="20"/>
                <w:szCs w:val="20"/>
                <w:color w:val="auto"/>
              </w:rPr>
            </w:pPr>
            <w:r>
              <w:rPr>
                <w:rFonts w:ascii="Arial" w:cs="Arial" w:eastAsia="Arial" w:hAnsi="Arial"/>
                <w:sz w:val="18"/>
                <w:szCs w:val="18"/>
                <w:color w:val="auto"/>
                <w:w w:val="89"/>
              </w:rPr>
              <w:t>+457bps</w:t>
            </w:r>
          </w:p>
        </w:tc>
        <w:tc>
          <w:tcPr>
            <w:tcW w:w="0" w:type="dxa"/>
            <w:vAlign w:val="bottom"/>
          </w:tcPr>
          <w:p>
            <w:pPr>
              <w:spacing w:after="0"/>
              <w:rPr>
                <w:sz w:val="1"/>
                <w:szCs w:val="1"/>
                <w:color w:val="auto"/>
              </w:rPr>
            </w:pPr>
          </w:p>
        </w:tc>
      </w:tr>
      <w:tr>
        <w:trPr>
          <w:trHeight w:val="27"/>
        </w:trPr>
        <w:tc>
          <w:tcPr>
            <w:tcW w:w="34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5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 of revenue and gross profit increased in the nine months ended September 30, 2023 as compared to the corresponding period in 2022 due to the increased sales volume, and an increase in gross margin. The increased gross margin versus the prior-year period was primarily due to a favorable revenue mix between tools within our product categories, improved gross margins for specific product lines, and a favorable impact from fluctuations in the RMB to U.S. dollar exchange rate, which was partly offset by a higher provision for inventory (note 5) recorded versus the prior-year period.</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Gross margin may vary from period to period, primarily related to the level of utilization and the timing and mix of revenue. We expect gross margin to be between 40.0% and 45.0% for the foreseeable future, with direct manufacturing costs approximating 50.0% to 55.0% of revenue and overhead costs totaling 5.0% of revenue.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4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0"/>
              </w:rPr>
              <w:t>Absolute Change</w:t>
            </w:r>
          </w:p>
        </w:tc>
        <w:tc>
          <w:tcPr>
            <w:tcW w:w="0" w:type="dxa"/>
            <w:vAlign w:val="bottom"/>
          </w:tcPr>
          <w:p>
            <w:pPr>
              <w:spacing w:after="0"/>
              <w:rPr>
                <w:sz w:val="1"/>
                <w:szCs w:val="1"/>
                <w:color w:val="auto"/>
              </w:rPr>
            </w:pPr>
          </w:p>
        </w:tc>
      </w:tr>
      <w:tr>
        <w:trPr>
          <w:trHeight w:val="205"/>
        </w:trPr>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2023 v 2022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 expense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37,579</w:t>
            </w:r>
          </w:p>
        </w:tc>
        <w:tc>
          <w:tcPr>
            <w:tcW w:w="1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27,494</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36.7 %</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60,244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44,391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35.7 %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15,853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26,851</w:t>
            </w:r>
          </w:p>
        </w:tc>
        <w:tc>
          <w:tcPr>
            <w:tcW w:w="10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15,560</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72.6 %</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124,674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87,445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42.6 %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37,229</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in the nine months ended September 30, 2023 as compared to the corresponding period in 2022, reflecting a $6.0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increase due to personnel, and commissions, $2.5 million due to travel and entertainment, professional services and other related expenses, $2.1 million due to stock-based compensation, and $1.4 million due to warranty expense, offset by a $2.0 million decline for supplies and spare parts for promotional tools.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that, for the foreseeable future, sales and marketing expenses will increase in dollars, as we incur additional costs associated with growing our customer base in mainland China and regions outside of mainland China.</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increased in the nine months ended September 30, 2023 as compared to the corresponding period in 2022, reflecting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$8.0 million for personnel related costs, $5.3 million in costs of tools built for product development purposes, and $3.1 million for stock-based compensation, offset by a decline of $0.5 million in outside services and other R&amp;D-related costs.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 represented 15.6% and 15.8% of our revenue in the nine months ended September 30, 2023 and 2022, respectively. Without reduction by grant amounts received from mainland China governmental authorities (see ‘</w:t>
      </w:r>
      <w:r>
        <w:rPr>
          <w:rFonts w:ascii="Arial" w:cs="Arial" w:eastAsia="Arial" w:hAnsi="Arial"/>
          <w:sz w:val="18"/>
          <w:szCs w:val="18"/>
          <w:i w:val="1"/>
          <w:iCs w:val="1"/>
          <w:color w:val="auto"/>
        </w:rPr>
        <w:t>–</w:t>
      </w:r>
      <w:r>
        <w:rPr>
          <w:rFonts w:ascii="Arial" w:cs="Arial" w:eastAsia="Arial" w:hAnsi="Arial"/>
          <w:sz w:val="18"/>
          <w:szCs w:val="18"/>
          <w:color w:val="auto"/>
        </w:rPr>
        <w:t>Mainland China Government Research and Development Funding’’), gross research and development expense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totaled $61.7 million, or 15.9% of total revenue, in the nine months ended September 30, 2023 as compared to $44.7 million, or 15.9% of revenue, in the corresponding period in 2022.</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that, for the foreseeable future, research and development expenses will increase in dollars, as we incur additional costs to expand our product portfolio to address additional production steps and expand our research and development team to new regions.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increased in the nine months ended September 30, 2023 as compared to the corresponding period in 2022,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an increase of $3.7 million increase in stock-based compensation, $2.6 million in other general and administrative expenses, $1.9 million in personnel costs, $1.4 million in professional services, and a $1.6 million increase in allowances for credit losses.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that, for the foreseeable future, general and administrative expenses will increase in dollars, as we incur additional costs associated with growing our business, ACM Research operating as a public company in the United States and ACM Shanghai operating as a public company in mainland China.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 Other Income (expense), net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1"/>
              </w:rPr>
              <w:t>Absolute Change</w:t>
            </w:r>
          </w:p>
        </w:tc>
        <w:tc>
          <w:tcPr>
            <w:tcW w:w="0" w:type="dxa"/>
            <w:vAlign w:val="bottom"/>
          </w:tcPr>
          <w:p>
            <w:pPr>
              <w:spacing w:after="0"/>
              <w:rPr>
                <w:sz w:val="1"/>
                <w:szCs w:val="1"/>
                <w:color w:val="auto"/>
              </w:rPr>
            </w:pPr>
          </w:p>
        </w:tc>
      </w:tr>
      <w:tr>
        <w:trPr>
          <w:trHeight w:val="205"/>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2023 v 2022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6,283</w:t>
            </w:r>
          </w:p>
        </w:tc>
        <w:tc>
          <w:tcPr>
            <w:tcW w:w="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5,965</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5.3 %</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101.2 %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w:t>
            </w:r>
          </w:p>
        </w:tc>
        <w:tc>
          <w:tcPr>
            <w:tcW w:w="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4,979</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-13.7 %</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9,949</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-98.4 %</w:t>
            </w:r>
          </w:p>
        </w:tc>
        <w:tc>
          <w:tcPr>
            <w:tcW w:w="80" w:type="dxa"/>
            <w:vAlign w:val="bottom"/>
            <w:shd w:val="clear" w:color="auto" w:fill="CFF0FC"/>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(9,793)</w:t>
            </w:r>
          </w:p>
        </w:tc>
        <w:tc>
          <w:tcPr>
            <w:tcW w:w="0" w:type="dxa"/>
            <w:vAlign w:val="bottom"/>
          </w:tcPr>
          <w:p>
            <w:pPr>
              <w:spacing w:after="0"/>
              <w:rPr>
                <w:sz w:val="1"/>
                <w:szCs w:val="1"/>
                <w:color w:val="auto"/>
              </w:rPr>
            </w:pPr>
          </w:p>
        </w:tc>
      </w:tr>
      <w:tr>
        <w:trPr>
          <w:trHeight w:val="27"/>
        </w:trPr>
        <w:tc>
          <w:tcPr>
            <w:tcW w:w="36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income, net consists of interest earned on our cash and equivalents, restricted cash accounts, and short term and long term time deposits, offset by interest expense incurred from outstanding short-term and long-term borrowings. Interest income, net decreased in the nine months ended September 30, 2023 as compared to the corresponding period in 2022, due to the effect of higher interest income due to the impact of interest rate changes and a lower balance of cash and equivalents, restricted cash accounts, and short term and long term time deposits, offset by higher interest expense related to a higher balance of total borrowings.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primarily reflects (a) gains (losses) due to the impact of exchange rates on our foreign currency-denominated working-capital transactions which were null and $8.8 million for the nine months ended September 30, 2023 and 2022, respectively and (b) government subsidies, as described under “—Mainland China Government Research and Development Funding” above,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gain and unrealized loss from short-term investments, and Income from equity method investments.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 30,</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80" w:type="dxa"/>
            <w:vAlign w:val="bottom"/>
          </w:tcPr>
          <w:p>
            <w:pPr>
              <w:spacing w:after="0"/>
              <w:rPr>
                <w:sz w:val="2"/>
                <w:szCs w:val="2"/>
                <w:color w:val="auto"/>
              </w:rPr>
            </w:pPr>
          </w:p>
        </w:tc>
        <w:tc>
          <w:tcPr>
            <w:tcW w:w="2440" w:type="dxa"/>
            <w:vAlign w:val="bottom"/>
            <w:gridSpan w:val="3"/>
            <w:vMerge w:val="restart"/>
          </w:tcPr>
          <w:p>
            <w:pPr>
              <w:jc w:val="center"/>
              <w:ind w:right="1000"/>
              <w:spacing w:after="0"/>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05"/>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 v 2022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center"/>
              <w:ind w:left="770"/>
              <w:spacing w:after="0"/>
              <w:rPr>
                <w:sz w:val="20"/>
                <w:szCs w:val="20"/>
                <w:color w:val="auto"/>
              </w:rPr>
            </w:pPr>
            <w:r>
              <w:rPr>
                <w:rFonts w:ascii="Arial" w:cs="Arial" w:eastAsia="Arial" w:hAnsi="Arial"/>
                <w:sz w:val="18"/>
                <w:szCs w:val="18"/>
                <w:i w:val="1"/>
                <w:iCs w:val="1"/>
                <w:color w:val="auto"/>
                <w:w w:val="91"/>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Realized gain from sale of short-term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93"/>
              </w:rPr>
              <w:t>8,569</w:t>
            </w:r>
          </w:p>
        </w:tc>
        <w:tc>
          <w:tcPr>
            <w:tcW w:w="60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8"/>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654.3 %</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Unrealized loss on short-term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left="650"/>
              <w:spacing w:after="0"/>
              <w:rPr>
                <w:sz w:val="20"/>
                <w:szCs w:val="20"/>
                <w:color w:val="auto"/>
              </w:rPr>
            </w:pPr>
            <w:r>
              <w:rPr>
                <w:rFonts w:ascii="Arial" w:cs="Arial" w:eastAsia="Arial" w:hAnsi="Arial"/>
                <w:sz w:val="18"/>
                <w:szCs w:val="18"/>
                <w:color w:val="auto"/>
                <w:w w:val="91"/>
              </w:rPr>
              <w:t>(4,428)</w:t>
            </w:r>
          </w:p>
        </w:tc>
        <w:tc>
          <w:tcPr>
            <w:tcW w:w="600" w:type="dxa"/>
            <w:vAlign w:val="bottom"/>
          </w:tcPr>
          <w:p>
            <w:pPr>
              <w:jc w:val="center"/>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ind w:left="290"/>
              <w:spacing w:after="0"/>
              <w:rPr>
                <w:sz w:val="20"/>
                <w:szCs w:val="20"/>
                <w:color w:val="auto"/>
              </w:rPr>
            </w:pPr>
            <w:r>
              <w:rPr>
                <w:rFonts w:ascii="Arial" w:cs="Arial" w:eastAsia="Arial" w:hAnsi="Arial"/>
                <w:sz w:val="18"/>
                <w:szCs w:val="18"/>
                <w:color w:val="auto"/>
                <w:w w:val="91"/>
              </w:rPr>
              <w:t>(9,562)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5,134</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93"/>
              </w:rPr>
              <w:t>3,728</w:t>
            </w:r>
          </w:p>
        </w:tc>
        <w:tc>
          <w:tcPr>
            <w:tcW w:w="60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8"/>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125.7 %</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4"/>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jc w:val="center"/>
              <w:ind w:right="210"/>
              <w:spacing w:after="0"/>
              <w:rPr>
                <w:sz w:val="20"/>
                <w:szCs w:val="20"/>
                <w:color w:val="auto"/>
              </w:rPr>
            </w:pPr>
            <w:r>
              <w:rPr>
                <w:rFonts w:ascii="Arial" w:cs="Arial" w:eastAsia="Arial" w:hAnsi="Arial"/>
                <w:sz w:val="18"/>
                <w:szCs w:val="18"/>
                <w:color w:val="auto"/>
                <w:w w:val="89"/>
              </w:rPr>
              <w:t>56</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recorded a realized gain from sale of short-term investments of $8.6 million for the nine months ended September 30, 2023 (note 15), as compared to a gain of $1.1 million in the prior-year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an unrealized loss on short-term investments of ($4.4 million) for the nine months ended September 30, 2023 as compared to an unrealized loss of ($9.5 million) for the prior-year period, based on a change in market value of ACM Shanghai’s indirect investments in certain publicly traded securities on China's stock markets (note 15).</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from equity method investments increased by $2.0 million for the nine months ended September 30, 2023 versus the prior-year period due to an increase of net income from investments in affiliates (note 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components of income tax expense for the indicated periods:</w:t>
      </w:r>
    </w:p>
    <w:p>
      <w:pPr>
        <w:spacing w:after="0" w:line="275"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34290</wp:posOffset>
            </wp:positionV>
            <wp:extent cx="19456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7" w:lineRule="exact"/>
        <w:rPr>
          <w:sz w:val="20"/>
          <w:szCs w:val="20"/>
          <w:color w:val="auto"/>
        </w:rPr>
      </w:pPr>
    </w:p>
    <w:p>
      <w:pPr>
        <w:ind w:left="8740"/>
        <w:spacing w:after="0"/>
        <w:tabs>
          <w:tab w:leader="none" w:pos="1030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34290</wp:posOffset>
            </wp:positionV>
            <wp:extent cx="19456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74" w:lineRule="exact"/>
        <w:rPr>
          <w:sz w:val="20"/>
          <w:szCs w:val="20"/>
          <w:color w:val="auto"/>
        </w:rPr>
      </w:pPr>
    </w:p>
    <w:p>
      <w:pPr>
        <w:ind w:left="920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0" w:lineRule="exact"/>
        <w:rPr>
          <w:sz w:val="20"/>
          <w:szCs w:val="20"/>
          <w:color w:val="auto"/>
        </w:rPr>
      </w:pPr>
    </w:p>
    <w:p>
      <w:pPr>
        <w:ind w:left="20"/>
        <w:spacing w:after="0"/>
        <w:tabs>
          <w:tab w:leader="none" w:pos="8180" w:val="left"/>
          <w:tab w:leader="none" w:pos="9080" w:val="left"/>
          <w:tab w:leader="none" w:pos="9760" w:val="left"/>
          <w:tab w:leader="none" w:pos="10660" w:val="left"/>
        </w:tabs>
        <w:rPr>
          <w:sz w:val="20"/>
          <w:szCs w:val="20"/>
          <w:color w:val="auto"/>
        </w:rPr>
      </w:pPr>
      <w:r>
        <w:rPr>
          <w:rFonts w:ascii="Arial" w:cs="Arial" w:eastAsia="Arial" w:hAnsi="Arial"/>
          <w:sz w:val="18"/>
          <w:szCs w:val="18"/>
          <w:color w:val="auto"/>
        </w:rPr>
        <w:t>Total income tax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11,235</w:t>
        <w:tab/>
        <w:t>$</w:t>
      </w:r>
      <w:r>
        <w:rPr>
          <w:sz w:val="20"/>
          <w:szCs w:val="20"/>
          <w:color w:val="auto"/>
        </w:rPr>
        <w:tab/>
      </w:r>
      <w:r>
        <w:rPr>
          <w:rFonts w:ascii="Arial" w:cs="Arial" w:eastAsia="Arial" w:hAnsi="Arial"/>
          <w:sz w:val="15"/>
          <w:szCs w:val="15"/>
          <w:color w:val="auto"/>
        </w:rPr>
        <w:t>14,138</w:t>
      </w: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a tax expense of $11.2 million for the nine months ended September 30, 2023 as compared to a tax expense of $14.1 million for the prior year period. The tax expense for the nine months ended September 30, 2023 primarily resulted from the tax effect of a decrease in our effective income tax rate applied to an operating profit for the period. The decrease in our effective income tax rate for the nine months ended September 30, 2023 compared to the same period of the prior year was primarily due to an increased benefit from the specified deduction to the GILTI inclusion as a result of reduced net operating loss utilization which partially limited the specified deduction in the prior year, and reduced GILTI inclusion related to the amount of capitalized R&amp;D expenses relative to pre-tax income.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Net Income Attributable to Non-Controlling Interests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Nine Months Ended September 30,</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05"/>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center"/>
              <w:ind w:left="750"/>
              <w:spacing w:after="0"/>
              <w:rPr>
                <w:sz w:val="20"/>
                <w:szCs w:val="20"/>
                <w:color w:val="auto"/>
              </w:rPr>
            </w:pPr>
            <w:r>
              <w:rPr>
                <w:rFonts w:ascii="Arial" w:cs="Arial" w:eastAsia="Arial" w:hAnsi="Arial"/>
                <w:sz w:val="18"/>
                <w:szCs w:val="18"/>
                <w:i w:val="1"/>
                <w:iCs w:val="1"/>
                <w:color w:val="auto"/>
                <w:w w:val="89"/>
              </w:rPr>
              <w:t>(in thousands)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13,905</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8,927</w:t>
            </w:r>
          </w:p>
        </w:tc>
        <w:tc>
          <w:tcPr>
            <w:tcW w:w="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55.8 %</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7"/>
        </w:trPr>
        <w:tc>
          <w:tcPr>
            <w:tcW w:w="49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ACM Research owns 82.1% of the outstanding shares of ACM Shanghai (note 1) which is reflected in our consolidated financial statements (note 2). We reflect the portion of net income allocable to the minority holders of ACM Shanghai shares as net income attributable to non-controlling interests.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Nine Months Ended September 30,</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05"/>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jc w:val="right"/>
              <w:ind w:right="1070"/>
              <w:spacing w:after="0"/>
              <w:rPr>
                <w:sz w:val="20"/>
                <w:szCs w:val="20"/>
                <w:color w:val="auto"/>
              </w:rPr>
            </w:pPr>
            <w:r>
              <w:rPr>
                <w:rFonts w:ascii="Arial" w:cs="Arial" w:eastAsia="Arial" w:hAnsi="Arial"/>
                <w:sz w:val="18"/>
                <w:szCs w:val="18"/>
                <w:b w:val="1"/>
                <w:bCs w:val="1"/>
                <w:color w:val="auto"/>
              </w:rPr>
              <w:t>2023</w:t>
            </w: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jc w:val="center"/>
              <w:ind w:left="750"/>
              <w:spacing w:after="0"/>
              <w:rPr>
                <w:sz w:val="20"/>
                <w:szCs w:val="20"/>
                <w:color w:val="auto"/>
              </w:rPr>
            </w:pPr>
            <w:r>
              <w:rPr>
                <w:rFonts w:ascii="Arial" w:cs="Arial" w:eastAsia="Arial" w:hAnsi="Arial"/>
                <w:sz w:val="18"/>
                <w:szCs w:val="18"/>
                <w:i w:val="1"/>
                <w:iCs w:val="1"/>
                <w:color w:val="auto"/>
                <w:w w:val="89"/>
              </w:rPr>
              <w:t>(in thousands)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(21,831)  $</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(80,334)</w:t>
            </w:r>
          </w:p>
        </w:tc>
        <w:tc>
          <w:tcPr>
            <w:tcW w:w="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58,503</w:t>
            </w:r>
          </w:p>
        </w:tc>
        <w:tc>
          <w:tcPr>
            <w:tcW w:w="0" w:type="dxa"/>
            <w:vAlign w:val="bottom"/>
          </w:tcPr>
          <w:p>
            <w:pPr>
              <w:spacing w:after="0"/>
              <w:rPr>
                <w:sz w:val="1"/>
                <w:szCs w:val="1"/>
                <w:color w:val="auto"/>
              </w:rPr>
            </w:pPr>
          </w:p>
        </w:tc>
      </w:tr>
      <w:tr>
        <w:trPr>
          <w:trHeight w:val="27"/>
        </w:trPr>
        <w:tc>
          <w:tcPr>
            <w:tcW w:w="49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94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foreign currency translation adjustment of $(21.8) million for the nine months ended September 30, 2023, as compared to $(80.3) million for the same period in 2022, based on the net effect of RMB to dollar exchange rate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fluctuations for the period on the converted value of ACM Shanghai’s RMB-denominated balances to U.S. dollar equivalents. The amounts for the prior year was especially large due to a significant weakening of the RMB versus the U.S. dollar on a large balance of RMB-denominated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 attributable to non-controlling interests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Nine Months Ended September 30,</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05"/>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center"/>
              <w:ind w:left="750"/>
              <w:spacing w:after="0"/>
              <w:rPr>
                <w:sz w:val="20"/>
                <w:szCs w:val="20"/>
                <w:color w:val="auto"/>
              </w:rPr>
            </w:pPr>
            <w:r>
              <w:rPr>
                <w:rFonts w:ascii="Arial" w:cs="Arial" w:eastAsia="Arial" w:hAnsi="Arial"/>
                <w:sz w:val="18"/>
                <w:szCs w:val="18"/>
                <w:i w:val="1"/>
                <w:iCs w:val="1"/>
                <w:color w:val="auto"/>
                <w:w w:val="89"/>
              </w:rPr>
              <w:t>(in thousands)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(loss) attributable to non-controlling</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11,882</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16,260</w:t>
            </w:r>
          </w:p>
        </w:tc>
        <w:tc>
          <w:tcPr>
            <w:tcW w:w="0" w:type="dxa"/>
            <w:vAlign w:val="bottom"/>
          </w:tcPr>
          <w:p>
            <w:pPr>
              <w:spacing w:after="0"/>
              <w:rPr>
                <w:sz w:val="1"/>
                <w:szCs w:val="1"/>
                <w:color w:val="auto"/>
              </w:rPr>
            </w:pPr>
          </w:p>
        </w:tc>
      </w:tr>
      <w:tr>
        <w:trPr>
          <w:trHeight w:val="27"/>
        </w:trPr>
        <w:tc>
          <w:tcPr>
            <w:tcW w:w="49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Comprehensive income attributable to non-controlling interests increased by $16.3 million for the nine months ended September 30, 2023 due to change in net income generated from the non-controlling interests as impacted from foreign exchange rate fluctuations.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During the first nine months of 2023, we funded our technology development and operations principally through our beginning global cash balances, including the cash balances at ACM Shanghai, borrowings by ACM Shanghai from local financial institutions, and our loan from China CITIC Bank. Cash and cash equivalents, restricted cash, short-term time deposits and long-term time deposits were $326.5 million at September 30, 2023, compared to $420.9 million at December 31, 2022. The ($94.4 million) decrease was primarily driven by ($42.1 million) of cash used in operations, ($50.7 million), excluding net cash increase for time deposits, used in investing activities, $7.0 million net cash provided by financing activities, a ($3.5 million) decrease from the effect of exchange rate on cash, cash equivalents and restricted cash, and a ($5.1 million) decline from the effect of exchange rate on time deposits.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7"/>
        </w:trPr>
        <w:tc>
          <w:tcPr>
            <w:tcW w:w="7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r>
      <w:tr>
        <w:trPr>
          <w:trHeight w:val="237"/>
        </w:trPr>
        <w:tc>
          <w:tcPr>
            <w:tcW w:w="7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4"/>
          </w:tcPr>
          <w:p>
            <w:pPr>
              <w:jc w:val="right"/>
              <w:ind w:right="1010"/>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Cash and cash equivalents, restricted cash, and time deposits: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Cash and cash equivalents and restricted 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207,661</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248,451</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time deposits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70,492</w:t>
            </w: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Long-term time deposits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43,183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101,956</w:t>
            </w:r>
          </w:p>
        </w:tc>
      </w:tr>
      <w:tr>
        <w:trPr>
          <w:trHeight w:val="27"/>
        </w:trPr>
        <w:tc>
          <w:tcPr>
            <w:tcW w:w="7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326,495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420,899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and long-term time deposits, our cash flow from operating activities, and bank borrowings by us and ACM Shanghai will be sufficient to meet our anticipated cash needs within our longer term planning horizon.</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ACM Shanghai has historically participated in certain mainland China government-sponsored grant and subsidy programs, as described under “—Mainland China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mainland China government agency’s defined processes. Periodically, the public relations department researches the availability of these grants and subsidies through mainland China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mainland China government agencies based on suitability and the merits of the application. Neither ACM Research, nor ACM Shanghai or any of our other subsidiaries, has any direct relationship with any mainland China</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government agency, and our anticipated cash needs for the next twelve months neither anticipate, nor require, receipt of any mainland China government grants or subsidies.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obtain an equity or debt financing on terms acceptable to us or at all.</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Restrictions under mainland China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Factor–Regulatory Risks-The PRC’s currency exchange control and government restrictions on investment repatriation may impact our ability to transfer funds outside of the PRC, which could materially and adversely affect our ability to grow, make investments or acquisitions that could benefit our business, otherwise fund and conduct our business, or pay dividends on our common stock” in our Annual Report.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2023 and 2022, with the exception of sales and services-related transfer-pricing payments in the ordinary course of business, and dividends paid by ACM Shanghai to ACM Research, no transfers, distributions have been made between ACM Research, and its subsidiaries, including ACM Shanghai, or to holders of ACM Research Class A common stock.</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and cash equivalents at September 30, 2023 were held for working capital purposes and other potential investments. ACM Shanghai, our only direct mainland China subsidiary, is, however, subject to mainland China restrictions on distributions to equity holders. The use of proceeds raised by the STAR Market IPO, without further approvals, are limited to specific usage. Our accounts receivable balance fluctuates from period to period, which affects our cash flow from operating activities. Fluctuations vary depending on cash collections, client mix, and the timing of shipment and acceptance of our tools.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Cash Flow Used in Operating Activities. </w:t>
      </w:r>
      <w:r>
        <w:rPr>
          <w:rFonts w:ascii="Arial" w:cs="Arial" w:eastAsia="Arial" w:hAnsi="Arial"/>
          <w:sz w:val="18"/>
          <w:szCs w:val="18"/>
          <w:color w:val="auto"/>
        </w:rPr>
        <w:t>Net cash used in operating activities of $42.1 million during the nine months ended September 30, 2023 consisted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36,381</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Non-cash operating lease cost</w:t>
            </w:r>
          </w:p>
        </w:tc>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Loss on disposals of property, plant and equipment</w:t>
            </w:r>
          </w:p>
        </w:tc>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gain on short-term investment</w:t>
            </w:r>
          </w:p>
        </w:tc>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Equity income in net income of affiliates</w:t>
            </w:r>
          </w:p>
        </w:tc>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short-term investment</w:t>
            </w:r>
          </w:p>
        </w:tc>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Provision for inventory</w:t>
            </w:r>
          </w:p>
        </w:tc>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Net changes in operating assets and liabilities:</w:t>
            </w:r>
          </w:p>
        </w:tc>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(127,863)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(122,800)</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used in operating activities</w:t>
            </w:r>
          </w:p>
        </w:tc>
        <w:tc>
          <w:tcPr>
            <w:tcW w:w="3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62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Significant changes in operating asset and liability accounts included the following uses of cash: an increase of inventories, net ($135.9 million) (Note 5), an increase of accounts receivable of ($76.2 million) (Note 4), and increase in related party accounts payable ($6.8 million) (note 16), and an increase in other long-term liabilities ( $6.0 million). The uses of cash are offset by the following significant sources of cash: an increase in advances from customers of $42.3 million (Note 3), an increase in accounts payable of $39.1 million, an increase in income taxes payable of $7.7 million, and an increase in other payables and accrued expenses of $6.9 million. As described under “Mainland China Government Research and Development Funding,” ACM Shanghai has received research and development grants from local and central mainland China governmental authorities. ACM Shanghai received $50,000 in payments related to such grants in the first nine months of 2023, as compared to $48,000 in payments in the same period of 2022.</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Cash Flow Used in Investing Activities. </w:t>
      </w:r>
      <w:r>
        <w:rPr>
          <w:rFonts w:ascii="Arial" w:cs="Arial" w:eastAsia="Arial" w:hAnsi="Arial"/>
          <w:sz w:val="17"/>
          <w:szCs w:val="17"/>
          <w:color w:val="auto"/>
        </w:rPr>
        <w:t>Net cash used in investing activities, excluding net cash increase for time deposits, for the nine-months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2023 was ($50.7 million), primarily consisting of ($51.1 million) for purchase of property and intangible assets, ($6.5 million) for purchase of long-term investment (note 14), ($18.1 million) for purchase of equity investments, partly offset by $19.9 million net proceeds from the sales of short-term investments (Note 15), and $5.1 million net dividends received from long term investments (note 14).</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Cash Flow Provided by Financing Activities. </w:t>
      </w:r>
      <w:r>
        <w:rPr>
          <w:rFonts w:ascii="Arial" w:cs="Arial" w:eastAsia="Arial" w:hAnsi="Arial"/>
          <w:sz w:val="18"/>
          <w:szCs w:val="18"/>
          <w:color w:val="auto"/>
        </w:rPr>
        <w:t>Net cash provided by financing activities for the nine months ended September 30, 2023 was $7.0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consisting of $26.1 million net proceeds from long-term borrowing, $5.3 million proceeds from exercise of stock options, partly offset by ($20.4 million) net repayment of short-term borrowings, and ($4.0 million) dividends to ACM Shanghai. We and ACM Shanghai, together with the subsidiaries of ACM Shanghai, have short-term and long-term borrowings with five banks, as follows: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Maximum</w:t>
            </w:r>
          </w:p>
        </w:tc>
        <w:tc>
          <w:tcPr>
            <w:tcW w:w="28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242424"/>
                <w:w w:val="91"/>
              </w:rPr>
              <w:t>Amount</w:t>
            </w:r>
          </w:p>
        </w:tc>
      </w:tr>
      <w:tr>
        <w:trPr>
          <w:trHeight w:val="216"/>
        </w:trPr>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94"/>
              </w:rPr>
              <w:t>Annual</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Borrowing</w:t>
            </w:r>
          </w:p>
        </w:tc>
        <w:tc>
          <w:tcPr>
            <w:tcW w:w="28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242424"/>
                <w:w w:val="90"/>
              </w:rPr>
              <w:t>Outstanding</w:t>
            </w:r>
          </w:p>
        </w:tc>
      </w:tr>
      <w:tr>
        <w:trPr>
          <w:trHeight w:val="234"/>
        </w:trPr>
        <w:tc>
          <w:tcPr>
            <w:tcW w:w="2080" w:type="dxa"/>
            <w:vAlign w:val="bottom"/>
            <w:gridSpan w:val="2"/>
          </w:tcPr>
          <w:p>
            <w:pPr>
              <w:ind w:left="720"/>
              <w:spacing w:after="0"/>
              <w:rPr>
                <w:sz w:val="20"/>
                <w:szCs w:val="20"/>
                <w:color w:val="auto"/>
              </w:rPr>
            </w:pPr>
            <w:r>
              <w:rPr>
                <w:rFonts w:ascii="Arial" w:cs="Arial" w:eastAsia="Arial" w:hAnsi="Arial"/>
                <w:sz w:val="18"/>
                <w:szCs w:val="18"/>
                <w:b w:val="1"/>
                <w:bCs w:val="1"/>
                <w:color w:val="auto"/>
              </w:rPr>
              <w:t>Lender</w:t>
            </w:r>
          </w:p>
        </w:tc>
        <w:tc>
          <w:tcPr>
            <w:tcW w:w="1780" w:type="dxa"/>
            <w:vAlign w:val="bottom"/>
            <w:gridSpan w:val="2"/>
          </w:tcPr>
          <w:p>
            <w:pPr>
              <w:ind w:left="220"/>
              <w:spacing w:after="0"/>
              <w:rPr>
                <w:sz w:val="20"/>
                <w:szCs w:val="20"/>
                <w:color w:val="auto"/>
              </w:rPr>
            </w:pPr>
            <w:r>
              <w:rPr>
                <w:rFonts w:ascii="Arial" w:cs="Arial" w:eastAsia="Arial" w:hAnsi="Arial"/>
                <w:sz w:val="18"/>
                <w:szCs w:val="18"/>
                <w:b w:val="1"/>
                <w:bCs w:val="1"/>
                <w:color w:val="auto"/>
              </w:rPr>
              <w:t>Agreement Date</w:t>
            </w:r>
          </w:p>
        </w:tc>
        <w:tc>
          <w:tcPr>
            <w:tcW w:w="2120" w:type="dxa"/>
            <w:vAlign w:val="bottom"/>
            <w:gridSpan w:val="2"/>
          </w:tcPr>
          <w:p>
            <w:pPr>
              <w:ind w:left="460"/>
              <w:spacing w:after="0"/>
              <w:rPr>
                <w:sz w:val="20"/>
                <w:szCs w:val="20"/>
                <w:color w:val="auto"/>
              </w:rPr>
            </w:pPr>
            <w:r>
              <w:rPr>
                <w:rFonts w:ascii="Arial" w:cs="Arial" w:eastAsia="Arial" w:hAnsi="Arial"/>
                <w:sz w:val="18"/>
                <w:szCs w:val="18"/>
                <w:b w:val="1"/>
                <w:bCs w:val="1"/>
                <w:color w:val="auto"/>
              </w:rPr>
              <w:t>Maturity Date</w:t>
            </w: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1"/>
              </w:rPr>
              <w:t>Interest Rate</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Amount(1)</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242424"/>
                <w:w w:val="89"/>
              </w:rPr>
              <w:t>at September 30, 2023</w:t>
            </w:r>
          </w:p>
        </w:tc>
      </w:tr>
      <w:tr>
        <w:trPr>
          <w:trHeight w:val="27"/>
        </w:trPr>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4"/>
          </w:tcPr>
          <w:p>
            <w:pPr>
              <w:jc w:val="right"/>
              <w:ind w:right="1070"/>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China CITIC Bank (2)</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2023</w:t>
            </w: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2025</w:t>
            </w:r>
          </w:p>
        </w:tc>
        <w:tc>
          <w:tcPr>
            <w:tcW w:w="1740" w:type="dxa"/>
            <w:vAlign w:val="bottom"/>
            <w:tcBorders>
              <w:bottom w:val="single" w:sz="8" w:color="CCEEFF"/>
            </w:tcBorders>
            <w:gridSpan w:val="3"/>
            <w:shd w:val="clear" w:color="auto" w:fill="CCEEFF"/>
          </w:tcPr>
          <w:p>
            <w:pPr>
              <w:jc w:val="center"/>
              <w:ind w:right="230"/>
              <w:spacing w:after="0"/>
              <w:rPr>
                <w:sz w:val="20"/>
                <w:szCs w:val="20"/>
                <w:color w:val="auto"/>
              </w:rPr>
            </w:pPr>
            <w:r>
              <w:rPr>
                <w:rFonts w:ascii="Arial" w:cs="Arial" w:eastAsia="Arial" w:hAnsi="Arial"/>
                <w:sz w:val="18"/>
                <w:szCs w:val="18"/>
                <w:color w:val="auto"/>
                <w:w w:val="96"/>
              </w:rPr>
              <w:t>N/A until drawn</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RMB200,000</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nil</w:t>
            </w:r>
          </w:p>
        </w:tc>
      </w:tr>
      <w:tr>
        <w:trPr>
          <w:trHeight w:val="243"/>
        </w:trPr>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27,860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China Everbright Bank</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2021</w:t>
            </w: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2024</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RMB150,000</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RMB47,440</w:t>
            </w:r>
          </w:p>
        </w:tc>
      </w:tr>
      <w:tr>
        <w:trPr>
          <w:trHeight w:val="243"/>
        </w:trPr>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20,895</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6,608</w:t>
            </w:r>
          </w:p>
        </w:tc>
      </w:tr>
      <w:tr>
        <w:trPr>
          <w:trHeight w:val="27"/>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Bank of China</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2023</w:t>
            </w: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2024</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RMB40,000</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RMB40,000</w:t>
            </w:r>
          </w:p>
        </w:tc>
      </w:tr>
      <w:tr>
        <w:trPr>
          <w:trHeight w:val="243"/>
        </w:trPr>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5,572</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5,572</w:t>
            </w:r>
          </w:p>
        </w:tc>
      </w:tr>
      <w:tr>
        <w:trPr>
          <w:trHeight w:val="27"/>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China CITIC Bank</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2023</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Repayable by installments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RMB100,000</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RMB100,000</w:t>
            </w:r>
          </w:p>
        </w:tc>
      </w:tr>
      <w:tr>
        <w:trPr>
          <w:trHeight w:val="216"/>
        </w:trPr>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the last installments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7"/>
        </w:trPr>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repayable in August 2025</w:t>
            </w: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13,930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13,930</w:t>
            </w:r>
          </w:p>
        </w:tc>
      </w:tr>
      <w:tr>
        <w:trPr>
          <w:trHeight w:val="27"/>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China Merchants Bank</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2023</w:t>
            </w: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2024</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RMB200,000</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RMB153,000</w:t>
            </w:r>
          </w:p>
        </w:tc>
      </w:tr>
      <w:tr>
        <w:trPr>
          <w:trHeight w:val="243"/>
        </w:trPr>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27,860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21,313</w:t>
            </w:r>
          </w:p>
        </w:tc>
      </w:tr>
      <w:tr>
        <w:trPr>
          <w:trHeight w:val="27"/>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China Merchants Bank</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2021</w:t>
            </w: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2023</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RMB100,000</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RMB3,000</w:t>
            </w:r>
          </w:p>
        </w:tc>
      </w:tr>
      <w:tr>
        <w:trPr>
          <w:trHeight w:val="243"/>
        </w:trPr>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13,930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7"/>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China Merchants Bank</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2020</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Repayable by installments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RMB128,500</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RMB97,594</w:t>
            </w:r>
          </w:p>
        </w:tc>
      </w:tr>
      <w:tr>
        <w:trPr>
          <w:trHeight w:val="216"/>
        </w:trPr>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the last installments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repayable in November</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7"/>
        </w:trPr>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17,900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13,595</w:t>
            </w:r>
          </w:p>
        </w:tc>
      </w:tr>
      <w:tr>
        <w:trPr>
          <w:trHeight w:val="27"/>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of China</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2021</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Repayable by installments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RMB10,000</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RMB8,000</w:t>
            </w:r>
          </w:p>
        </w:tc>
      </w:tr>
      <w:tr>
        <w:trPr>
          <w:trHeight w:val="216"/>
        </w:trPr>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the last installments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7"/>
        </w:trPr>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repayable in June 2024</w:t>
            </w: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Bank of Shanghai</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2022</w:t>
            </w: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2025</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RMB100,000</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RMB100,000</w:t>
            </w:r>
          </w:p>
        </w:tc>
      </w:tr>
      <w:tr>
        <w:trPr>
          <w:trHeight w:val="243"/>
        </w:trPr>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13,930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13,930</w:t>
            </w:r>
          </w:p>
        </w:tc>
      </w:tr>
      <w:tr>
        <w:trPr>
          <w:trHeight w:val="27"/>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of China</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2021</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Repayable by installments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RMB35,000</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RMB28,000</w:t>
            </w:r>
          </w:p>
        </w:tc>
      </w:tr>
      <w:tr>
        <w:trPr>
          <w:trHeight w:val="216"/>
        </w:trPr>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the last installments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repayable in September</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7"/>
        </w:trPr>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4,876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3,901</w:t>
            </w:r>
          </w:p>
        </w:tc>
      </w:tr>
      <w:tr>
        <w:trPr>
          <w:trHeight w:val="27"/>
        </w:trPr>
        <w:tc>
          <w:tcPr>
            <w:tcW w:w="2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148,146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80,381</w:t>
            </w: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296" w:lineRule="exact"/>
        <w:rPr>
          <w:sz w:val="20"/>
          <w:szCs w:val="20"/>
          <w:color w:val="auto"/>
        </w:rPr>
      </w:pPr>
    </w:p>
    <w:p>
      <w:pPr>
        <w:ind w:left="500" w:hanging="492"/>
        <w:spacing w:after="0" w:line="277" w:lineRule="auto"/>
        <w:tabs>
          <w:tab w:leader="none" w:pos="4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Converted from RMB to dollars as of September 30, 2023. The loan from China Merchants Bank is secured by a pledge of the property of ACM Lingang and guaranteed by ACM Shanghai, as described above under “—Contractual Obligations.”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China CITIC bank facility agreement is with ACM Research, Inc.</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Effect of exchange rate changes on cash, cash equivalents and restricted cash. </w:t>
      </w:r>
      <w:r>
        <w:rPr>
          <w:rFonts w:ascii="Arial" w:cs="Arial" w:eastAsia="Arial" w:hAnsi="Arial"/>
          <w:sz w:val="18"/>
          <w:szCs w:val="18"/>
          <w:color w:val="auto"/>
        </w:rPr>
        <w:t>The effect of exchange rate cash, and cash equivalents was ($3.5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first nine months of 2023. The impact of fluctuations of the RMB to U.S. dollar currency exchange rate on a significant balance of these items held in RMB-denominated accounts (Note 2) contributed to the 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Contract for State-owned Construction Land Use Right in Shanghai City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Lingang Heavy Equipment Industrial Zone of Lin-gang Special Area of China (Shanghai) Pilot Free Trade Zone, or the Land Use Right, for a period of fifty years, commencing on the date of delivery of the land in July 2020, which we refer to as the Delivery Date.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exchange for its land use rights, ACM Lingang paid aggregate grant fees of RMB 61.7 million ($9.5 million), or the Grant Fees, and a performance deposit of RMB 12.3 million ($1.9 million), which is equal to 20% of the aggregate grant fees, to secure its achievement of the following performance milestones:</w:t>
      </w:r>
    </w:p>
    <w:p>
      <w:pPr>
        <w:spacing w:after="0" w:line="18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start of construction within 6 months after the Delivery Date (60% of the performance deposit), or Construction Start Milestone;</w:t>
      </w:r>
    </w:p>
    <w:p>
      <w:pPr>
        <w:spacing w:after="0" w:line="23" w:lineRule="exact"/>
        <w:rPr>
          <w:rFonts w:ascii="Arial" w:cs="Arial" w:eastAsia="Arial" w:hAnsi="Arial"/>
          <w:sz w:val="18"/>
          <w:szCs w:val="18"/>
          <w:color w:val="auto"/>
        </w:rPr>
      </w:pPr>
    </w:p>
    <w:p>
      <w:pPr>
        <w:ind w:left="660" w:hanging="652"/>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completion of construction within 30 months after the Delivery Date (20% of the performance deposit), or Construction Completion Milestone; and</w:t>
      </w: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start of production within 42 months after the Delivery Date (20% of the performance deposit), or Production Start Milestone.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satisfaction of a milestone, the portion of the performance deposit attributable to that milestone will be repayable to ACM Lingang within ten business days. If the achievement of any of the above milestones is delayed or abandoned, ACM Lingang may be subject to additional penalties and may lose its rights to both the use of the granted land and any partially completed facilities on that 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 performance milestones for the period ended September 30, 2023 is as follows:</w:t>
      </w:r>
    </w:p>
    <w:p>
      <w:pPr>
        <w:spacing w:after="0" w:line="225" w:lineRule="exact"/>
        <w:rPr>
          <w:sz w:val="20"/>
          <w:szCs w:val="20"/>
          <w:color w:val="auto"/>
        </w:rPr>
      </w:pPr>
    </w:p>
    <w:p>
      <w:pPr>
        <w:ind w:left="1140" w:hanging="646"/>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ACM Lingang achieved the Construction Start Milestone and 60% of the performance deposit was refunded to ACM Shanghai in 2020.</w:t>
      </w:r>
    </w:p>
    <w:p>
      <w:pPr>
        <w:spacing w:after="0" w:line="46" w:lineRule="exact"/>
        <w:rPr>
          <w:rFonts w:ascii="Arial" w:cs="Arial" w:eastAsia="Arial" w:hAnsi="Arial"/>
          <w:sz w:val="16"/>
          <w:szCs w:val="16"/>
          <w:color w:val="auto"/>
        </w:rPr>
      </w:pPr>
    </w:p>
    <w:p>
      <w:pPr>
        <w:jc w:val="both"/>
        <w:ind w:left="1140" w:hanging="646"/>
        <w:spacing w:after="0" w:line="253" w:lineRule="auto"/>
        <w:tabs>
          <w:tab w:leader="none" w:pos="11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Construction Completion Milestone is now required to be met by January 9, 2024. The Construction Completion Milestone was originally required to be met prior to January 9, 2023, but due to COVID-related delays, ACM filed multiple requests for extensions, the latest of which was granted on July 7, 2023. We cannot guarantee that ACM Lingang will meet the extended deadline or be refunded this 20% portion of the performance deposit.</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Contractual penalties in the case of a delay of Construction Completion Milestone</w:t>
      </w:r>
      <w:r>
        <w:rPr>
          <w:rFonts w:ascii="Arial" w:cs="Arial" w:eastAsia="Arial" w:hAnsi="Arial"/>
          <w:sz w:val="18"/>
          <w:szCs w:val="18"/>
          <w:color w:val="auto"/>
        </w:rPr>
        <w:t>:</w:t>
      </w:r>
    </w:p>
    <w:p>
      <w:pPr>
        <w:spacing w:after="0" w:line="225" w:lineRule="exact"/>
        <w:rPr>
          <w:sz w:val="20"/>
          <w:szCs w:val="20"/>
          <w:color w:val="auto"/>
        </w:rPr>
      </w:pPr>
    </w:p>
    <w:p>
      <w:pPr>
        <w:ind w:left="1140" w:hanging="646"/>
        <w:spacing w:after="0" w:line="274" w:lineRule="auto"/>
        <w:tabs>
          <w:tab w:leader="none" w:pos="11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ACM Lingang fails to complete the construction pursuant to the date agreed under the Grant Agreement or any extended completion date approved by the Grantor, ACM Lingang shall pay 50% of the deposit for timely completion of construction as liquidated damages;</w:t>
      </w:r>
    </w:p>
    <w:p>
      <w:pPr>
        <w:jc w:val="both"/>
        <w:ind w:left="1140" w:hanging="646"/>
        <w:spacing w:after="0" w:line="250" w:lineRule="auto"/>
        <w:tabs>
          <w:tab w:leader="none" w:pos="11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ACM Lingang delays the completion for more than six months beyond the date agreed under the Grant Agreement, or beyond any extended completion date approved by the Grantor, it shall pay the total deposit for timely completion of construction as liquidated damages.</w:t>
      </w:r>
    </w:p>
    <w:p>
      <w:pPr>
        <w:spacing w:after="0" w:line="1" w:lineRule="exact"/>
        <w:rPr>
          <w:rFonts w:ascii="Arial" w:cs="Arial" w:eastAsia="Arial" w:hAnsi="Arial"/>
          <w:sz w:val="18"/>
          <w:szCs w:val="18"/>
          <w:color w:val="auto"/>
        </w:rPr>
      </w:pPr>
    </w:p>
    <w:p>
      <w:pPr>
        <w:jc w:val="both"/>
        <w:ind w:left="1140" w:hanging="646"/>
        <w:spacing w:after="0" w:line="277" w:lineRule="auto"/>
        <w:tabs>
          <w:tab w:leader="none" w:pos="11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delay is more than one year, the Grantor is entitled to terminate the Grant Agreement and take back the Land Use Right. In such case, the Grantor shall refund the Grant Fees for the remaining land use term after deducting the deposit agreed under the Grant Agreement and refund the deposit for timely commencement of production and relevant bank interests in full to ACM Lingang.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1140" w:hanging="646"/>
        <w:spacing w:after="0" w:line="259" w:lineRule="auto"/>
        <w:tabs>
          <w:tab w:leader="none" w:pos="11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Production Start Milestone is now required to be met by January 9, 2025. The Production Start Milestone was originally required to be met prior to January 9, 2024, but due to COVID-related delays, ACM filed multiple requests for extensions, the latest of which was granted on July 7, 2023. We cannot guarantee that ACM Lingang will meet any extended deadline or be refunded this 20% portion of the performance deposit.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Contractual penalties in the case of a delay of Production Start Milestone</w:t>
      </w:r>
      <w:r>
        <w:rPr>
          <w:rFonts w:ascii="Arial" w:cs="Arial" w:eastAsia="Arial" w:hAnsi="Arial"/>
          <w:sz w:val="18"/>
          <w:szCs w:val="18"/>
          <w:color w:val="auto"/>
        </w:rPr>
        <w:t>:</w:t>
      </w:r>
    </w:p>
    <w:p>
      <w:pPr>
        <w:spacing w:after="0" w:line="225" w:lineRule="exact"/>
        <w:rPr>
          <w:sz w:val="20"/>
          <w:szCs w:val="20"/>
          <w:color w:val="auto"/>
        </w:rPr>
      </w:pPr>
    </w:p>
    <w:p>
      <w:pPr>
        <w:ind w:left="1140" w:hanging="646"/>
        <w:spacing w:after="0" w:line="291" w:lineRule="auto"/>
        <w:tabs>
          <w:tab w:leader="none" w:pos="115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ACM Lingang fails to commence production pursuant to the date agreed under the Grant Agreement or any extended commencement date approved by the Grantor, ACM Lingang shall pay the total deposit for timely commencement of production as liquidated damages;</w:t>
      </w:r>
    </w:p>
    <w:p>
      <w:pPr>
        <w:jc w:val="both"/>
        <w:ind w:left="1140" w:hanging="646"/>
        <w:spacing w:after="0" w:line="253" w:lineRule="auto"/>
        <w:tabs>
          <w:tab w:leader="none" w:pos="11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ACM Lingang fails to commence production pursuant to the extended commencement of production date (more than six months beyond the production start milestone), the Grantor is entitled to terminate the Grant Agreement and take back the Land Use Right. In such case, the Grantor shall refund the Grant Fees for the remaining land use term after deducting the deposit agreed under the Grant Agreement to ACM Lingang.</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milestones, covenants in the Grant Agreement require that, among other things, ACM Lingang will be required to pay liquidated damages in the event that:</w:t>
      </w:r>
    </w:p>
    <w:p>
      <w:pPr>
        <w:spacing w:after="0" w:line="170" w:lineRule="exact"/>
        <w:rPr>
          <w:sz w:val="20"/>
          <w:szCs w:val="20"/>
          <w:color w:val="auto"/>
        </w:rPr>
      </w:pPr>
    </w:p>
    <w:p>
      <w:pPr>
        <w:jc w:val="both"/>
        <w:ind w:left="660" w:hanging="652"/>
        <w:spacing w:after="0" w:line="255" w:lineRule="auto"/>
        <w:tabs>
          <w:tab w:leader="none" w:pos="6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does not make a total investment (including the costs of construction, fixtures, equipment and grant fees) of at least RMB 450.0 million ($63.4 million). ACM Lingang shall pay the liquidated damages equal to the same proportion of the Grant Fees as the proportion of the actual shortfall amount of investment in the total agreed investment amount or the investment intensity.</w:t>
      </w:r>
    </w:p>
    <w:p>
      <w:pPr>
        <w:spacing w:after="0" w:line="2" w:lineRule="exact"/>
        <w:rPr>
          <w:rFonts w:ascii="Arial" w:cs="Arial" w:eastAsia="Arial" w:hAnsi="Arial"/>
          <w:sz w:val="18"/>
          <w:szCs w:val="18"/>
          <w:color w:val="auto"/>
        </w:rPr>
      </w:pPr>
    </w:p>
    <w:p>
      <w:pPr>
        <w:jc w:val="both"/>
        <w:ind w:left="660" w:hanging="652"/>
        <w:spacing w:after="0" w:line="253" w:lineRule="auto"/>
        <w:tabs>
          <w:tab w:leader="none" w:pos="6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within nine years after the Delivery Date, or prior to July 9, 2026, it does not (i) generate a minimum specified amount of annual sales of products manufactured on the granted land or (ii) pay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the total tax revenue of the project fails to reach but is no less than 80% of the standard agreed under the Grant Agreement, ACM Lingang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this Contract, take back the Land Use Right, and shall refund the Grant Fees for the remaining Land Use Term to ACM Lingang.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Grant Agreement is terminated because of breach of any terms above, the Grantor shall take back the buildings, fixtures and auxiliary facilities on the land area and provide ACM Lingang with corresponding compensation according to the residual value of the buildings, fixtures and auxiliary facilities when they are taken back. The total cumulative investment of land, buildings and construction in progress related to ACM Lingang amounted to $83.3 million and $24.1 million at September 30, 2023 and December 31, 2022,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present information below with respect to four measures of financial performance:</w:t>
      </w:r>
    </w:p>
    <w:p>
      <w:pPr>
        <w:spacing w:after="0" w:line="225" w:lineRule="exact"/>
        <w:rPr>
          <w:sz w:val="20"/>
          <w:szCs w:val="20"/>
          <w:color w:val="auto"/>
        </w:rPr>
      </w:pPr>
    </w:p>
    <w:p>
      <w:pPr>
        <w:jc w:val="both"/>
        <w:ind w:left="660" w:hanging="652"/>
        <w:spacing w:after="0" w:line="255"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define shipments of tools to include (a) a repeat shipment to a customer of a type of tool that the customer has previously accepted, for which we recognize revenue upon shipment or delivery, and (b) a first-time shipment of a first tool to a customer on an approval basis, for which we may recognize revenue in the future if contractual conditions are met, or if a purchase order is received.</w:t>
      </w:r>
    </w:p>
    <w:p>
      <w:pPr>
        <w:spacing w:after="0" w:line="2" w:lineRule="exact"/>
        <w:rPr>
          <w:rFonts w:ascii="Arial" w:cs="Arial" w:eastAsia="Arial" w:hAnsi="Arial"/>
          <w:sz w:val="18"/>
          <w:szCs w:val="18"/>
          <w:color w:val="auto"/>
        </w:rPr>
      </w:pPr>
    </w:p>
    <w:p>
      <w:pPr>
        <w:jc w:val="both"/>
        <w:ind w:left="660" w:hanging="652"/>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define “adjusted EBITDA” as net income excluding interest expense (net), income tax benefit (expense), depreciation and amortization, unrealized (gain) loss on short-term investments, and stock-based compensation. We define adjusted EBITDA to also exclude restructuring costs, although we have not incurred any such costs to date.</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define “free cash flow” as net cash provided by operating activities less purchases of property and equipment (net of proceeds from disposals).</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define “adjusted operating income (loss)” as our income (loss) from operations excluding stock-based compensation.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Shipments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consider shipments a key operating metric as it reflects the total value of products delivered to customers and prospective customers by our productive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Shipments consist of two components:</w:t>
      </w:r>
    </w:p>
    <w:p>
      <w:pPr>
        <w:spacing w:after="0" w:line="225" w:lineRule="exact"/>
        <w:rPr>
          <w:sz w:val="20"/>
          <w:szCs w:val="20"/>
          <w:color w:val="auto"/>
        </w:rPr>
      </w:pPr>
    </w:p>
    <w:p>
      <w:pPr>
        <w:ind w:left="660" w:right="20" w:hanging="652"/>
        <w:spacing w:after="0" w:line="25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shipment to a customer of a type of tool that the customer has previously accepted, for which we recognize revenue when the tool is shipped or delivered; and</w:t>
      </w:r>
    </w:p>
    <w:p>
      <w:pPr>
        <w:spacing w:after="0" w:line="1" w:lineRule="exact"/>
        <w:rPr>
          <w:rFonts w:ascii="Arial" w:cs="Arial" w:eastAsia="Arial" w:hAnsi="Arial"/>
          <w:sz w:val="18"/>
          <w:szCs w:val="18"/>
          <w:color w:val="auto"/>
        </w:rPr>
      </w:pPr>
    </w:p>
    <w:p>
      <w:pPr>
        <w:jc w:val="both"/>
        <w:ind w:left="660" w:hanging="652"/>
        <w:spacing w:after="0" w:line="25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costumer’s subsequent discretionary commitment to purchase the tool.</w:t>
      </w:r>
    </w:p>
    <w:p>
      <w:pPr>
        <w:spacing w:after="0" w:line="1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Shipments in the three and nine months ended September 30, 2023 totaled $213.5 million and $456.1 million, as compared to $163.0 million and $341.6 million for the same periods in 2022. Repeat tool shipments in the three and nine months ended September 30, 2023 totaled $131.8 million and $232.1 million, as compared to $111.6 million and $208.5 million for the same periods in 2022. First tool shipments in the three and nine months ended September 30, 2023 totaled $81.7 million and $224.0 million, as compared to $51.4 million and $133.0 million for the same periods in 2022.</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Research does not have a basis to expect future revenue.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a number of limitations related to the use of adjusted EBITDA rather than net income (loss), which is the nearest GAAP equivalent. Some of these limitations are:</w:t>
      </w:r>
    </w:p>
    <w:p>
      <w:pPr>
        <w:spacing w:after="0" w:line="170" w:lineRule="exact"/>
        <w:rPr>
          <w:sz w:val="20"/>
          <w:szCs w:val="20"/>
          <w:color w:val="auto"/>
        </w:rPr>
      </w:pPr>
    </w:p>
    <w:p>
      <w:pPr>
        <w:ind w:left="660" w:hanging="652"/>
        <w:spacing w:after="0" w:line="25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spacing w:after="0" w:line="1" w:lineRule="exact"/>
        <w:rPr>
          <w:rFonts w:ascii="Arial" w:cs="Arial" w:eastAsia="Arial" w:hAnsi="Arial"/>
          <w:sz w:val="18"/>
          <w:szCs w:val="18"/>
          <w:color w:val="auto"/>
        </w:rPr>
      </w:pPr>
    </w:p>
    <w:p>
      <w:pPr>
        <w:jc w:val="both"/>
        <w:ind w:left="660" w:hanging="652"/>
        <w:spacing w:after="0" w:line="28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w:t>
      </w:r>
    </w:p>
    <w:p>
      <w:pPr>
        <w:spacing w:after="0" w:line="1" w:lineRule="exact"/>
        <w:rPr>
          <w:rFonts w:ascii="Arial" w:cs="Arial" w:eastAsia="Arial" w:hAnsi="Arial"/>
          <w:sz w:val="16"/>
          <w:szCs w:val="16"/>
          <w:color w:val="auto"/>
        </w:rPr>
      </w:pPr>
    </w:p>
    <w:p>
      <w:pPr>
        <w:ind w:left="660" w:right="20" w:hanging="4"/>
        <w:spacing w:after="0" w:line="250" w:lineRule="auto"/>
        <w:tabs>
          <w:tab w:leader="none" w:pos="9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we did not pay out a portion of our compensation in the form of stock-based compensation, the cash salary expense included in operating expenses would be higher, which would affect our cash position;</w:t>
      </w:r>
    </w:p>
    <w:p>
      <w:pPr>
        <w:ind w:left="660" w:hanging="652"/>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 and</w:t>
      </w:r>
    </w:p>
    <w:p>
      <w:pPr>
        <w:spacing w:after="0" w:line="32" w:lineRule="exact"/>
        <w:rPr>
          <w:rFonts w:ascii="Arial" w:cs="Arial" w:eastAsia="Arial" w:hAnsi="Arial"/>
          <w:sz w:val="16"/>
          <w:szCs w:val="16"/>
          <w:color w:val="auto"/>
        </w:rPr>
      </w:pPr>
    </w:p>
    <w:p>
      <w:pPr>
        <w:jc w:val="both"/>
        <w:ind w:left="660" w:hanging="652"/>
        <w:spacing w:after="0" w:line="277"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adjusted EBITDA includes expense reductions and non-operating other income attributable to mainland China governmental grants, which may mask the effect of underlying developments in net income, including trends in current expenses and interest expense, and free cash flow includes mainland China governmental grants, the amount and timing of which can be difficult to predict and are outside our control.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the most directly comparable GAAP financial measure, to adjusted EBITDA: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w w:val="93"/>
              </w:rPr>
              <w:t>Nine Months Ended September 30,</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4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00" w:type="dxa"/>
            <w:vAlign w:val="bottom"/>
          </w:tcPr>
          <w:p>
            <w:pPr>
              <w:jc w:val="right"/>
              <w:ind w:right="470"/>
              <w:spacing w:after="0"/>
              <w:rPr>
                <w:sz w:val="20"/>
                <w:szCs w:val="20"/>
                <w:color w:val="auto"/>
              </w:rPr>
            </w:pPr>
            <w:r>
              <w:rPr>
                <w:rFonts w:ascii="Arial" w:cs="Arial" w:eastAsia="Arial" w:hAnsi="Arial"/>
                <w:sz w:val="18"/>
                <w:szCs w:val="18"/>
                <w:b w:val="1"/>
                <w:bCs w:val="1"/>
                <w:color w:val="auto"/>
              </w:rPr>
              <w:t>% Change</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4"/>
              </w:rPr>
              <w:t>Absolute Change</w:t>
            </w:r>
          </w:p>
        </w:tc>
      </w:tr>
      <w:tr>
        <w:trPr>
          <w:trHeight w:val="234"/>
        </w:trPr>
        <w:tc>
          <w:tcPr>
            <w:tcW w:w="4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 v 2022</w:t>
            </w:r>
          </w:p>
        </w:tc>
        <w:tc>
          <w:tcPr>
            <w:tcW w:w="2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2023 v 2022</w:t>
            </w:r>
          </w:p>
        </w:tc>
      </w:tr>
      <w:tr>
        <w:trPr>
          <w:trHeight w:val="27"/>
        </w:trPr>
        <w:tc>
          <w:tcPr>
            <w:tcW w:w="4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58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(in thousands)</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Data:</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73,554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36,381</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102.2 %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37,173</w:t>
            </w:r>
          </w:p>
        </w:tc>
      </w:tr>
      <w:tr>
        <w:trPr>
          <w:trHeight w:val="27"/>
        </w:trPr>
        <w:tc>
          <w:tcPr>
            <w:tcW w:w="4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-13.7 %</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11,235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14,138</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-20.5 %</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(2,903)</w:t>
            </w:r>
          </w:p>
        </w:tc>
      </w:tr>
      <w:tr>
        <w:trPr>
          <w:trHeight w:val="27"/>
        </w:trPr>
        <w:tc>
          <w:tcPr>
            <w:tcW w:w="4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46.7 %</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14,666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5,236</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180.1 %</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9,430</w:t>
            </w:r>
          </w:p>
        </w:tc>
      </w:tr>
      <w:tr>
        <w:trPr>
          <w:trHeight w:val="27"/>
        </w:trPr>
        <w:tc>
          <w:tcPr>
            <w:tcW w:w="4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short-term investment</w:t>
            </w: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-53.7 %</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(5,134)</w:t>
            </w:r>
          </w:p>
        </w:tc>
      </w:tr>
      <w:tr>
        <w:trPr>
          <w:trHeight w:val="263"/>
        </w:trPr>
        <w:tc>
          <w:tcPr>
            <w:tcW w:w="41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105,605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64,442</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63.9 %</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41,163</w:t>
            </w:r>
          </w:p>
        </w:tc>
      </w:tr>
      <w:tr>
        <w:trPr>
          <w:trHeight w:val="20"/>
        </w:trPr>
        <w:tc>
          <w:tcPr>
            <w:tcW w:w="4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 in adjusted EBITDA for the nine months ended September 30, 2023 as compared to the same period in 2022 reflects a $37.1 million increase in net income, a $9.4 million increase in stock based compensation, and a $1.9 million increase in depreciation and amortization, offset by a ($2.9 million) impact from a change in income tax expense, and a ($5.1 million) decrease in unrealized loss on short-term investment.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exclude from adjusted EBITDA expense reductions and non-operating other income attributable to mainland China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mainland China grants, please see “—Mainland China Government Research and Development Funding.”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cash used in operating activities, the most directly comparable GAAP financial measure, to free cash flow: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gridSpan w:val="4"/>
          </w:tcPr>
          <w:p>
            <w:pPr>
              <w:ind w:left="180"/>
              <w:spacing w:after="0"/>
              <w:rPr>
                <w:sz w:val="20"/>
                <w:szCs w:val="20"/>
                <w:color w:val="auto"/>
              </w:rPr>
            </w:pPr>
            <w:r>
              <w:rPr>
                <w:rFonts w:ascii="Arial" w:cs="Arial" w:eastAsia="Arial" w:hAnsi="Arial"/>
                <w:sz w:val="18"/>
                <w:szCs w:val="18"/>
                <w:b w:val="1"/>
                <w:bCs w:val="1"/>
                <w:color w:val="auto"/>
              </w:rPr>
              <w:t>Nine Months Ended September 30,</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2"/>
        </w:trPr>
        <w:tc>
          <w:tcPr>
            <w:tcW w:w="3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60" w:type="dxa"/>
            <w:vAlign w:val="bottom"/>
            <w:gridSpan w:val="2"/>
          </w:tcPr>
          <w:p>
            <w:pPr>
              <w:ind w:left="540"/>
              <w:spacing w:after="0"/>
              <w:rPr>
                <w:sz w:val="20"/>
                <w:szCs w:val="20"/>
                <w:color w:val="auto"/>
              </w:rPr>
            </w:pPr>
            <w:r>
              <w:rPr>
                <w:rFonts w:ascii="Arial" w:cs="Arial" w:eastAsia="Arial" w:hAnsi="Arial"/>
                <w:sz w:val="18"/>
                <w:szCs w:val="18"/>
                <w:b w:val="1"/>
                <w:bCs w:val="1"/>
                <w:color w:val="auto"/>
              </w:rPr>
              <w:t>% Change</w:t>
            </w:r>
          </w:p>
        </w:tc>
        <w:tc>
          <w:tcPr>
            <w:tcW w:w="14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Absolute Change</w:t>
            </w:r>
          </w:p>
        </w:tc>
      </w:tr>
      <w:tr>
        <w:trPr>
          <w:trHeight w:val="234"/>
        </w:trPr>
        <w:tc>
          <w:tcPr>
            <w:tcW w:w="38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960" w:type="dxa"/>
            <w:vAlign w:val="bottom"/>
            <w:gridSpan w:val="2"/>
          </w:tcPr>
          <w:p>
            <w:pPr>
              <w:ind w:left="520"/>
              <w:spacing w:after="0"/>
              <w:rPr>
                <w:sz w:val="20"/>
                <w:szCs w:val="20"/>
                <w:color w:val="auto"/>
              </w:rPr>
            </w:pPr>
            <w:r>
              <w:rPr>
                <w:rFonts w:ascii="Arial" w:cs="Arial" w:eastAsia="Arial" w:hAnsi="Arial"/>
                <w:sz w:val="18"/>
                <w:szCs w:val="18"/>
                <w:b w:val="1"/>
                <w:bCs w:val="1"/>
                <w:color w:val="auto"/>
              </w:rPr>
              <w:t>2023 v 2022</w:t>
            </w:r>
          </w:p>
        </w:tc>
        <w:tc>
          <w:tcPr>
            <w:tcW w:w="140" w:type="dxa"/>
            <w:vAlign w:val="bottom"/>
          </w:tcPr>
          <w:p>
            <w:pPr>
              <w:spacing w:after="0"/>
              <w:rPr>
                <w:sz w:val="20"/>
                <w:szCs w:val="20"/>
                <w:color w:val="auto"/>
              </w:rPr>
            </w:pP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 v 2022</w:t>
            </w:r>
          </w:p>
        </w:tc>
      </w:tr>
      <w:tr>
        <w:trPr>
          <w:trHeight w:val="27"/>
        </w:trPr>
        <w:tc>
          <w:tcPr>
            <w:tcW w:w="38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580" w:type="dxa"/>
            <w:vAlign w:val="bottom"/>
            <w:gridSpan w:val="4"/>
          </w:tcPr>
          <w:p>
            <w:pPr>
              <w:jc w:val="right"/>
              <w:ind w:right="121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Data:</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(42,117)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(61,397)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(31.4 %)</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19,280</w:t>
            </w: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(49,535)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141.0 %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(28,985)</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Purchase of long-term investment</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(5,196)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24.9 %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7"/>
        </w:trPr>
        <w:tc>
          <w:tcPr>
            <w:tcW w:w="38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(98,140)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(87,143)</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(10,997)</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free cash flow for the nine months ended September 30, 2023 as compared to the same period in 2022 reflected the factors driving net cash used in operating activities, an increase of purchases of property and equipment, and long-term investment. Consistent with our methodology for calculating adjusted EBITDA, we do not adjust free cash flow for the effects of mainland China government subsidies, because we take those subsidies into account in incurring expenses and capital expenditures. We do not adjust free cash flow for the effects of time-deposits, which for our internal purposes are considered as largely similar to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7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Nine Months Ended September 30,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Adjusted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4"/>
              </w:rPr>
              <w:t>Actual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3"/>
              </w:rPr>
              <w:t>(Non-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Actual</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Adjusted</w:t>
            </w:r>
          </w:p>
        </w:tc>
      </w:tr>
      <w:tr>
        <w:trPr>
          <w:trHeight w:val="261"/>
        </w:trPr>
        <w:tc>
          <w:tcPr>
            <w:tcW w:w="3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9"/>
              </w:rPr>
              <w:t>(GAAP)</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SBC</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6"/>
              </w:rPr>
              <w:t>GAAP)</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6"/>
              </w:rPr>
              <w:t>(GAAP)</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SBC</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(Non-GAAP)</w:t>
            </w:r>
          </w:p>
        </w:tc>
      </w:tr>
      <w:tr>
        <w:trPr>
          <w:trHeight w:val="237"/>
        </w:trPr>
        <w:tc>
          <w:tcPr>
            <w:tcW w:w="33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gridSpan w:val="5"/>
          </w:tcPr>
          <w:p>
            <w:pPr>
              <w:jc w:val="center"/>
              <w:ind w:right="220"/>
              <w:spacing w:after="0"/>
              <w:rPr>
                <w:sz w:val="20"/>
                <w:szCs w:val="20"/>
                <w:color w:val="auto"/>
              </w:rPr>
            </w:pPr>
            <w:r>
              <w:rPr>
                <w:rFonts w:ascii="Arial" w:cs="Arial" w:eastAsia="Arial" w:hAnsi="Arial"/>
                <w:sz w:val="18"/>
                <w:szCs w:val="18"/>
                <w:i w:val="1"/>
                <w:iCs w:val="1"/>
                <w:color w:val="auto"/>
                <w:w w:val="91"/>
              </w:rPr>
              <w:t>(in thousands)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387,402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280,290</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(190,263)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(189,425)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(150,097)</w:t>
            </w:r>
          </w:p>
        </w:tc>
      </w:tr>
      <w:tr>
        <w:trPr>
          <w:trHeight w:val="27"/>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197,139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130,193</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(37,579)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(26,217)</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(60,244)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(42,658)</w:t>
            </w: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(13,717)</w:t>
            </w:r>
          </w:p>
        </w:tc>
      </w:tr>
      <w:tr>
        <w:trPr>
          <w:trHeight w:val="264"/>
        </w:trPr>
        <w:tc>
          <w:tcPr>
            <w:tcW w:w="33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(14,666)</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87,131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42,365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47,601</w:t>
            </w:r>
          </w:p>
        </w:tc>
      </w:tr>
      <w:tr>
        <w:trPr>
          <w:trHeight w:val="20"/>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84"/>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operating income for the nine months ended September 30, 2023 increased by $39.5 million, as compared with the same period in 2022, due to a $30.1 million increase in income from operations and a $9.4 million increase in stock-based compensation expense.</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market risks and the ways we manage them are summarized in the section captioned “Part II, Item 7A. Quantitative and Qualitative Disclosures About Market Risk” in our Annual Report. There have been no material changes in the first nine months of 2023 to our market risks or to our management of such risks.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company’s disclosure controls and procedures pursuant to Rule 13a-15 under the Securities Exchange Act of 1934, or the Exchange Act, as of September 30, 2023.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The effectiveness of the disclosure controls and procedures is also necessarily limited by the staff and other resources available to management and the geographic diversity of our company’s operations. As a result of the COVID-19 pandemic, in 2021, 2022 and 2023, we have faced additional challenges in operating and monitoring our disclosure controls and procedures as a result of employees working remotely and management travel being limited. In addition, we face potential heightened cybersecurity risks as our level of dependence on our IT networks and related systems increases, stemming from employees working remotely, and the number of malware campaigns and phishing attacks preying on the uncertainties surrounding the COVID</w:t>
      </w:r>
      <w:r>
        <w:rPr>
          <w:rFonts w:ascii="MS PGothic" w:cs="MS PGothic" w:eastAsia="MS PGothic" w:hAnsi="MS PGothic"/>
          <w:sz w:val="17"/>
          <w:szCs w:val="17"/>
          <w:color w:val="auto"/>
        </w:rPr>
        <w:t>‑</w:t>
      </w:r>
      <w:r>
        <w:rPr>
          <w:rFonts w:ascii="Arial" w:cs="Arial" w:eastAsia="Arial" w:hAnsi="Arial"/>
          <w:sz w:val="17"/>
          <w:szCs w:val="17"/>
          <w:color w:val="auto"/>
        </w:rPr>
        <w:t>19 pandemic increases.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that evaluation, and as a result of the material weaknesses in internal control over financial reporting described in our Annual Report, our Chief Executive Officer and Chief Financial Officer concluded that, as of September 30, 2023, our company’s disclosure controls and procedures were not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Notwithstanding the material weaknesses in internal control over financial reporting described in our Annual Report, our management, including our Chief Executive Officer and Chief Financial Officer, believes that our consolidated financial statements included in this report present fairly, in all material respects, our financial position, results of operations and cash flows as of and for the periods presented, in conformity with GAAP.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Weaknesses in Internal Control Over Financial Reporting</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disclosed in our Annual Report, management identified the following material weaknesses during its assessment of internal controls over financial reporting as of December 31, 2022, and is in the process of remediating them as of September 30, 2023:</w:t>
      </w:r>
    </w:p>
    <w:p>
      <w:pPr>
        <w:spacing w:after="0" w:line="238" w:lineRule="exact"/>
        <w:rPr>
          <w:sz w:val="20"/>
          <w:szCs w:val="20"/>
          <w:color w:val="auto"/>
        </w:rPr>
      </w:pPr>
    </w:p>
    <w:p>
      <w:pPr>
        <w:jc w:val="both"/>
        <w:ind w:firstLine="8"/>
        <w:spacing w:after="0" w:line="286" w:lineRule="auto"/>
        <w:tabs>
          <w:tab w:leader="none" w:pos="157"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Management did not design and maintain effective risk assessment procedures, and monitoring activities. These deficiencies were attributed to insufficient identification and assessment of risks impacting the design, implementation, and operating effectiveness of internal control over financial reporting, and insufficient evaluation and determination as to whether components of internal control were present and functioning.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
        <w:spacing w:after="0" w:line="257" w:lineRule="auto"/>
        <w:tabs>
          <w:tab w:leader="none" w:pos="1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did not design and maintain effective information technology controls related to (a) user access controls to ensure appropriate segregation of duties and adequately restrict user and privileged access to financial applications, programs, and data to appropriate personnel, (b) computer operations controls to ensure that critical information is monitored, and data backups are authorized and monitored, (c) appropriate controls to evaluate automated controls, and (d) appropriate controls to validate the completeness and accuracy of key reports used within controls across substantially all financial statement areas.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these material weaknesses did not result in any material misstatement of our consolidated financial statements, there is a reasonable possibility that a material misstatement of our consolidated financial statements will not be prevented or detected on a timely basis. Accordingly, management has concluded that these control deficiencies constitute material weaknesses.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Efforts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begun the process of, and are focused on, designing and implementing effective internal control measures to improve our internal control over financial reporting and remediate the material weaknesses. Our internal control remediation efforts include the following:</w:t>
      </w:r>
    </w:p>
    <w:p>
      <w:pPr>
        <w:spacing w:after="0" w:line="238" w:lineRule="exact"/>
        <w:rPr>
          <w:sz w:val="20"/>
          <w:szCs w:val="20"/>
          <w:color w:val="auto"/>
        </w:rPr>
      </w:pPr>
    </w:p>
    <w:p>
      <w:pPr>
        <w:jc w:val="both"/>
        <w:ind w:firstLine="8"/>
        <w:spacing w:after="0" w:line="294" w:lineRule="auto"/>
        <w:tabs>
          <w:tab w:leader="none" w:pos="117"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Continue engagement with an outside firm to assist management with (i) designing and maintaining effective risk assessment procedures and monitoring activities, (ii) reviewing our current processes, procedures, and systems and assessing the design of controls to identify opportunities to enhance the design of controls that would address relevant risks identified by management to assure the operating effectiveness of internal control over financial reporting, and (iii) enhancing and implementing protocols to retain sufficient documentary evidence of operating effectiveness of such controls.</w:t>
      </w:r>
    </w:p>
    <w:p>
      <w:pPr>
        <w:spacing w:after="0" w:line="2" w:lineRule="exact"/>
        <w:rPr>
          <w:rFonts w:ascii="Arial" w:cs="Arial" w:eastAsia="Arial" w:hAnsi="Arial"/>
          <w:sz w:val="16"/>
          <w:szCs w:val="16"/>
          <w:color w:val="auto"/>
        </w:rPr>
      </w:pPr>
    </w:p>
    <w:p>
      <w:pPr>
        <w:ind w:firstLine="8"/>
        <w:spacing w:after="0" w:line="281" w:lineRule="auto"/>
        <w:tabs>
          <w:tab w:leader="none" w:pos="1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to recruit qualified individuals for key positions within our accounting and other support functions that will further enhance internal control capabilities, allow for appropriate segregation of duties, and provide appropriate oversight and reviews.</w:t>
      </w:r>
    </w:p>
    <w:p>
      <w:pPr>
        <w:spacing w:after="0" w:line="1" w:lineRule="exact"/>
        <w:rPr>
          <w:rFonts w:ascii="Arial" w:cs="Arial" w:eastAsia="Arial" w:hAnsi="Arial"/>
          <w:sz w:val="18"/>
          <w:szCs w:val="18"/>
          <w:color w:val="auto"/>
        </w:rPr>
      </w:pPr>
    </w:p>
    <w:p>
      <w:pPr>
        <w:ind w:right="20" w:firstLine="8"/>
        <w:spacing w:after="0" w:line="308" w:lineRule="auto"/>
        <w:tabs>
          <w:tab w:leader="none" w:pos="117"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Complete the implementation of our new enterprise reporting software and other system integrations and establish effective general controls over these systems to ensure that our automated process level controls and information produced and maintained in our IT systems is relevant and reliable.</w:t>
      </w:r>
    </w:p>
    <w:p>
      <w:pPr>
        <w:jc w:val="both"/>
        <w:ind w:firstLine="8"/>
        <w:spacing w:after="0" w:line="279" w:lineRule="auto"/>
        <w:tabs>
          <w:tab w:leader="none" w:pos="13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Restrict and monitor user access controls to ensure appropriate segregation of duties and adequately restrict user and privileged access of applications, programs, and data to appropriate personnel, implement computer operations controls to ensure that critical information is monitored, and data backups are authorized and monitored, establish appropriate controls to evaluate automated controls, and design and monitor appropriate controls to validate the completeness and accuracy of key reports used within controls across substantially all financial statement areas.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committed to ensuring that our internal controls over financial reporting are designed and operating effectively. Management believes the planned remediation will improve the effectiveness of our internal control over financial reporting. While these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diligently review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 and Remediation Efforts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nine months ended September 30, 2023 that have materially affected, or are reasonably likely to materially affect, our internal control over financial reporting. We will continue to review and document our disclosure controls and procedures, including our internal control over financial reporting and may from time to time make changes to enhance their effectiveness and ensure that our systems evolve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time to time, we may become involved in other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set forth below, there were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Aspects of Our Business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one of the companies named in the SEC’s “Conclusive list of issuers identified under the HFCAA.” BDO China had been our independent registered public accounting firm in recent years, including for the year ended December 31, 2021, and was not inspected by the PCAOB.</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HFCA Act, which became law in December 2020, includes requirements for the SEC to identify issuers whose audit work is performed by auditors that the PCAOB is unable to inspect or investigate completely because of a restriction imposed by a non-U.S. authority in any non-U.S. jurisdiction. The HFCA Act also requires that, to the extent that the PCAOB has been unable to inspect an issuer’s auditor for two consecutive years, the SEC shall prohibit the issuer’s securities registered in the United States from being traded on any national securities exchange or over-the-counter market in the United States.</w:t>
      </w:r>
    </w:p>
    <w:p>
      <w:pPr>
        <w:spacing w:after="0" w:line="184" w:lineRule="exact"/>
        <w:rPr>
          <w:sz w:val="20"/>
          <w:szCs w:val="20"/>
          <w:color w:val="auto"/>
        </w:rPr>
      </w:pPr>
    </w:p>
    <w:p>
      <w:pPr>
        <w:jc w:val="both"/>
        <w:ind w:left="660" w:hanging="328"/>
        <w:spacing w:after="0" w:line="252"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March 24, 2021, the SEC adopted interim final amendments to implement congressionally mandated submission and disclosure required of the HFCA Act, and on December 2, 2021, the SEC adopted final amendments to finalize rules implementing the submission and disclosures in the HFCA Act. These final amendments apply to registrants that the SEC identifies as having filed an Annual Report on Form 10-K (or certain other forms) with an audit report issued by a registered public accounting firm that is located in a foreign jurisdiction and that the PCAOB has determined it is unable to inspect or investigate completely because of a position taken by any non-U.S. authority.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spacing w:after="0" w:line="3" w:lineRule="exact"/>
        <w:rPr>
          <w:rFonts w:ascii="Arial" w:cs="Arial" w:eastAsia="Arial" w:hAnsi="Arial"/>
          <w:sz w:val="18"/>
          <w:szCs w:val="18"/>
          <w:color w:val="auto"/>
        </w:rPr>
      </w:pPr>
    </w:p>
    <w:p>
      <w:pPr>
        <w:jc w:val="both"/>
        <w:ind w:left="660" w:hanging="328"/>
        <w:spacing w:after="0" w:line="269"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Furthermore, on June 22, 2021, the U.S. Senate passed the Accelerating Holding Foreign Companies Accountable Act, which was enacted under the Consolidated Appropriations Act, 2023, on December 29, 2022, as further described below, and which amended the HFCA Act to require the SEC to prohibit an issuer’s securities from trading on any national securities exchange or over-the-counter market in the United States if the PCAOB has been unable to inspect an issuer’s auditor for two, rather than three, consecutive years. On September 22, 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any non-U.S. jurisdiction.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60" w:hanging="328"/>
        <w:spacing w:after="0" w:line="271"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December 16, 2021, the PCAOB designated China and Hong Kong as jurisdictions where the PCAOB was not allowed to conduct full and complete audit inspections and identified firms registered in such jurisdictions, including BDO China. Pursuant to each annual determination by the PCAOB, the SEC will, on an annual basis, identify issuers that have used non-inspected audit firms.</w:t>
      </w:r>
    </w:p>
    <w:p>
      <w:pPr>
        <w:jc w:val="both"/>
        <w:ind w:left="66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March 8, 2022, the SEC published its first “Provisional list of issuers identified under the HFCAA.” Our company was identified on the SEC’s provisional list after we filed our Annual Report on Form 10-K for the year ended December 31, 2021, which included an audit report issued by BDO China.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March 30, 2022, our company was transferred to the SEC’s “Conclusive list of issuers identified under the HFCAA.”</w:t>
      </w:r>
    </w:p>
    <w:p>
      <w:pPr>
        <w:spacing w:after="0" w:line="9"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August 26, 2022, the PCAOB signed a Statement of Protocol, or SOP, Agreement with the CSRC and China’s Ministry of Finance. The SOP, together with two protocol agreements governing inspections and investigation, establishes a specific, accountable framework to make possible complete inspections and investigations by the PCAOB of audit firms based in China and Hong Kong, as required under U.S. law. Pursuant to the fact sheet with respect to the SOP disclosed by the SEC, the PCAOB has sole discretion to select the audit firms, engagements and potential violations that it inspects or investigates and has the ability to transfer information to the SEC in the normal course. PCAOB inspectors and investigators can view all audit documentation without redaction, and the PCAOB can retain any audit information it reviews as needed to support the findings of its inspections and investigations. In addition, the SOP allows the PCAOB to interview and take testimony of personnel associated with the audits that the PCAOB inspects or investigates.</w:t>
      </w:r>
    </w:p>
    <w:p>
      <w:pPr>
        <w:spacing w:after="0" w:line="1" w:lineRule="exact"/>
        <w:rPr>
          <w:rFonts w:ascii="Arial" w:cs="Arial" w:eastAsia="Arial" w:hAnsi="Arial"/>
          <w:sz w:val="17"/>
          <w:szCs w:val="17"/>
          <w:color w:val="auto"/>
        </w:rPr>
      </w:pPr>
    </w:p>
    <w:p>
      <w:pPr>
        <w:jc w:val="both"/>
        <w:ind w:left="660" w:hanging="328"/>
        <w:spacing w:after="0" w:line="281"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December 15, 2022, the PCAOB announced that it was able to secure complete access to inspect and investigate PCAOB-registered public accounting firms headquartered in mainland China and Hong Kong in 2022 and vacated its previous December 16, 2021 determination to the contrary. However, whether the PCAOB will continue to be able to satisfactorily conduct inspections of PCAOB-registered public accounting firms headquartered in mainland China and Hong Kong is subject to uncertainty and depends on a number of factors out of our, and our auditor’s, control. Mainland China authorities will need to ensure that the PCAOB continues to have full access for inspections and investigations in 2023 and beyond. Each year, the PCAOB will determine whether it can inspect and investigate completely audit firms in mainland China and Hong Kong, among other jurisdictions. If mainland China authorities do not allow the PCAOB complete access for inspections and investigations for two consecutive years, the SEC would prohibit trading in the securities of issuers engaging those audit firms, as required under the HFCA Act.</w:t>
      </w:r>
    </w:p>
    <w:p>
      <w:pPr>
        <w:spacing w:after="0" w:line="4" w:lineRule="exact"/>
        <w:rPr>
          <w:rFonts w:ascii="Arial" w:cs="Arial" w:eastAsia="Arial" w:hAnsi="Arial"/>
          <w:sz w:val="16"/>
          <w:szCs w:val="16"/>
          <w:color w:val="auto"/>
        </w:rPr>
      </w:pPr>
    </w:p>
    <w:p>
      <w:pPr>
        <w:jc w:val="both"/>
        <w:ind w:left="660" w:hanging="328"/>
        <w:spacing w:after="0" w:line="252"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December 29, 2022, the Consolidated Appropriations Act, 2023, was signed into law by U.S. President Biden, which, among other things, amended the HFCA Act to reduce the number of consecutive non-inspection years that would trigger the trading prohibition under the HFCA Act from three years to two years (originally such threshold under the HFCA Act was three consecutive years), and so that any foreign jurisdiction could be the reason why the PCAOB does not have complete access to inspect or investigate a company’s public accounting firm (originally the HFCA Act only applied if the PCAOB’s ability to inspect or investigate was due to a position taken by an authority in the jurisdiction where the relevant public accounting firm was located).</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Per current regulations, if ACM Research were to appear for two consecutive years on the “Conclusive list of issuers identified under the HFCAA”, the value of our securities may significantly decline or become worthless, and our securities would be prohibited from trading and may eventually be delisted. It also remains unclear what further actions the SEC, the PCAOB or Nasdaq may take to address these issues and what impact those actions will have on U.S. companies, such as ours, that have significant operations in mainland China and have securities listed on a U.S. stock exchange. Any such actions could materially affect our operations and stock price, including by resulting in our being de-listed from Nasdaq or being required to engage a new audit firm, which would require significant expense and management time.</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June 30, 2022, and June 15, 2023, stockholders of ACM Research ratified the appointment of Armanino LLP as our independent auditor for the years ended December 31, 2022 and 2023, respectively. Armanino LLP was neither headquartered in mainland China or Hong Kong nor was it subject to the determinations announced by the PCAOB on December 16, 2021, which determinations were vacated by the PCAOB on December 15, 2022.</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21, 2023, we were informed by Armanino that Armanino would resign as our independent auditor effective as of the earlier of (a) the date we engaged a new independent registered public accounting firm or (b) the filing of our Quarterly Report on Form 10-Q for the fiscal quarter ended September 30, 2023.</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light of Armanino’s determination, on September 14, 2023, the Audit Committee completed a competitive selection process to select and appoint a new accounting firm to serve as our independent registered public accounting firm commencing with the audit of our financial statements for the fiscal year ending December 31, 2023. As a result of this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process, the Audit Committee approved the engagement of E&amp;Y as our independent registered public accounting firm for the fiscal year ending December 31, 2023. The engagement of E&amp;Y became effective on September 20, 2023. E&amp;Y is a PCAOB-registered firm that is headquartered in mainland China; however, we do not believe ACM Research will appear on the “Conclusive list of issuers identified under the HFCAA” for a second consecutive time, as the determinations announced by the PCAOB on December 16, 2021 were vacated by the PCAOB on December 15,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25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Our ability to sell our tools to customers in mainland China has been impacted, and will likely continue to be materially and adversely impacted, by export license requirements, other regulatory changes, or other actions taken by the U.S. or other governmental agencies.</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ACM Shanghai utilizes certain items subject to export controls under the U.S. Export Administration Regulations (EAR) in manufacturing and supplying its products. The EAR applies to exports of commodities, software and technology from the United States, including for use in manufacturing products outside the United States, as well as to certain products manufactured outside the United States that incorporate, or are based on, designated U.S. content, software or technology. The Bureau of Industry and Security of the U.S. Department of Commerce (BIS), which administers the EAR, recently imposed, and may continue to impose, additional restrictions under the EAR on certain exports to mainland China, including restrictions targeting the semiconductor manufacturing industry in mainland China. These types of restrictions may impact the operations of ACM Shanghai.</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2022, BIS announced new rules that significantly expanded U.S. export controls as applied to advanced IC products, related manufacturing equipment and technology, and supercomputers, where the destination or ultimate end user is based in mainland China. In the case of semiconductor manufacturing equipment, the new rules require an export license for the export, re-export, or transfer to or within mainland China of additional types of semiconductor manufacturing equipment, items for use in manufacturing designated types of semiconductor manufacturing equipment (along with other items subject to the EAR, for use in the development or production of ICs), and semiconductor manufacturing equipment for use at certain IC manufacturing and development facilities in mainland China. In most cases, license applications for these exports are reviewed under a presumption of denial. In addition, BIS imposed new restrictions by which U.S. persons anywhere in the world are effectively barred from engaging in certain activities related to the development and production of semiconductors at mainland China fabrication facilities meeting specified criteria, even if no items subject to the EAR are involved.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These new restrictions have impacted the procurement by ACM Shanghai of certain items from the United States, and of certain items subject to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export controls from outside the United States, for use in manufacturing its products.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2023, BIS further expanded export controls on semiconductors, semiconductor manufacturing items and items for use in manufacturing designated types of semiconductor manufacturing equipment, including through new licensing requirements covering a broader variety of items, and an expansion in the geographical scope of the controls.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ACM Shanghai has determined that several of its customers have mainland China-based facilities that meet the restricted criteria set out in the October 2022 and October 2023 rules, and has also determined that several of its products, and/or components for its products, may meet the parameters of export control classification numbers, or ECCNs, affected by the restrictions. ACM and ACM Shanghai have implemented modifications to their existing business policies and practices in response to the October 2022 restrictions, including by imposing limitations on the activities of their U.S. persons and undertaking measures in connection with their supply chains more broadly to comply with the new regulations. ACM Shanghai is continuing to assess the impact of the October 2023 changes, together with the October 2022 rules, and will further modify its policies and practices as required to comply with the updates. Based on our ongoing review, we believe these regulations may directly impact ACM Shanghai’s ability to meet its future production plans, or indirectly impact the spending plans of ACM Shanghai’s customer base. ACM may not be able to import, or may face substantial restrictions in importing, certain parts from the United States or parts subject to U.S. export controls from outside the United States to support tool shipments to such facilities, or to be embedded into tools defined by affected ECCNs.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as a result of the October 2022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in the three months ended December 31, 2022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nine months ended September 30, 2023. We anticipate these factors will continue to have an adverse impact on ACM Shanghai’s shipments and sales in future periods, including as a result of any impacts from the October 2023 revisions.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Alongside these new restrictions, BIS has also continued to designate additional mainland China entities, many involved in the semiconductor manufacturing industry, on restricted party lists under the EAR, such as the Entity List and the Unverified List. These designations impose licensing requirements for the supply of products to such entities. In most cases, any items subject to the EAR, including foreign produced products with specified U.S. content, now require an export license from BIS before they can be supplied to the newly listed mainland China entities, regardless of their export classification. In December 2020, SMIC, one of the largest chip manufacturers in mainland China and one of our key customers, was one of numerous entities added to the Entity List. Challenges faced by SMIC and its key suppliers as a result of the listing have indirectly impacted SMIC’s demand for, and ACM Shanghai’s ability to supply, ACM Shanghai products. More recently, in October 2022, YMTC, a leading mainland China memory chip company and one of our key customers, was added to the Unverified List of the EAR alongside a number of other Chinese entities. The Unverified List identifies parties for whom BIS has been unable to confirm their bona fides (i.e., legitimacy and reliability about the end-use and end-user of items subject to the EAR). Entities listed on the Unverified List are ineligible to receive items subject to the EAR by means of a license exception if a U.S. export license is required. In December 2022, YMTC was moved from the Unverified List to the Entity List. Challenges faced by YMTC and its key suppliers as a result of the listing could indirectly impact YMTC’s demand for, or ACM Shanghai’s ability to supply, ACM Shanghai products.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be certain what additional actions the U.S. government may take with respect to mainland China entities, or whether such actions will impact our relationships with our mainland China-based customers. Additional actions could take the form of further revisions to the Entity List or Unverified List, new export restrictions, additional tariffs or other trade restrictions. It is also possible that other countries could adopt similar semiconductor-focused export controls to align with the October 2022 and October 2023 U.S. actions.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and nine months ended September 30, 2023, two prominent exporters of advanced semiconductor manufacturing equipment, the Netherlands and Japan, announced and began to implement plans to join the United States in imposing semiconductor-focused export controls.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On May 23, 2023, the Japanese government issued the final amendment to an ordinance implementing new export controls to require licensing for export</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of certain advanced semiconductor manufacturing equipment, effective as of July 23, 2023. The amendment expands the scope of export controls to prohibit (1) exporting 23 additional categories of items relating to semiconductor manufacturing and (2) providing technology relating to manufacturing,</w:t>
      </w:r>
    </w:p>
    <w:p>
      <w:pPr>
        <w:jc w:val="both"/>
        <w:spacing w:after="0" w:line="259" w:lineRule="auto"/>
        <w:rPr>
          <w:sz w:val="20"/>
          <w:szCs w:val="20"/>
          <w:color w:val="auto"/>
        </w:rPr>
      </w:pPr>
      <w:r>
        <w:rPr>
          <w:rFonts w:ascii="Arial" w:cs="Arial" w:eastAsia="Arial" w:hAnsi="Arial"/>
          <w:sz w:val="18"/>
          <w:szCs w:val="18"/>
          <w:color w:val="auto"/>
        </w:rPr>
        <w:t>development or use of these categories of items, in both cases, without an advance license. While the expanded export controls apply to exports to any jurisdiction, exports to certain jurisdictions, such as the United States, are expected to be permitted by certain types of broad general licenses. However, it remains to be seen whether the Japanese government will authorize any exports of these items to mainland China by a limited general license or specific license, if at all.</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Likewise, on September 30, 2023, the Government of the Netherlands published additional export control measures for advanced semiconductor manufacturing equipment. The Regulation on Advanced Semiconductor Manufacturing Equipment will entered force on September 1, 2023. From that point on, the export of certain advanced semiconductor manufacturing equipment, as specified in the Annex to the Regulation, is now subject to a national export license authorization requirement by the Dutch Central Import and Export Service.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new restrictions, the ability of ACM Shanghai to acquire such parts from Japan and the Netherlands to fulfill customer requirements, and the ability of ACM Shanghai’s customers in mainland China to scale their production, could be further negatively impacted by these additional controls. The introduction of additional multilateral semiconductor-focused export controls could further negatively impact ACM Shanghai’s supply arrangements. The United States reportedly also is considering additional export controls measures, which could be imposed on items, technologies, or software that are relevant to our business and future growth.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are unable to predict the duration of the restrictions imposed by the U.S. government, Japan and the Netherlands or the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effects of any future governmental actions by the U.S., Japan, the Netherlands or other countries that may impact our relationships with our mainland China-based customers, any of which could have a long-term adverse effect on our business, operating results and financial condition.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nine months ended September 30, 2023, ACM Research issued, pursuant to the exercise of stock options at a per share exercise price of $0.50 per share, an aggregate of 410,476 shares of Class A common stock that were not registered under the Securities Act of 1933, as amended. We believe the offer and sale of those shares were exempt from registration under the Securities Act of 1933, as amended,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Sale Date</w:t>
            </w:r>
          </w:p>
        </w:tc>
        <w:tc>
          <w:tcPr>
            <w:tcW w:w="16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Exercised Shares</w:t>
            </w:r>
          </w:p>
        </w:tc>
      </w:tr>
      <w:tr>
        <w:trPr>
          <w:trHeight w:val="234"/>
        </w:trPr>
        <w:tc>
          <w:tcPr>
            <w:tcW w:w="9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(Net)</w:t>
            </w:r>
          </w:p>
        </w:tc>
      </w:tr>
      <w:tr>
        <w:trPr>
          <w:trHeight w:val="27"/>
        </w:trPr>
        <w:tc>
          <w:tcPr>
            <w:tcW w:w="9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January 10, 2023</w:t>
            </w:r>
          </w:p>
        </w:tc>
        <w:tc>
          <w:tcPr>
            <w:tcW w:w="138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25,975</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jc w:val="center"/>
              <w:ind w:right="130"/>
              <w:spacing w:after="0"/>
              <w:rPr>
                <w:sz w:val="20"/>
                <w:szCs w:val="20"/>
                <w:color w:val="auto"/>
              </w:rPr>
            </w:pPr>
            <w:r>
              <w:rPr>
                <w:rFonts w:ascii="Arial" w:cs="Arial" w:eastAsia="Arial" w:hAnsi="Arial"/>
                <w:sz w:val="18"/>
                <w:szCs w:val="18"/>
                <w:color w:val="auto"/>
                <w:w w:val="91"/>
              </w:rPr>
              <w:t>March 10, 2023</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26,420</w:t>
            </w:r>
          </w:p>
        </w:tc>
        <w:tc>
          <w:tcPr>
            <w:tcW w:w="2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1"/>
              </w:rPr>
              <w:t>March 16, 2023</w:t>
            </w:r>
          </w:p>
        </w:tc>
        <w:tc>
          <w:tcPr>
            <w:tcW w:w="138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37,500</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jc w:val="center"/>
              <w:ind w:right="150"/>
              <w:spacing w:after="0"/>
              <w:rPr>
                <w:sz w:val="20"/>
                <w:szCs w:val="20"/>
                <w:color w:val="auto"/>
              </w:rPr>
            </w:pPr>
            <w:r>
              <w:rPr>
                <w:rFonts w:ascii="Arial" w:cs="Arial" w:eastAsia="Arial" w:hAnsi="Arial"/>
                <w:sz w:val="18"/>
                <w:szCs w:val="18"/>
                <w:color w:val="auto"/>
                <w:w w:val="91"/>
              </w:rPr>
              <w:t>May 10, 2023</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26,265</w:t>
            </w:r>
          </w:p>
        </w:tc>
        <w:tc>
          <w:tcPr>
            <w:tcW w:w="2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June 1, 2023</w:t>
            </w:r>
          </w:p>
        </w:tc>
        <w:tc>
          <w:tcPr>
            <w:tcW w:w="138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37,500</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jc w:val="center"/>
              <w:ind w:right="150"/>
              <w:spacing w:after="0"/>
              <w:rPr>
                <w:sz w:val="20"/>
                <w:szCs w:val="20"/>
                <w:color w:val="auto"/>
              </w:rPr>
            </w:pPr>
            <w:r>
              <w:rPr>
                <w:rFonts w:ascii="Arial" w:cs="Arial" w:eastAsia="Arial" w:hAnsi="Arial"/>
                <w:sz w:val="18"/>
                <w:szCs w:val="18"/>
                <w:color w:val="auto"/>
                <w:w w:val="89"/>
              </w:rPr>
              <w:t>July 11, 2023</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26,715</w:t>
            </w:r>
          </w:p>
        </w:tc>
        <w:tc>
          <w:tcPr>
            <w:tcW w:w="2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1"/>
              </w:rPr>
              <w:t>August 11, 2023</w:t>
            </w:r>
          </w:p>
        </w:tc>
        <w:tc>
          <w:tcPr>
            <w:tcW w:w="138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3,856</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jc w:val="center"/>
              <w:ind w:right="150"/>
              <w:spacing w:after="0"/>
              <w:rPr>
                <w:sz w:val="20"/>
                <w:szCs w:val="20"/>
                <w:color w:val="auto"/>
              </w:rPr>
            </w:pPr>
            <w:r>
              <w:rPr>
                <w:rFonts w:ascii="Arial" w:cs="Arial" w:eastAsia="Arial" w:hAnsi="Arial"/>
                <w:sz w:val="18"/>
                <w:szCs w:val="18"/>
                <w:color w:val="auto"/>
                <w:w w:val="91"/>
              </w:rPr>
              <w:t>August 14, 2023</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19,259</w:t>
            </w:r>
          </w:p>
        </w:tc>
        <w:tc>
          <w:tcPr>
            <w:tcW w:w="2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9000" w:type="dxa"/>
            <w:vAlign w:val="bottom"/>
            <w:tcBorders>
              <w:bottom w:val="single" w:sz="8" w:color="BFE4FF"/>
            </w:tcBorders>
            <w:shd w:val="clear" w:color="auto" w:fill="BFE4FF"/>
          </w:tcPr>
          <w:p>
            <w:pPr>
              <w:jc w:val="center"/>
              <w:ind w:right="150"/>
              <w:spacing w:after="0"/>
              <w:rPr>
                <w:sz w:val="20"/>
                <w:szCs w:val="20"/>
                <w:color w:val="auto"/>
              </w:rPr>
            </w:pPr>
            <w:r>
              <w:rPr>
                <w:rFonts w:ascii="Arial" w:cs="Arial" w:eastAsia="Arial" w:hAnsi="Arial"/>
                <w:sz w:val="18"/>
                <w:szCs w:val="18"/>
                <w:color w:val="auto"/>
                <w:w w:val="91"/>
              </w:rPr>
              <w:t>August 24, 2023</w:t>
            </w:r>
          </w:p>
        </w:tc>
        <w:tc>
          <w:tcPr>
            <w:tcW w:w="1380" w:type="dxa"/>
            <w:vAlign w:val="bottom"/>
            <w:tcBorders>
              <w:bottom w:val="single" w:sz="8" w:color="BFE4FF"/>
            </w:tcBorders>
            <w:gridSpan w:val="2"/>
            <w:shd w:val="clear" w:color="auto" w:fill="BFE4FF"/>
          </w:tcPr>
          <w:p>
            <w:pPr>
              <w:jc w:val="center"/>
              <w:ind w:left="170"/>
              <w:spacing w:after="0"/>
              <w:rPr>
                <w:sz w:val="20"/>
                <w:szCs w:val="20"/>
                <w:color w:val="auto"/>
              </w:rPr>
            </w:pPr>
            <w:r>
              <w:rPr>
                <w:rFonts w:ascii="Arial" w:cs="Arial" w:eastAsia="Arial" w:hAnsi="Arial"/>
                <w:sz w:val="18"/>
                <w:szCs w:val="18"/>
                <w:color w:val="auto"/>
                <w:w w:val="88"/>
              </w:rPr>
              <w:t>4,847</w:t>
            </w:r>
          </w:p>
        </w:tc>
        <w:tc>
          <w:tcPr>
            <w:tcW w:w="260" w:type="dxa"/>
            <w:vAlign w:val="bottom"/>
            <w:tcBorders>
              <w:bottom w:val="single" w:sz="8" w:color="BFE4FF"/>
            </w:tcBorders>
            <w:shd w:val="clear" w:color="auto" w:fill="BFE4FF"/>
          </w:tcPr>
          <w:p>
            <w:pPr>
              <w:spacing w:after="0"/>
              <w:rPr>
                <w:sz w:val="21"/>
                <w:szCs w:val="21"/>
                <w:color w:val="auto"/>
              </w:rPr>
            </w:pPr>
          </w:p>
        </w:tc>
      </w:tr>
      <w:tr>
        <w:trPr>
          <w:trHeight w:val="243"/>
        </w:trPr>
        <w:tc>
          <w:tcPr>
            <w:tcW w:w="9000" w:type="dxa"/>
            <w:vAlign w:val="bottom"/>
          </w:tcPr>
          <w:p>
            <w:pPr>
              <w:jc w:val="center"/>
              <w:ind w:right="150"/>
              <w:spacing w:after="0"/>
              <w:rPr>
                <w:sz w:val="20"/>
                <w:szCs w:val="20"/>
                <w:color w:val="auto"/>
              </w:rPr>
            </w:pPr>
            <w:r>
              <w:rPr>
                <w:rFonts w:ascii="Arial" w:cs="Arial" w:eastAsia="Arial" w:hAnsi="Arial"/>
                <w:sz w:val="18"/>
                <w:szCs w:val="18"/>
                <w:color w:val="auto"/>
                <w:w w:val="88"/>
              </w:rPr>
              <w:t>September 11, 2023</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27,023</w:t>
            </w:r>
          </w:p>
        </w:tc>
        <w:tc>
          <w:tcPr>
            <w:tcW w:w="2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September 12, 2023</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175,116</w:t>
            </w:r>
          </w:p>
        </w:tc>
        <w:tc>
          <w:tcPr>
            <w:tcW w:w="260" w:type="dxa"/>
            <w:vAlign w:val="bottom"/>
          </w:tcPr>
          <w:p>
            <w:pPr>
              <w:spacing w:after="0"/>
              <w:rPr>
                <w:sz w:val="23"/>
                <w:szCs w:val="23"/>
                <w:color w:val="auto"/>
              </w:rPr>
            </w:pPr>
          </w:p>
        </w:tc>
      </w:tr>
      <w:tr>
        <w:trPr>
          <w:trHeight w:val="237"/>
        </w:trPr>
        <w:tc>
          <w:tcPr>
            <w:tcW w:w="9000" w:type="dxa"/>
            <w:vAlign w:val="bottom"/>
          </w:tcPr>
          <w:p>
            <w:pPr>
              <w:ind w:left="646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410,476</w:t>
            </w:r>
          </w:p>
        </w:tc>
        <w:tc>
          <w:tcPr>
            <w:tcW w:w="260" w:type="dxa"/>
            <w:vAlign w:val="bottom"/>
          </w:tcPr>
          <w:p>
            <w:pPr>
              <w:spacing w:after="0"/>
              <w:rPr>
                <w:sz w:val="20"/>
                <w:szCs w:val="20"/>
                <w:color w:val="auto"/>
              </w:rPr>
            </w:pPr>
          </w:p>
        </w:tc>
      </w:tr>
      <w:tr>
        <w:trPr>
          <w:trHeight w:val="27"/>
        </w:trPr>
        <w:tc>
          <w:tcPr>
            <w:tcW w:w="9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11, 2023, Sotheara Cheav, Senior Vice President, Manufacturing of ACM Shanghai, adopted a Rule 10b5-1 trading arrangement (the “Cheav Plan”) that is intended to satisfy the affirmative defense of Rule 10b5-1(c) of the Exchange Act. The Cheav Plan allows for the contemporaneous exercise of options and sale of up to 26,000 shares of Class A common stock, at specific market prices, commencing on November 10, 2023, and continuing until (i) all such options are exercised and the underlying shares are sold, (ii) November 8, 2024, or (iii) such date that the Cheav Plan is otherwise terminated according to its terms, whichever comes first.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21, 2023, Tracy Liu, a member of the Board of Directors of ACM Research, adopted a Rule 10b5-1 trading arrangement (the “Liu Plan”) that is intended to satisfy the affirmative defense of Rule 10b5-1(c) of the Exchange Act. The Liu Plan allows for the contemporaneous exercise of options and sale of up to 37,500 shares of Class A common stock, at specific market prices, commencing on November 20, 2023, and continuing until (i) all such options are exercised and the underlying shares are sold, (ii) August 21, 2024, or (iii) such date that the Liu Plan is otherwise terminated according to its terms, whichever comes first.</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14, 2023, Lisa Feng, Chief Financial Officer of ACM Shanghai, adopted a Rule 10b5-1 trading arrangement (the “Feng Plan”) that is intended to satisfy the affirmative defense of Rule 10b5-1(c) of the Exchange Act. The Feng Plan allows for the contemporaneous exercise of options and sale of up to 15,000 shares of Class A common stock, at specific market prices, commencing on December 14, 2023, and continuing until (i) all such options are exercised and the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underlying shares are sold, (ii) September 13, 2024, or (iii) such date that the Feng Plan is otherwise terminated according to its terms, whichever comes first.</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18"/>
                <w:szCs w:val="18"/>
                <w:color w:val="auto"/>
              </w:rPr>
            </w:pPr>
          </w:p>
        </w:tc>
        <w:tc>
          <w:tcPr>
            <w:tcW w:w="95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center"/>
              <w:ind w:right="330"/>
              <w:spacing w:after="0"/>
              <w:rPr>
                <w:sz w:val="20"/>
                <w:szCs w:val="20"/>
                <w:color w:val="auto"/>
              </w:rPr>
            </w:pPr>
            <w:r>
              <w:rPr>
                <w:rFonts w:ascii="Arial" w:cs="Arial" w:eastAsia="Arial" w:hAnsi="Arial"/>
                <w:sz w:val="18"/>
                <w:szCs w:val="18"/>
                <w:b w:val="1"/>
                <w:bCs w:val="1"/>
                <w:color w:val="auto"/>
                <w:w w:val="96"/>
              </w:rPr>
              <w:t>No.</w:t>
            </w:r>
          </w:p>
        </w:tc>
        <w:tc>
          <w:tcPr>
            <w:tcW w:w="100" w:type="dxa"/>
            <w:vAlign w:val="bottom"/>
          </w:tcPr>
          <w:p>
            <w:pPr>
              <w:spacing w:after="0"/>
              <w:rPr>
                <w:sz w:val="20"/>
                <w:szCs w:val="20"/>
                <w:color w:val="auto"/>
              </w:rPr>
            </w:pPr>
          </w:p>
        </w:tc>
        <w:tc>
          <w:tcPr>
            <w:tcW w:w="9560" w:type="dxa"/>
            <w:vAlign w:val="bottom"/>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560" w:type="dxa"/>
            <w:vAlign w:val="bottom"/>
          </w:tcPr>
          <w:p>
            <w:pPr>
              <w:spacing w:after="0"/>
              <w:rPr>
                <w:sz w:val="22"/>
                <w:szCs w:val="22"/>
                <w:color w:val="auto"/>
              </w:rPr>
            </w:pPr>
          </w:p>
        </w:tc>
      </w:tr>
      <w:tr>
        <w:trPr>
          <w:trHeight w:val="203"/>
        </w:trPr>
        <w:tc>
          <w:tcPr>
            <w:tcW w:w="1580" w:type="dxa"/>
            <w:vAlign w:val="bottom"/>
            <w:gridSpan w:val="3"/>
            <w:shd w:val="clear" w:color="auto" w:fill="CCEEFF"/>
          </w:tcPr>
          <w:p>
            <w:pPr>
              <w:ind w:left="20"/>
              <w:spacing w:after="0" w:line="202" w:lineRule="exact"/>
              <w:rPr>
                <w:rFonts w:ascii="Arial" w:cs="Arial" w:eastAsia="Arial" w:hAnsi="Arial"/>
                <w:sz w:val="18"/>
                <w:szCs w:val="18"/>
                <w:color w:val="0000FF"/>
              </w:rPr>
            </w:pPr>
            <w:hyperlink r:id="rId106">
              <w:r>
                <w:rPr>
                  <w:rFonts w:ascii="Arial" w:cs="Arial" w:eastAsia="Arial" w:hAnsi="Arial"/>
                  <w:sz w:val="18"/>
                  <w:szCs w:val="18"/>
                  <w:color w:val="0000FF"/>
                </w:rPr>
                <w:t>10.</w:t>
              </w:r>
              <w:r>
                <w:rPr>
                  <w:rFonts w:ascii="Arial" w:cs="Arial" w:eastAsia="Arial" w:hAnsi="Arial"/>
                  <w:sz w:val="18"/>
                  <w:szCs w:val="18"/>
                  <w:u w:val="single" w:color="auto"/>
                  <w:color w:val="0000FF"/>
                </w:rPr>
                <w:t>01</w:t>
              </w:r>
            </w:hyperlink>
          </w:p>
        </w:tc>
        <w:tc>
          <w:tcPr>
            <w:tcW w:w="100" w:type="dxa"/>
            <w:vAlign w:val="bottom"/>
            <w:shd w:val="clear" w:color="auto" w:fill="CCEEFF"/>
          </w:tcPr>
          <w:p>
            <w:pPr>
              <w:spacing w:after="0"/>
              <w:rPr>
                <w:sz w:val="17"/>
                <w:szCs w:val="17"/>
                <w:color w:val="auto"/>
              </w:rPr>
            </w:pPr>
          </w:p>
        </w:tc>
        <w:tc>
          <w:tcPr>
            <w:tcW w:w="9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3"/>
              </w:rPr>
              <w:t>Unofficial English Translation of RMB Working Capital Loan Contract dated as of July 25, 2023, by and between ACM Research,</w:t>
            </w:r>
          </w:p>
        </w:tc>
      </w:tr>
      <w:tr>
        <w:trPr>
          <w:trHeight w:val="222"/>
        </w:trPr>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0000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Inc. and China CITIC Bank Co., Ltd. Shanghai Bank (incorporated herein by reference to Exhibit 10.01 to the Current Report on</w:t>
            </w:r>
          </w:p>
        </w:tc>
      </w:tr>
      <w:tr>
        <w:trPr>
          <w:trHeight w:val="230"/>
        </w:trPr>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 8-K filed on July 31, 2023)</w:t>
            </w:r>
          </w:p>
        </w:tc>
      </w:tr>
      <w:tr>
        <w:trPr>
          <w:trHeight w:val="230"/>
        </w:trPr>
        <w:tc>
          <w:tcPr>
            <w:tcW w:w="1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01</w:t>
            </w:r>
          </w:p>
        </w:tc>
        <w:tc>
          <w:tcPr>
            <w:tcW w:w="100" w:type="dxa"/>
            <w:vAlign w:val="bottom"/>
            <w:shd w:val="clear" w:color="auto" w:fill="CCEEFF"/>
          </w:tcPr>
          <w:p>
            <w:pPr>
              <w:spacing w:after="0"/>
              <w:rPr>
                <w:sz w:val="19"/>
                <w:szCs w:val="19"/>
                <w:color w:val="auto"/>
              </w:rPr>
            </w:pPr>
          </w:p>
        </w:tc>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Certification of Principal Executive Officer Pursuant to Rules 13a-14(a) and 15d-14(a) under the Securities Exchange Act of 1934,</w:t>
            </w: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0000EE"/>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03"/>
        </w:trPr>
        <w:tc>
          <w:tcPr>
            <w:tcW w:w="1580" w:type="dxa"/>
            <w:vAlign w:val="bottom"/>
            <w:gridSpan w:val="3"/>
          </w:tcPr>
          <w:p>
            <w:pPr>
              <w:ind w:left="20"/>
              <w:spacing w:after="0" w:line="202"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02</w:t>
            </w:r>
          </w:p>
        </w:tc>
        <w:tc>
          <w:tcPr>
            <w:tcW w:w="100" w:type="dxa"/>
            <w:vAlign w:val="bottom"/>
          </w:tcPr>
          <w:p>
            <w:pPr>
              <w:spacing w:after="0"/>
              <w:rPr>
                <w:sz w:val="17"/>
                <w:szCs w:val="17"/>
                <w:color w:val="auto"/>
              </w:rPr>
            </w:pPr>
          </w:p>
        </w:tc>
        <w:tc>
          <w:tcPr>
            <w:tcW w:w="9560" w:type="dxa"/>
            <w:vAlign w:val="bottom"/>
          </w:tcPr>
          <w:p>
            <w:pPr>
              <w:ind w:left="20"/>
              <w:spacing w:after="0" w:line="202" w:lineRule="exact"/>
              <w:rPr>
                <w:sz w:val="20"/>
                <w:szCs w:val="20"/>
                <w:color w:val="auto"/>
              </w:rPr>
            </w:pPr>
            <w:r>
              <w:rPr>
                <w:rFonts w:ascii="Arial" w:cs="Arial" w:eastAsia="Arial" w:hAnsi="Arial"/>
                <w:sz w:val="18"/>
                <w:szCs w:val="18"/>
                <w:color w:val="auto"/>
                <w:w w:val="92"/>
              </w:rPr>
              <w:t>Certification of Principal Financial Officer Pursuant to Rules 13a-14(a) and 15d-14(a) under the Securities Exchange Act of 1934,</w:t>
            </w:r>
          </w:p>
        </w:tc>
      </w:tr>
      <w:tr>
        <w:trPr>
          <w:trHeight w:val="237"/>
        </w:trPr>
        <w:tc>
          <w:tcPr>
            <w:tcW w:w="2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03"/>
        </w:trPr>
        <w:tc>
          <w:tcPr>
            <w:tcW w:w="1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01</w:t>
            </w:r>
          </w:p>
        </w:tc>
        <w:tc>
          <w:tcPr>
            <w:tcW w:w="100" w:type="dxa"/>
            <w:vAlign w:val="bottom"/>
            <w:shd w:val="clear" w:color="auto" w:fill="CCEEFF"/>
          </w:tcPr>
          <w:p>
            <w:pPr>
              <w:spacing w:after="0"/>
              <w:rPr>
                <w:sz w:val="17"/>
                <w:szCs w:val="17"/>
                <w:color w:val="auto"/>
              </w:rPr>
            </w:pPr>
          </w:p>
        </w:tc>
        <w:tc>
          <w:tcPr>
            <w:tcW w:w="9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8"/>
              </w:rPr>
              <w:t>Certification of Principal Executive Officer and Principal Financial Officer Pursuant to 18 U.S.C. Section 1350, as Adopted</w:t>
            </w: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0000EE"/>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29"/>
        </w:trPr>
        <w:tc>
          <w:tcPr>
            <w:tcW w:w="20" w:type="dxa"/>
            <w:vAlign w:val="bottom"/>
          </w:tcPr>
          <w:p>
            <w:pPr>
              <w:spacing w:after="0"/>
              <w:rPr>
                <w:sz w:val="19"/>
                <w:szCs w:val="19"/>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9"/>
                <w:szCs w:val="19"/>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 XBRL tags are</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embedded within the Inline XBRL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2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1"/>
                <w:szCs w:val="21"/>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2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1"/>
                <w:szCs w:val="21"/>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44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ACM RESEARCH, INC.</w:t>
      </w:r>
    </w:p>
    <w:p>
      <w:pPr>
        <w:spacing w:after="0" w:line="63" w:lineRule="exact"/>
        <w:rPr>
          <w:sz w:val="20"/>
          <w:szCs w:val="20"/>
          <w:color w:val="auto"/>
        </w:rPr>
      </w:pPr>
    </w:p>
    <w:p>
      <w:pPr>
        <w:ind w:left="20"/>
        <w:spacing w:after="0"/>
        <w:tabs>
          <w:tab w:leader="none" w:pos="4720" w:val="left"/>
          <w:tab w:leader="none" w:pos="546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31750</wp:posOffset>
            </wp:positionV>
            <wp:extent cx="366903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669030" cy="17145"/>
                    </a:xfrm>
                    <a:prstGeom prst="rect">
                      <a:avLst/>
                    </a:prstGeom>
                    <a:noFill/>
                  </pic:spPr>
                </pic:pic>
              </a:graphicData>
            </a:graphic>
          </wp:anchor>
        </w:drawing>
      </w:r>
    </w:p>
    <w:p>
      <w:pPr>
        <w:spacing w:after="0" w:line="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Mark McKechnie</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Financial Officer, Executive Vice President and</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H. Wang,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ACM Research,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left="34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340" w:hanging="332"/>
        <w:spacing w:after="0" w:line="277" w:lineRule="auto"/>
        <w:tabs>
          <w:tab w:leader="none" w:pos="33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381444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814445" cy="1714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David H. Wang</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 and President</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3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McKechnie,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ACM Research,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37"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37"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left="34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sz w:val="20"/>
          <w:szCs w:val="20"/>
          <w:color w:val="auto"/>
        </w:rPr>
      </w:pPr>
    </w:p>
    <w:p>
      <w:pPr>
        <w:ind w:left="340" w:hanging="332"/>
        <w:spacing w:after="0" w:line="277" w:lineRule="auto"/>
        <w:tabs>
          <w:tab w:leader="none" w:pos="33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6"/>
          <w:szCs w:val="16"/>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381444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814445" cy="1714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Mark McKechnie</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Financial Officer, Executive Vice President and Treasurer</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14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ACM Research, Inc. for the quarterly period ended September 30, 2023,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84"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ACM Research, Inc. for the period presented therein.</w:t>
      </w:r>
    </w:p>
    <w:p>
      <w:pPr>
        <w:spacing w:after="0" w:line="224"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381444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814445" cy="1714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David H. Wang</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 and President</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Executive Officer)</w:t>
      </w:r>
    </w:p>
    <w:p>
      <w:pPr>
        <w:spacing w:after="0" w:line="320"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6"/>
          <w:szCs w:val="16"/>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381444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814445" cy="1714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Mark McKechnie</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Financial Officer, Executive Vice President and Treasurer</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Financial Officer)</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lvl w:ilvl="1">
      <w:lvlJc w:val="left"/>
      <w:lvlText w:val="%2."/>
      <w:numFmt w:val="decimal"/>
      <w:start w:val="1"/>
    </w:lvl>
  </w:abstractNum>
  <w:abstractNum w:abstractNumId="4">
    <w:nsid w:val="2D1D5AE9"/>
    <w:multiLevelType w:val="hybridMultilevel"/>
    <w:lvl w:ilvl="0">
      <w:lvlJc w:val="left"/>
      <w:lvlText w:val="%1."/>
      <w:numFmt w:val="decimal"/>
      <w:start w:val="2"/>
    </w:lvl>
    <w:lvl w:ilvl="1">
      <w:lvlJc w:val="left"/>
      <w:lvlText w:val="%2"/>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lowerRoman"/>
      <w:start w:val="2"/>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lvl w:ilvl="1">
      <w:lvlJc w:val="left"/>
      <w:lvlText w:val="%2."/>
      <w:numFmt w:val="decimal"/>
      <w:start w:val="1"/>
    </w:lvl>
  </w:abstractNum>
  <w:abstractNum w:abstractNumId="11">
    <w:nsid w:val="189A769B"/>
    <w:multiLevelType w:val="hybridMultilevel"/>
    <w:lvl w:ilvl="0">
      <w:lvlJc w:val="left"/>
      <w:lvlText w:val="%1."/>
      <w:numFmt w:val="decimal"/>
      <w:start w:val="2"/>
    </w:lvl>
    <w:lvl w:ilvl="1">
      <w:lvlJc w:val="left"/>
      <w:lvlText w:val="%2"/>
      <w:numFmt w:val="decimal"/>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2"/>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lvl w:ilvl="1">
      <w:lvlJc w:val="left"/>
      <w:lvlText w:val="(%2)"/>
      <w:numFmt w:val="lowerLetter"/>
      <w:start w:val="2"/>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decimal"/>
      <w:start w:val="5"/>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decimal"/>
      <w:start w:val="5"/>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06" Type="http://schemas.openxmlformats.org/officeDocument/2006/relationships/hyperlink" Target="https://www.sec.gov/Archives/edgar/data/1680062/000114036123037101/brhc20055674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2023-11-08T15:20:02Z</dcterms:created>
  <dcterms:modified xsi:type="dcterms:W3CDTF">2023-11-08T15:20:02Z</dcterms:modified>
</cp:coreProperties>
</file>