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161290</wp:posOffset>
            </wp:positionV>
            <wp:extent cx="71412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273685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(Mark One)</w:t>
      </w:r>
    </w:p>
    <w:p>
      <w:pPr>
        <w:ind w:left="460" w:right="2220" w:hanging="459"/>
        <w:spacing w:after="0" w:line="250" w:lineRule="auto"/>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3" w:lineRule="exact"/>
        <w:rPr>
          <w:sz w:val="24"/>
          <w:szCs w:val="24"/>
          <w:color w:val="auto"/>
        </w:rPr>
      </w:pPr>
    </w:p>
    <w:p>
      <w:pPr>
        <w:ind w:left="460" w:right="2220" w:hanging="459"/>
        <w:spacing w:after="0" w:line="261"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3330575</wp:posOffset>
            </wp:positionH>
            <wp:positionV relativeFrom="paragraph">
              <wp:posOffset>142875</wp:posOffset>
            </wp:positionV>
            <wp:extent cx="489585" cy="30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9585" cy="304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ACM Research,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206"/>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91"/>
              </w:rPr>
              <w:t>Delaware</w:t>
            </w:r>
          </w:p>
        </w:tc>
        <w:tc>
          <w:tcPr>
            <w:tcW w:w="3620" w:type="dxa"/>
            <w:vAlign w:val="bottom"/>
          </w:tcPr>
          <w:p>
            <w:pPr>
              <w:jc w:val="right"/>
              <w:ind w:right="716"/>
              <w:spacing w:after="0"/>
              <w:rPr>
                <w:sz w:val="20"/>
                <w:szCs w:val="20"/>
                <w:color w:val="auto"/>
              </w:rPr>
            </w:pPr>
            <w:r>
              <w:rPr>
                <w:rFonts w:ascii="Arial" w:cs="Arial" w:eastAsia="Arial" w:hAnsi="Arial"/>
                <w:sz w:val="17"/>
                <w:szCs w:val="17"/>
                <w:b w:val="1"/>
                <w:bCs w:val="1"/>
                <w:color w:val="auto"/>
              </w:rPr>
              <w:t>94-3290283</w:t>
            </w:r>
          </w:p>
        </w:tc>
      </w:tr>
      <w:tr>
        <w:trPr>
          <w:trHeight w:val="214"/>
        </w:trPr>
        <w:tc>
          <w:tcPr>
            <w:tcW w:w="5420" w:type="dxa"/>
            <w:vAlign w:val="bottom"/>
          </w:tcPr>
          <w:p>
            <w:pPr>
              <w:jc w:val="center"/>
              <w:ind w:right="1136"/>
              <w:spacing w:after="0"/>
              <w:rPr>
                <w:sz w:val="20"/>
                <w:szCs w:val="20"/>
                <w:color w:val="auto"/>
              </w:rPr>
            </w:pPr>
            <w:r>
              <w:rPr>
                <w:rFonts w:ascii="Arial" w:cs="Arial" w:eastAsia="Arial" w:hAnsi="Arial"/>
                <w:sz w:val="17"/>
                <w:szCs w:val="17"/>
                <w:i w:val="1"/>
                <w:iCs w:val="1"/>
                <w:color w:val="auto"/>
                <w:w w:val="92"/>
              </w:rPr>
              <w:t>(State or Other Jurisdiction of Incorporation or Organization)</w:t>
            </w:r>
          </w:p>
        </w:tc>
        <w:tc>
          <w:tcPr>
            <w:tcW w:w="3620" w:type="dxa"/>
            <w:vAlign w:val="bottom"/>
          </w:tcPr>
          <w:p>
            <w:pPr>
              <w:jc w:val="center"/>
              <w:ind w:left="1116"/>
              <w:spacing w:after="0"/>
              <w:rPr>
                <w:sz w:val="20"/>
                <w:szCs w:val="20"/>
                <w:color w:val="auto"/>
              </w:rPr>
            </w:pPr>
            <w:r>
              <w:rPr>
                <w:rFonts w:ascii="Arial" w:cs="Arial" w:eastAsia="Arial" w:hAnsi="Arial"/>
                <w:sz w:val="17"/>
                <w:szCs w:val="17"/>
                <w:i w:val="1"/>
                <w:iCs w:val="1"/>
                <w:color w:val="auto"/>
                <w:w w:val="92"/>
              </w:rPr>
              <w:t>(I.R.S. Employer Identification No.)</w:t>
            </w:r>
          </w:p>
        </w:tc>
      </w:tr>
      <w:tr>
        <w:trPr>
          <w:trHeight w:val="388"/>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89"/>
              </w:rPr>
              <w:t>42307 Osgood Road, Suite I</w:t>
            </w:r>
          </w:p>
        </w:tc>
        <w:tc>
          <w:tcPr>
            <w:tcW w:w="3620" w:type="dxa"/>
            <w:vAlign w:val="bottom"/>
          </w:tcPr>
          <w:p>
            <w:pPr>
              <w:spacing w:after="0"/>
              <w:rPr>
                <w:sz w:val="24"/>
                <w:szCs w:val="24"/>
                <w:color w:val="auto"/>
              </w:rPr>
            </w:pPr>
          </w:p>
        </w:tc>
      </w:tr>
      <w:tr>
        <w:trPr>
          <w:trHeight w:val="206"/>
        </w:trPr>
        <w:tc>
          <w:tcPr>
            <w:tcW w:w="5420" w:type="dxa"/>
            <w:vAlign w:val="bottom"/>
          </w:tcPr>
          <w:p>
            <w:pPr>
              <w:jc w:val="center"/>
              <w:ind w:right="1136"/>
              <w:spacing w:after="0"/>
              <w:rPr>
                <w:sz w:val="20"/>
                <w:szCs w:val="20"/>
                <w:color w:val="auto"/>
              </w:rPr>
            </w:pPr>
            <w:r>
              <w:rPr>
                <w:rFonts w:ascii="Arial" w:cs="Arial" w:eastAsia="Arial" w:hAnsi="Arial"/>
                <w:sz w:val="17"/>
                <w:szCs w:val="17"/>
                <w:b w:val="1"/>
                <w:bCs w:val="1"/>
                <w:color w:val="auto"/>
                <w:w w:val="92"/>
              </w:rPr>
              <w:t>Fremont, California</w:t>
            </w:r>
          </w:p>
        </w:tc>
        <w:tc>
          <w:tcPr>
            <w:tcW w:w="3620" w:type="dxa"/>
            <w:vAlign w:val="bottom"/>
          </w:tcPr>
          <w:p>
            <w:pPr>
              <w:jc w:val="right"/>
              <w:ind w:right="916"/>
              <w:spacing w:after="0"/>
              <w:rPr>
                <w:sz w:val="20"/>
                <w:szCs w:val="20"/>
                <w:color w:val="auto"/>
              </w:rPr>
            </w:pPr>
            <w:r>
              <w:rPr>
                <w:rFonts w:ascii="Arial" w:cs="Arial" w:eastAsia="Arial" w:hAnsi="Arial"/>
                <w:sz w:val="17"/>
                <w:szCs w:val="17"/>
                <w:b w:val="1"/>
                <w:bCs w:val="1"/>
                <w:color w:val="auto"/>
              </w:rPr>
              <w:t>94539</w:t>
            </w:r>
          </w:p>
        </w:tc>
      </w:tr>
      <w:tr>
        <w:trPr>
          <w:trHeight w:val="214"/>
        </w:trPr>
        <w:tc>
          <w:tcPr>
            <w:tcW w:w="5420" w:type="dxa"/>
            <w:vAlign w:val="bottom"/>
          </w:tcPr>
          <w:p>
            <w:pPr>
              <w:jc w:val="center"/>
              <w:ind w:right="1136"/>
              <w:spacing w:after="0"/>
              <w:rPr>
                <w:sz w:val="20"/>
                <w:szCs w:val="20"/>
                <w:color w:val="auto"/>
              </w:rPr>
            </w:pPr>
            <w:r>
              <w:rPr>
                <w:rFonts w:ascii="Arial" w:cs="Arial" w:eastAsia="Arial" w:hAnsi="Arial"/>
                <w:sz w:val="17"/>
                <w:szCs w:val="17"/>
                <w:i w:val="1"/>
                <w:iCs w:val="1"/>
                <w:color w:val="auto"/>
                <w:w w:val="91"/>
              </w:rPr>
              <w:t>(Address of Principal Executive Offices)</w:t>
            </w:r>
          </w:p>
        </w:tc>
        <w:tc>
          <w:tcPr>
            <w:tcW w:w="3620" w:type="dxa"/>
            <w:vAlign w:val="bottom"/>
          </w:tcPr>
          <w:p>
            <w:pPr>
              <w:jc w:val="center"/>
              <w:ind w:left="1116"/>
              <w:spacing w:after="0"/>
              <w:rPr>
                <w:sz w:val="20"/>
                <w:szCs w:val="20"/>
                <w:color w:val="auto"/>
              </w:rPr>
            </w:pPr>
            <w:r>
              <w:rPr>
                <w:rFonts w:ascii="Arial" w:cs="Arial" w:eastAsia="Arial" w:hAnsi="Arial"/>
                <w:sz w:val="17"/>
                <w:szCs w:val="17"/>
                <w:i w:val="1"/>
                <w:iCs w:val="1"/>
                <w:color w:val="auto"/>
                <w:w w:val="92"/>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 xml:space="preserve">Registrant’s telephone number, including area code: </w:t>
      </w:r>
      <w:r>
        <w:rPr>
          <w:rFonts w:ascii="Arial" w:cs="Arial" w:eastAsia="Arial" w:hAnsi="Arial"/>
          <w:sz w:val="17"/>
          <w:szCs w:val="17"/>
          <w:b w:val="1"/>
          <w:bCs w:val="1"/>
          <w:color w:val="auto"/>
        </w:rPr>
        <w:t>(510) 445-3700</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w w:val="89"/>
              </w:rPr>
              <w:t>Securities registered pursuant to Section 12(b) of the Act:</w:t>
            </w:r>
          </w:p>
        </w:tc>
        <w:tc>
          <w:tcPr>
            <w:tcW w:w="3660" w:type="dxa"/>
            <w:vAlign w:val="bottom"/>
          </w:tcPr>
          <w:p>
            <w:pPr>
              <w:spacing w:after="0"/>
              <w:rPr>
                <w:sz w:val="18"/>
                <w:szCs w:val="18"/>
                <w:color w:val="auto"/>
              </w:rPr>
            </w:pPr>
          </w:p>
        </w:tc>
      </w:tr>
      <w:tr>
        <w:trPr>
          <w:trHeight w:val="410"/>
        </w:trPr>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Title of Each Class</w:t>
            </w:r>
          </w:p>
        </w:tc>
        <w:tc>
          <w:tcPr>
            <w:tcW w:w="406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Trading Symbol</w:t>
            </w:r>
          </w:p>
        </w:tc>
        <w:tc>
          <w:tcPr>
            <w:tcW w:w="3660" w:type="dxa"/>
            <w:vAlign w:val="bottom"/>
          </w:tcPr>
          <w:p>
            <w:pPr>
              <w:jc w:val="center"/>
              <w:ind w:right="476"/>
              <w:spacing w:after="0"/>
              <w:rPr>
                <w:sz w:val="20"/>
                <w:szCs w:val="20"/>
                <w:color w:val="auto"/>
              </w:rPr>
            </w:pPr>
            <w:r>
              <w:rPr>
                <w:rFonts w:ascii="Arial" w:cs="Arial" w:eastAsia="Arial" w:hAnsi="Arial"/>
                <w:sz w:val="17"/>
                <w:szCs w:val="17"/>
                <w:color w:val="auto"/>
                <w:w w:val="89"/>
              </w:rPr>
              <w:t>Name of Each Exchange on which Registered</w:t>
            </w:r>
          </w:p>
        </w:tc>
      </w:tr>
      <w:tr>
        <w:trPr>
          <w:trHeight w:val="218"/>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Class A Common Stock, $0.0001 par value</w:t>
            </w:r>
          </w:p>
        </w:tc>
        <w:tc>
          <w:tcPr>
            <w:tcW w:w="12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ACMR</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jc w:val="center"/>
              <w:ind w:right="476"/>
              <w:spacing w:after="0"/>
              <w:rPr>
                <w:sz w:val="20"/>
                <w:szCs w:val="20"/>
                <w:color w:val="auto"/>
              </w:rPr>
            </w:pPr>
            <w:r>
              <w:rPr>
                <w:rFonts w:ascii="Arial" w:cs="Arial" w:eastAsia="Arial" w:hAnsi="Arial"/>
                <w:sz w:val="17"/>
                <w:szCs w:val="17"/>
                <w:b w:val="1"/>
                <w:bCs w:val="1"/>
                <w:color w:val="auto"/>
                <w:w w:val="95"/>
              </w:rPr>
              <w:t>The NASDAQ Stock Market LLC</w:t>
            </w:r>
          </w:p>
        </w:tc>
      </w:tr>
    </w:tbl>
    <w:p>
      <w:pPr>
        <w:spacing w:after="0" w:line="174" w:lineRule="exact"/>
        <w:rPr>
          <w:sz w:val="24"/>
          <w:szCs w:val="24"/>
          <w:color w:val="auto"/>
        </w:r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2" w:lineRule="exact"/>
        <w:rPr>
          <w:sz w:val="24"/>
          <w:szCs w:val="24"/>
          <w:color w:val="auto"/>
        </w:rPr>
      </w:pPr>
    </w:p>
    <w:p>
      <w:pPr>
        <w:jc w:val="both"/>
        <w:spacing w:after="0" w:line="25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560" w:type="dxa"/>
        <w:tblCellMar>
          <w:top w:w="0" w:type="dxa"/>
          <w:left w:w="0" w:type="dxa"/>
          <w:bottom w:w="0" w:type="dxa"/>
          <w:right w:w="0" w:type="dxa"/>
        </w:tblCellMar>
      </w:tblPr>
      <w:tr>
        <w:trPr>
          <w:trHeight w:val="202"/>
        </w:trPr>
        <w:tc>
          <w:tcPr>
            <w:tcW w:w="1560" w:type="dxa"/>
            <w:vAlign w:val="bottom"/>
          </w:tcPr>
          <w:p>
            <w:pPr>
              <w:spacing w:after="0"/>
              <w:rPr>
                <w:sz w:val="20"/>
                <w:szCs w:val="20"/>
                <w:color w:val="auto"/>
              </w:rPr>
            </w:pPr>
            <w:r>
              <w:rPr>
                <w:rFonts w:ascii="Arial" w:cs="Arial" w:eastAsia="Arial" w:hAnsi="Arial"/>
                <w:sz w:val="17"/>
                <w:szCs w:val="17"/>
                <w:color w:val="auto"/>
                <w:w w:val="91"/>
              </w:rPr>
              <w:t>Large accelerated filer</w:t>
            </w:r>
          </w:p>
        </w:tc>
        <w:tc>
          <w:tcPr>
            <w:tcW w:w="29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2"/>
        </w:trPr>
        <w:tc>
          <w:tcPr>
            <w:tcW w:w="1560" w:type="dxa"/>
            <w:vAlign w:val="bottom"/>
          </w:tcPr>
          <w:p>
            <w:pPr>
              <w:spacing w:after="0"/>
              <w:rPr>
                <w:sz w:val="20"/>
                <w:szCs w:val="20"/>
                <w:color w:val="auto"/>
              </w:rPr>
            </w:pPr>
            <w:r>
              <w:rPr>
                <w:rFonts w:ascii="Arial" w:cs="Arial" w:eastAsia="Arial" w:hAnsi="Arial"/>
                <w:sz w:val="17"/>
                <w:szCs w:val="17"/>
                <w:color w:val="auto"/>
                <w:w w:val="98"/>
              </w:rPr>
              <w:t>Non-accelerated filer</w:t>
            </w:r>
          </w:p>
        </w:tc>
        <w:tc>
          <w:tcPr>
            <w:tcW w:w="29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8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4"/>
        </w:trPr>
        <w:tc>
          <w:tcPr>
            <w:tcW w:w="15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060" w:type="dxa"/>
            <w:vAlign w:val="bottom"/>
          </w:tcPr>
          <w:p>
            <w:pPr>
              <w:ind w:left="278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2"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900" w:type="dxa"/>
            <w:vAlign w:val="bottom"/>
            <w:gridSpan w:val="2"/>
          </w:tcPr>
          <w:p>
            <w:pPr>
              <w:jc w:val="center"/>
              <w:ind w:right="2520"/>
              <w:spacing w:after="0"/>
              <w:rPr>
                <w:sz w:val="20"/>
                <w:szCs w:val="20"/>
                <w:color w:val="auto"/>
              </w:rPr>
            </w:pPr>
            <w:r>
              <w:rPr>
                <w:rFonts w:ascii="Arial" w:cs="Arial" w:eastAsia="Arial" w:hAnsi="Arial"/>
                <w:sz w:val="17"/>
                <w:szCs w:val="17"/>
                <w:b w:val="1"/>
                <w:bCs w:val="1"/>
                <w:color w:val="auto"/>
                <w:w w:val="83"/>
              </w:rPr>
              <w:t>Class</w:t>
            </w:r>
          </w:p>
        </w:tc>
        <w:tc>
          <w:tcPr>
            <w:tcW w:w="5720" w:type="dxa"/>
            <w:vAlign w:val="bottom"/>
            <w:gridSpan w:val="3"/>
          </w:tcPr>
          <w:p>
            <w:pPr>
              <w:jc w:val="center"/>
              <w:ind w:left="36"/>
              <w:spacing w:after="0"/>
              <w:rPr>
                <w:sz w:val="20"/>
                <w:szCs w:val="20"/>
                <w:color w:val="auto"/>
              </w:rPr>
            </w:pPr>
            <w:r>
              <w:rPr>
                <w:rFonts w:ascii="Arial" w:cs="Arial" w:eastAsia="Arial" w:hAnsi="Arial"/>
                <w:sz w:val="17"/>
                <w:szCs w:val="17"/>
                <w:b w:val="1"/>
                <w:bCs w:val="1"/>
                <w:color w:val="auto"/>
                <w:w w:val="89"/>
              </w:rPr>
              <w:t>Number of Shares Outstanding</w:t>
            </w: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8"/>
        </w:trPr>
        <w:tc>
          <w:tcPr>
            <w:tcW w:w="5520" w:type="dxa"/>
            <w:vAlign w:val="bottom"/>
            <w:gridSpan w:val="3"/>
          </w:tcPr>
          <w:p>
            <w:pPr>
              <w:jc w:val="center"/>
              <w:ind w:left="36"/>
              <w:spacing w:after="0"/>
              <w:rPr>
                <w:sz w:val="20"/>
                <w:szCs w:val="20"/>
                <w:color w:val="auto"/>
              </w:rPr>
            </w:pPr>
            <w:r>
              <w:rPr>
                <w:rFonts w:ascii="Arial" w:cs="Arial" w:eastAsia="Arial" w:hAnsi="Arial"/>
                <w:sz w:val="17"/>
                <w:szCs w:val="17"/>
                <w:color w:val="auto"/>
                <w:w w:val="89"/>
              </w:rPr>
              <w:t>Class A Common Stock, $0.0001 par value</w:t>
            </w:r>
          </w:p>
        </w:tc>
        <w:tc>
          <w:tcPr>
            <w:tcW w:w="5720" w:type="dxa"/>
            <w:vAlign w:val="bottom"/>
            <w:gridSpan w:val="3"/>
          </w:tcPr>
          <w:p>
            <w:pPr>
              <w:jc w:val="center"/>
              <w:ind w:left="36"/>
              <w:spacing w:after="0"/>
              <w:rPr>
                <w:sz w:val="20"/>
                <w:szCs w:val="20"/>
                <w:color w:val="auto"/>
              </w:rPr>
            </w:pPr>
            <w:r>
              <w:rPr>
                <w:rFonts w:ascii="Arial" w:cs="Arial" w:eastAsia="Arial" w:hAnsi="Arial"/>
                <w:sz w:val="17"/>
                <w:szCs w:val="17"/>
                <w:color w:val="auto"/>
                <w:w w:val="88"/>
              </w:rPr>
              <w:t>54,074,653 shares outstanding as of May 3, 2022</w:t>
            </w:r>
          </w:p>
        </w:tc>
      </w:tr>
      <w:tr>
        <w:trPr>
          <w:trHeight w:val="214"/>
        </w:trPr>
        <w:tc>
          <w:tcPr>
            <w:tcW w:w="5520" w:type="dxa"/>
            <w:vAlign w:val="bottom"/>
            <w:gridSpan w:val="3"/>
          </w:tcPr>
          <w:p>
            <w:pPr>
              <w:jc w:val="center"/>
              <w:ind w:left="16"/>
              <w:spacing w:after="0"/>
              <w:rPr>
                <w:sz w:val="20"/>
                <w:szCs w:val="20"/>
                <w:color w:val="auto"/>
              </w:rPr>
            </w:pPr>
            <w:r>
              <w:rPr>
                <w:rFonts w:ascii="Arial" w:cs="Arial" w:eastAsia="Arial" w:hAnsi="Arial"/>
                <w:sz w:val="17"/>
                <w:szCs w:val="17"/>
                <w:color w:val="auto"/>
                <w:w w:val="89"/>
              </w:rPr>
              <w:t>Class B Common Stock, $0.0001 par value</w:t>
            </w:r>
          </w:p>
        </w:tc>
        <w:tc>
          <w:tcPr>
            <w:tcW w:w="5720" w:type="dxa"/>
            <w:vAlign w:val="bottom"/>
            <w:gridSpan w:val="3"/>
          </w:tcPr>
          <w:p>
            <w:pPr>
              <w:jc w:val="center"/>
              <w:ind w:left="16"/>
              <w:spacing w:after="0"/>
              <w:rPr>
                <w:sz w:val="20"/>
                <w:szCs w:val="20"/>
                <w:color w:val="auto"/>
              </w:rPr>
            </w:pPr>
            <w:r>
              <w:rPr>
                <w:rFonts w:ascii="Arial" w:cs="Arial" w:eastAsia="Arial" w:hAnsi="Arial"/>
                <w:sz w:val="17"/>
                <w:szCs w:val="17"/>
                <w:color w:val="auto"/>
                <w:w w:val="88"/>
              </w:rPr>
              <w:t>5,086,812 shares outstanding as of May 3, 2022</w:t>
            </w:r>
          </w:p>
        </w:tc>
      </w:tr>
      <w:tr>
        <w:trPr>
          <w:trHeight w:val="279"/>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50"/>
        </w:trPr>
        <w:tc>
          <w:tcPr>
            <w:tcW w:w="2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435"/>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8"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80" w:type="dxa"/>
            <w:vAlign w:val="bottom"/>
            <w:gridSpan w:val="9"/>
          </w:tcPr>
          <w:p>
            <w:pPr>
              <w:ind w:left="136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120" w:type="dxa"/>
            <w:vAlign w:val="bottom"/>
            <w:gridSpan w:val="2"/>
            <w:shd w:val="clear" w:color="auto" w:fill="CCEEFF"/>
          </w:tcPr>
          <w:p>
            <w:pPr>
              <w:spacing w:after="0" w:line="164" w:lineRule="exact"/>
              <w:rPr>
                <w:sz w:val="20"/>
                <w:szCs w:val="20"/>
                <w:color w:val="auto"/>
              </w:rPr>
            </w:pPr>
            <w:r>
              <w:rPr>
                <w:rFonts w:ascii="Arial" w:cs="Arial" w:eastAsia="Arial" w:hAnsi="Arial"/>
                <w:sz w:val="17"/>
                <w:szCs w:val="17"/>
                <w:color w:val="auto"/>
              </w:rPr>
              <w:t>PART I.</w:t>
            </w:r>
          </w:p>
        </w:tc>
        <w:tc>
          <w:tcPr>
            <w:tcW w:w="9500" w:type="dxa"/>
            <w:vAlign w:val="bottom"/>
            <w:gridSpan w:val="16"/>
            <w:shd w:val="clear" w:color="auto" w:fill="CCEEFF"/>
          </w:tcPr>
          <w:p>
            <w:pPr>
              <w:spacing w:after="0" w:line="164" w:lineRule="exact"/>
              <w:rPr>
                <w:rFonts w:ascii="Arial" w:cs="Arial" w:eastAsia="Arial" w:hAnsi="Arial"/>
                <w:sz w:val="17"/>
                <w:szCs w:val="17"/>
                <w:color w:val="0000EE"/>
              </w:rPr>
            </w:pPr>
            <w:hyperlink w:anchor="page4">
              <w:r>
                <w:rPr>
                  <w:rFonts w:ascii="Arial" w:cs="Arial" w:eastAsia="Arial" w:hAnsi="Arial"/>
                  <w:sz w:val="17"/>
                  <w:szCs w:val="17"/>
                  <w:color w:val="0000EE"/>
                </w:rPr>
                <w:t>FINANCIAL INFORMATION</w:t>
              </w:r>
            </w:hyperlink>
          </w:p>
        </w:tc>
        <w:tc>
          <w:tcPr>
            <w:tcW w:w="60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1.</w:t>
            </w:r>
          </w:p>
        </w:tc>
        <w:tc>
          <w:tcPr>
            <w:tcW w:w="9500" w:type="dxa"/>
            <w:vAlign w:val="bottom"/>
            <w:gridSpan w:val="16"/>
          </w:tcPr>
          <w:p>
            <w:pPr>
              <w:spacing w:after="0" w:line="164" w:lineRule="exact"/>
              <w:rPr>
                <w:rFonts w:ascii="Arial" w:cs="Arial" w:eastAsia="Arial" w:hAnsi="Arial"/>
                <w:sz w:val="17"/>
                <w:szCs w:val="17"/>
                <w:color w:val="0000EE"/>
              </w:rPr>
            </w:pPr>
            <w:hyperlink w:anchor="page4">
              <w:r>
                <w:rPr>
                  <w:rFonts w:ascii="Arial" w:cs="Arial" w:eastAsia="Arial" w:hAnsi="Arial"/>
                  <w:sz w:val="17"/>
                  <w:szCs w:val="17"/>
                  <w:color w:val="0000EE"/>
                </w:rPr>
                <w:t>Financial Statements (unaudited)</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0000EE"/>
            </w:tcBorders>
            <w:gridSpan w:val="11"/>
            <w:shd w:val="clear" w:color="auto" w:fill="CCEEFF"/>
          </w:tcPr>
          <w:p>
            <w:pPr>
              <w:spacing w:after="0" w:line="182" w:lineRule="exact"/>
              <w:rPr>
                <w:rFonts w:ascii="Arial" w:cs="Arial" w:eastAsia="Arial" w:hAnsi="Arial"/>
                <w:sz w:val="17"/>
                <w:szCs w:val="17"/>
                <w:color w:val="0000EE"/>
                <w:w w:val="87"/>
              </w:rPr>
            </w:pPr>
            <w:hyperlink w:anchor="page4">
              <w:r>
                <w:rPr>
                  <w:rFonts w:ascii="Arial" w:cs="Arial" w:eastAsia="Arial" w:hAnsi="Arial"/>
                  <w:sz w:val="17"/>
                  <w:szCs w:val="17"/>
                  <w:color w:val="0000EE"/>
                  <w:w w:val="87"/>
                </w:rPr>
                <w:t>Condensed Consolidated Balance Sheets as of March 31, 2022 and December 31, 2021</w:t>
              </w:r>
            </w:hyperlink>
          </w:p>
        </w:tc>
        <w:tc>
          <w:tcPr>
            <w:tcW w:w="362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500" w:type="dxa"/>
            <w:vAlign w:val="bottom"/>
            <w:gridSpan w:val="16"/>
          </w:tcPr>
          <w:p>
            <w:pPr>
              <w:spacing w:after="0" w:line="164" w:lineRule="exact"/>
              <w:rPr>
                <w:rFonts w:ascii="Arial" w:cs="Arial" w:eastAsia="Arial" w:hAnsi="Arial"/>
                <w:sz w:val="17"/>
                <w:szCs w:val="17"/>
                <w:color w:val="0000EE"/>
                <w:w w:val="92"/>
              </w:rPr>
            </w:pPr>
            <w:hyperlink w:anchor="page5">
              <w:r>
                <w:rPr>
                  <w:rFonts w:ascii="Arial" w:cs="Arial" w:eastAsia="Arial" w:hAnsi="Arial"/>
                  <w:sz w:val="17"/>
                  <w:szCs w:val="17"/>
                  <w:color w:val="0000EE"/>
                  <w:w w:val="92"/>
                </w:rPr>
                <w:t>Condensed Consolidated Statements of Operations and Comprehensive Income for the Three Months Ended March 31, 2022 and 2021</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40" w:type="dxa"/>
            <w:vAlign w:val="bottom"/>
            <w:tcBorders>
              <w:top w:val="single" w:sz="8" w:color="0000EE"/>
              <w:bottom w:val="single" w:sz="8" w:color="0000EE"/>
            </w:tcBorders>
            <w:gridSpan w:val="14"/>
            <w:shd w:val="clear" w:color="auto" w:fill="CCEEFF"/>
          </w:tcPr>
          <w:p>
            <w:pPr>
              <w:spacing w:after="0" w:line="182" w:lineRule="exact"/>
              <w:rPr>
                <w:rFonts w:ascii="Arial" w:cs="Arial" w:eastAsia="Arial" w:hAnsi="Arial"/>
                <w:sz w:val="17"/>
                <w:szCs w:val="17"/>
                <w:color w:val="0000EE"/>
                <w:w w:val="89"/>
              </w:rPr>
            </w:pPr>
            <w:hyperlink w:anchor="page6">
              <w:r>
                <w:rPr>
                  <w:rFonts w:ascii="Arial" w:cs="Arial" w:eastAsia="Arial" w:hAnsi="Arial"/>
                  <w:sz w:val="17"/>
                  <w:szCs w:val="17"/>
                  <w:color w:val="0000EE"/>
                  <w:w w:val="89"/>
                </w:rPr>
                <w:t>Condensed Consolidated Statements of Changes in Stockholders’ Equity for the Three Months Ended March 31, 2022 and 2021</w:t>
              </w:r>
            </w:hyperlink>
          </w:p>
        </w:tc>
        <w:tc>
          <w:tcPr>
            <w:tcW w:w="440" w:type="dxa"/>
            <w:vAlign w:val="bottom"/>
            <w:tcBorders>
              <w:top w:val="single" w:sz="8" w:color="0000EE"/>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500" w:type="dxa"/>
            <w:vAlign w:val="bottom"/>
            <w:gridSpan w:val="16"/>
          </w:tcPr>
          <w:p>
            <w:pPr>
              <w:spacing w:after="0" w:line="164" w:lineRule="exact"/>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Cash Flows for the Three Months Ended March 31, 2022 and 2021</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top w:val="single" w:sz="8" w:color="0000EE"/>
              <w:bottom w:val="single" w:sz="8" w:color="0000EE"/>
            </w:tcBorders>
            <w:gridSpan w:val="8"/>
            <w:shd w:val="clear" w:color="auto" w:fill="CCEEFF"/>
          </w:tcPr>
          <w:p>
            <w:pPr>
              <w:spacing w:after="0" w:line="182" w:lineRule="exact"/>
              <w:rPr>
                <w:rFonts w:ascii="Arial" w:cs="Arial" w:eastAsia="Arial" w:hAnsi="Arial"/>
                <w:sz w:val="17"/>
                <w:szCs w:val="17"/>
                <w:color w:val="0000EE"/>
                <w:w w:val="88"/>
              </w:rPr>
            </w:pPr>
            <w:hyperlink w:anchor="page8">
              <w:r>
                <w:rPr>
                  <w:rFonts w:ascii="Arial" w:cs="Arial" w:eastAsia="Arial" w:hAnsi="Arial"/>
                  <w:sz w:val="17"/>
                  <w:szCs w:val="17"/>
                  <w:color w:val="0000EE"/>
                  <w:w w:val="88"/>
                </w:rPr>
                <w:t>Notes to Condensed Consolidated Financial Statements</w:t>
              </w:r>
            </w:hyperlink>
          </w:p>
        </w:tc>
        <w:tc>
          <w:tcPr>
            <w:tcW w:w="346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230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2.</w:t>
            </w:r>
          </w:p>
        </w:tc>
        <w:tc>
          <w:tcPr>
            <w:tcW w:w="9500" w:type="dxa"/>
            <w:vAlign w:val="bottom"/>
            <w:gridSpan w:val="16"/>
          </w:tcPr>
          <w:p>
            <w:pPr>
              <w:spacing w:after="0" w:line="164" w:lineRule="exact"/>
              <w:rPr>
                <w:rFonts w:ascii="Arial" w:cs="Arial" w:eastAsia="Arial" w:hAnsi="Arial"/>
                <w:sz w:val="17"/>
                <w:szCs w:val="17"/>
                <w:color w:val="0000EE"/>
              </w:rPr>
            </w:pPr>
            <w:hyperlink w:anchor="page26">
              <w:r>
                <w:rPr>
                  <w:rFonts w:ascii="Arial" w:cs="Arial" w:eastAsia="Arial" w:hAnsi="Arial"/>
                  <w:sz w:val="17"/>
                  <w:szCs w:val="17"/>
                  <w:color w:val="0000EE"/>
                </w:rPr>
                <w:t>Management’s Discussion and Analysis of Financial Condition and Results of Operations</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240"/>
              <w:spacing w:after="0" w:line="182" w:lineRule="exact"/>
              <w:rPr>
                <w:sz w:val="20"/>
                <w:szCs w:val="20"/>
                <w:color w:val="auto"/>
              </w:rPr>
            </w:pPr>
            <w:r>
              <w:rPr>
                <w:rFonts w:ascii="Arial" w:cs="Arial" w:eastAsia="Arial" w:hAnsi="Arial"/>
                <w:sz w:val="17"/>
                <w:szCs w:val="17"/>
                <w:color w:val="auto"/>
              </w:rPr>
              <w:t>Item 3.</w:t>
            </w:r>
          </w:p>
        </w:tc>
        <w:tc>
          <w:tcPr>
            <w:tcW w:w="4100" w:type="dxa"/>
            <w:vAlign w:val="bottom"/>
            <w:tcBorders>
              <w:top w:val="single" w:sz="8" w:color="0000EE"/>
              <w:bottom w:val="single" w:sz="8" w:color="0000EE"/>
            </w:tcBorders>
            <w:gridSpan w:val="10"/>
            <w:shd w:val="clear" w:color="auto" w:fill="CCEEFF"/>
          </w:tcPr>
          <w:p>
            <w:pPr>
              <w:spacing w:after="0" w:line="182" w:lineRule="exact"/>
              <w:rPr>
                <w:rFonts w:ascii="Arial" w:cs="Arial" w:eastAsia="Arial" w:hAnsi="Arial"/>
                <w:sz w:val="17"/>
                <w:szCs w:val="17"/>
                <w:color w:val="0000EE"/>
                <w:w w:val="90"/>
              </w:rPr>
            </w:pPr>
            <w:hyperlink w:anchor="page40">
              <w:r>
                <w:rPr>
                  <w:rFonts w:ascii="Arial" w:cs="Arial" w:eastAsia="Arial" w:hAnsi="Arial"/>
                  <w:sz w:val="17"/>
                  <w:szCs w:val="17"/>
                  <w:color w:val="0000EE"/>
                  <w:w w:val="90"/>
                </w:rPr>
                <w:t>Quantitative and Qualitative Disclosures about Market Risks</w:t>
              </w:r>
            </w:hyperlink>
          </w:p>
        </w:tc>
        <w:tc>
          <w:tcPr>
            <w:tcW w:w="194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346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4.</w:t>
            </w:r>
          </w:p>
        </w:tc>
        <w:tc>
          <w:tcPr>
            <w:tcW w:w="1660" w:type="dxa"/>
            <w:vAlign w:val="bottom"/>
            <w:tcBorders>
              <w:bottom w:val="single" w:sz="8" w:color="0000EE"/>
            </w:tcBorders>
            <w:gridSpan w:val="4"/>
          </w:tcPr>
          <w:p>
            <w:pPr>
              <w:spacing w:after="0" w:line="164" w:lineRule="exact"/>
              <w:rPr>
                <w:rFonts w:ascii="Arial" w:cs="Arial" w:eastAsia="Arial" w:hAnsi="Arial"/>
                <w:sz w:val="17"/>
                <w:szCs w:val="17"/>
                <w:color w:val="0000EE"/>
                <w:w w:val="87"/>
              </w:rPr>
            </w:pPr>
            <w:hyperlink w:anchor="page41">
              <w:r>
                <w:rPr>
                  <w:rFonts w:ascii="Arial" w:cs="Arial" w:eastAsia="Arial" w:hAnsi="Arial"/>
                  <w:sz w:val="17"/>
                  <w:szCs w:val="17"/>
                  <w:color w:val="0000EE"/>
                  <w:w w:val="87"/>
                </w:rPr>
                <w:t>Controls and Procedures</w:t>
              </w:r>
            </w:hyperlink>
          </w:p>
        </w:tc>
        <w:tc>
          <w:tcPr>
            <w:tcW w:w="7840" w:type="dxa"/>
            <w:vAlign w:val="bottom"/>
            <w:gridSpan w:val="12"/>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PART II.</w:t>
            </w:r>
          </w:p>
        </w:tc>
        <w:tc>
          <w:tcPr>
            <w:tcW w:w="9500" w:type="dxa"/>
            <w:vAlign w:val="bottom"/>
            <w:gridSpan w:val="16"/>
            <w:shd w:val="clear" w:color="auto" w:fill="CCEEFF"/>
          </w:tcPr>
          <w:p>
            <w:pPr>
              <w:spacing w:after="0" w:line="182" w:lineRule="exact"/>
              <w:rPr>
                <w:rFonts w:ascii="Arial" w:cs="Arial" w:eastAsia="Arial" w:hAnsi="Arial"/>
                <w:sz w:val="17"/>
                <w:szCs w:val="17"/>
                <w:color w:val="0000EE"/>
              </w:rPr>
            </w:pPr>
            <w:hyperlink w:anchor="page41">
              <w:r>
                <w:rPr>
                  <w:rFonts w:ascii="Arial" w:cs="Arial" w:eastAsia="Arial" w:hAnsi="Arial"/>
                  <w:sz w:val="17"/>
                  <w:szCs w:val="17"/>
                  <w:color w:val="0000EE"/>
                </w:rPr>
                <w:t>OTHER INFORMATION</w:t>
              </w:r>
            </w:hyperlink>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tcBorders>
              <w:top w:val="single" w:sz="8" w:color="CCEEFF"/>
            </w:tcBorders>
            <w:gridSpan w:val="2"/>
          </w:tcPr>
          <w:p>
            <w:pPr>
              <w:ind w:left="240"/>
              <w:spacing w:after="0" w:line="164" w:lineRule="exact"/>
              <w:rPr>
                <w:sz w:val="20"/>
                <w:szCs w:val="20"/>
                <w:color w:val="auto"/>
              </w:rPr>
            </w:pPr>
            <w:r>
              <w:rPr>
                <w:rFonts w:ascii="Arial" w:cs="Arial" w:eastAsia="Arial" w:hAnsi="Arial"/>
                <w:sz w:val="17"/>
                <w:szCs w:val="17"/>
                <w:color w:val="auto"/>
              </w:rPr>
              <w:t>Item 1.</w:t>
            </w:r>
          </w:p>
        </w:tc>
        <w:tc>
          <w:tcPr>
            <w:tcW w:w="1760" w:type="dxa"/>
            <w:vAlign w:val="bottom"/>
            <w:tcBorders>
              <w:top w:val="single" w:sz="8" w:color="0000EE"/>
            </w:tcBorders>
            <w:gridSpan w:val="5"/>
          </w:tcPr>
          <w:p>
            <w:pPr>
              <w:spacing w:after="0" w:line="164" w:lineRule="exact"/>
              <w:rPr>
                <w:rFonts w:ascii="Arial" w:cs="Arial" w:eastAsia="Arial" w:hAnsi="Arial"/>
                <w:sz w:val="17"/>
                <w:szCs w:val="17"/>
                <w:color w:val="0000EE"/>
              </w:rPr>
            </w:pPr>
            <w:hyperlink w:anchor="page41">
              <w:r>
                <w:rPr>
                  <w:rFonts w:ascii="Arial" w:cs="Arial" w:eastAsia="Arial" w:hAnsi="Arial"/>
                  <w:sz w:val="17"/>
                  <w:szCs w:val="17"/>
                  <w:color w:val="0000EE"/>
                </w:rPr>
                <w:t>Legal Proceedings</w:t>
              </w:r>
            </w:hyperlink>
          </w:p>
        </w:tc>
        <w:tc>
          <w:tcPr>
            <w:tcW w:w="7740" w:type="dxa"/>
            <w:vAlign w:val="bottom"/>
            <w:tcBorders>
              <w:top w:val="single" w:sz="8" w:color="CCEEFF"/>
            </w:tcBorders>
            <w:gridSpan w:val="11"/>
          </w:tcPr>
          <w:p>
            <w:pPr>
              <w:spacing w:after="0"/>
              <w:rPr>
                <w:sz w:val="14"/>
                <w:szCs w:val="14"/>
                <w:color w:val="auto"/>
              </w:rPr>
            </w:pPr>
          </w:p>
        </w:tc>
        <w:tc>
          <w:tcPr>
            <w:tcW w:w="600" w:type="dxa"/>
            <w:vAlign w:val="bottom"/>
            <w:tcBorders>
              <w:top w:val="single" w:sz="8" w:color="CCEEFF"/>
            </w:tcBorders>
          </w:tcPr>
          <w:p>
            <w:pPr>
              <w:jc w:val="right"/>
              <w:spacing w:after="0" w:line="164"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shd w:val="clear" w:color="auto" w:fill="CCEEFF"/>
          </w:tcPr>
          <w:p>
            <w:pPr>
              <w:ind w:left="240"/>
              <w:spacing w:after="0" w:line="182" w:lineRule="exact"/>
              <w:rPr>
                <w:sz w:val="20"/>
                <w:szCs w:val="20"/>
                <w:color w:val="auto"/>
              </w:rPr>
            </w:pPr>
            <w:r>
              <w:rPr>
                <w:rFonts w:ascii="Arial" w:cs="Arial" w:eastAsia="Arial" w:hAnsi="Arial"/>
                <w:sz w:val="17"/>
                <w:szCs w:val="17"/>
                <w:color w:val="auto"/>
              </w:rPr>
              <w:t>Item 1A.</w:t>
            </w:r>
          </w:p>
        </w:tc>
        <w:tc>
          <w:tcPr>
            <w:tcW w:w="1240" w:type="dxa"/>
            <w:vAlign w:val="bottom"/>
            <w:tcBorders>
              <w:top w:val="single" w:sz="8" w:color="0000EE"/>
            </w:tcBorders>
            <w:gridSpan w:val="3"/>
            <w:shd w:val="clear" w:color="auto" w:fill="CCEEFF"/>
          </w:tcPr>
          <w:p>
            <w:pPr>
              <w:spacing w:after="0" w:line="182" w:lineRule="exact"/>
              <w:rPr>
                <w:rFonts w:ascii="Arial" w:cs="Arial" w:eastAsia="Arial" w:hAnsi="Arial"/>
                <w:sz w:val="17"/>
                <w:szCs w:val="17"/>
                <w:color w:val="0000EE"/>
              </w:rPr>
            </w:pPr>
            <w:hyperlink w:anchor="page41">
              <w:r>
                <w:rPr>
                  <w:rFonts w:ascii="Arial" w:cs="Arial" w:eastAsia="Arial" w:hAnsi="Arial"/>
                  <w:sz w:val="17"/>
                  <w:szCs w:val="17"/>
                  <w:color w:val="0000EE"/>
                </w:rPr>
                <w:t>Risk Factors</w:t>
              </w:r>
            </w:hyperlink>
          </w:p>
        </w:tc>
        <w:tc>
          <w:tcPr>
            <w:tcW w:w="8260" w:type="dxa"/>
            <w:vAlign w:val="bottom"/>
            <w:gridSpan w:val="13"/>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2.</w:t>
            </w:r>
          </w:p>
        </w:tc>
        <w:tc>
          <w:tcPr>
            <w:tcW w:w="9500" w:type="dxa"/>
            <w:vAlign w:val="bottom"/>
            <w:gridSpan w:val="16"/>
          </w:tcPr>
          <w:p>
            <w:pPr>
              <w:spacing w:after="0" w:line="164" w:lineRule="exact"/>
              <w:rPr>
                <w:rFonts w:ascii="Arial" w:cs="Arial" w:eastAsia="Arial" w:hAnsi="Arial"/>
                <w:sz w:val="17"/>
                <w:szCs w:val="17"/>
                <w:color w:val="0000EE"/>
              </w:rPr>
            </w:pPr>
            <w:hyperlink w:anchor="page43">
              <w:r>
                <w:rPr>
                  <w:rFonts w:ascii="Arial" w:cs="Arial" w:eastAsia="Arial" w:hAnsi="Arial"/>
                  <w:sz w:val="17"/>
                  <w:szCs w:val="17"/>
                  <w:color w:val="0000EE"/>
                </w:rPr>
                <w:t>Unregistered Sales of Equity Securities and Use of Proceeds</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Item 5.</w:t>
            </w:r>
          </w:p>
        </w:tc>
        <w:tc>
          <w:tcPr>
            <w:tcW w:w="4060" w:type="dxa"/>
            <w:vAlign w:val="bottom"/>
            <w:tcBorders>
              <w:top w:val="single" w:sz="8" w:color="0000EE"/>
            </w:tcBorders>
            <w:gridSpan w:val="9"/>
            <w:shd w:val="clear" w:color="auto" w:fill="CCEEFF"/>
          </w:tcPr>
          <w:p>
            <w:pPr>
              <w:spacing w:after="0"/>
              <w:rPr>
                <w:sz w:val="20"/>
                <w:szCs w:val="20"/>
                <w:color w:val="auto"/>
              </w:rPr>
            </w:pPr>
            <w:r>
              <w:rPr>
                <w:rFonts w:ascii="Arial" w:cs="Arial" w:eastAsia="Arial" w:hAnsi="Arial"/>
                <w:sz w:val="17"/>
                <w:szCs w:val="17"/>
                <w:color w:val="auto"/>
              </w:rPr>
              <w:t>Other Information</w:t>
            </w:r>
          </w:p>
        </w:tc>
        <w:tc>
          <w:tcPr>
            <w:tcW w:w="5440" w:type="dxa"/>
            <w:vAlign w:val="bottom"/>
            <w:gridSpan w:val="7"/>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ind w:left="240"/>
              <w:spacing w:after="0" w:line="164" w:lineRule="exact"/>
              <w:rPr>
                <w:sz w:val="20"/>
                <w:szCs w:val="20"/>
                <w:color w:val="auto"/>
              </w:rPr>
            </w:pPr>
            <w:r>
              <w:rPr>
                <w:rFonts w:ascii="Arial" w:cs="Arial" w:eastAsia="Arial" w:hAnsi="Arial"/>
                <w:sz w:val="17"/>
                <w:szCs w:val="17"/>
                <w:color w:val="auto"/>
              </w:rPr>
              <w:t>Item 6.</w:t>
            </w:r>
          </w:p>
        </w:tc>
        <w:tc>
          <w:tcPr>
            <w:tcW w:w="9500" w:type="dxa"/>
            <w:vAlign w:val="bottom"/>
            <w:gridSpan w:val="16"/>
          </w:tcPr>
          <w:p>
            <w:pPr>
              <w:spacing w:after="0" w:line="164" w:lineRule="exact"/>
              <w:rPr>
                <w:rFonts w:ascii="Arial" w:cs="Arial" w:eastAsia="Arial" w:hAnsi="Arial"/>
                <w:sz w:val="17"/>
                <w:szCs w:val="17"/>
                <w:color w:val="0000EE"/>
              </w:rPr>
            </w:pPr>
            <w:hyperlink w:anchor="page43">
              <w:r>
                <w:rPr>
                  <w:rFonts w:ascii="Arial" w:cs="Arial" w:eastAsia="Arial" w:hAnsi="Arial"/>
                  <w:sz w:val="17"/>
                  <w:szCs w:val="17"/>
                  <w:color w:val="0000EE"/>
                </w:rPr>
                <w:t>Exhibits</w:t>
              </w:r>
            </w:hyperlink>
          </w:p>
        </w:tc>
        <w:tc>
          <w:tcPr>
            <w:tcW w:w="600" w:type="dxa"/>
            <w:vAlign w:val="bottom"/>
          </w:tcPr>
          <w:p>
            <w:pPr>
              <w:jc w:val="right"/>
              <w:spacing w:after="0" w:line="164"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0000EE"/>
            </w:tcBorders>
            <w:shd w:val="clear" w:color="auto" w:fill="CCEEFF"/>
          </w:tcPr>
          <w:p>
            <w:pPr>
              <w:spacing w:after="0" w:line="182" w:lineRule="exact"/>
              <w:rPr>
                <w:rFonts w:ascii="Arial" w:cs="Arial" w:eastAsia="Arial" w:hAnsi="Arial"/>
                <w:sz w:val="17"/>
                <w:szCs w:val="17"/>
                <w:color w:val="0000EE"/>
                <w:w w:val="83"/>
              </w:rPr>
            </w:pPr>
            <w:hyperlink w:anchor="page45">
              <w:r>
                <w:rPr>
                  <w:rFonts w:ascii="Arial" w:cs="Arial" w:eastAsia="Arial" w:hAnsi="Arial"/>
                  <w:sz w:val="17"/>
                  <w:szCs w:val="17"/>
                  <w:color w:val="0000EE"/>
                  <w:w w:val="83"/>
                </w:rPr>
                <w:t>Signatures</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4Q21 Update” (December 2021),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 w:type="dxa"/>
            <w:vAlign w:val="bottom"/>
            <w:gridSpan w:val="2"/>
          </w:tcPr>
          <w:p>
            <w:pPr>
              <w:spacing w:after="0"/>
              <w:rPr>
                <w:sz w:val="20"/>
                <w:szCs w:val="20"/>
                <w:color w:val="auto"/>
              </w:rPr>
            </w:pPr>
            <w:r>
              <w:rPr>
                <w:rFonts w:ascii="Arial" w:cs="Arial" w:eastAsia="Arial" w:hAnsi="Arial"/>
                <w:sz w:val="17"/>
                <w:szCs w:val="17"/>
                <w:b w:val="1"/>
                <w:bCs w:val="1"/>
                <w:color w:val="auto"/>
                <w:w w:val="92"/>
              </w:rPr>
              <w:t>Item 1.</w:t>
            </w:r>
          </w:p>
        </w:tc>
        <w:tc>
          <w:tcPr>
            <w:tcW w:w="8140" w:type="dxa"/>
            <w:vAlign w:val="bottom"/>
          </w:tcPr>
          <w:p>
            <w:pPr>
              <w:ind w:left="400"/>
              <w:spacing w:after="0"/>
              <w:rPr>
                <w:sz w:val="20"/>
                <w:szCs w:val="20"/>
                <w:color w:val="auto"/>
              </w:rPr>
            </w:pPr>
            <w:r>
              <w:rPr>
                <w:rFonts w:ascii="Arial" w:cs="Arial" w:eastAsia="Arial" w:hAnsi="Arial"/>
                <w:sz w:val="17"/>
                <w:szCs w:val="17"/>
                <w:b w:val="1"/>
                <w:bCs w:val="1"/>
                <w:color w:val="auto"/>
              </w:rPr>
              <w:t>Financial Statements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40" w:type="dxa"/>
            <w:vAlign w:val="bottom"/>
          </w:tcPr>
          <w:p>
            <w:pPr>
              <w:jc w:val="center"/>
              <w:ind w:left="1996"/>
              <w:spacing w:after="0"/>
              <w:rPr>
                <w:sz w:val="20"/>
                <w:szCs w:val="20"/>
                <w:color w:val="auto"/>
              </w:rPr>
            </w:pPr>
            <w:r>
              <w:rPr>
                <w:rFonts w:ascii="Arial" w:cs="Arial" w:eastAsia="Arial" w:hAnsi="Arial"/>
                <w:sz w:val="17"/>
                <w:szCs w:val="17"/>
                <w:b w:val="1"/>
                <w:bCs w:val="1"/>
                <w:color w:val="auto"/>
                <w:w w:val="99"/>
              </w:rPr>
              <w:t>ACM RESEARCH, INC.</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40" w:type="dxa"/>
            <w:vAlign w:val="bottom"/>
          </w:tcPr>
          <w:p>
            <w:pPr>
              <w:jc w:val="center"/>
              <w:ind w:left="1996"/>
              <w:spacing w:after="0"/>
              <w:rPr>
                <w:sz w:val="20"/>
                <w:szCs w:val="20"/>
                <w:color w:val="auto"/>
              </w:rPr>
            </w:pPr>
            <w:r>
              <w:rPr>
                <w:rFonts w:ascii="Arial" w:cs="Arial" w:eastAsia="Arial" w:hAnsi="Arial"/>
                <w:sz w:val="17"/>
                <w:szCs w:val="17"/>
                <w:b w:val="1"/>
                <w:bCs w:val="1"/>
                <w:color w:val="auto"/>
                <w:w w:val="86"/>
              </w:rPr>
              <w:t>Condensed Consolidated Balance Sheets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40" w:type="dxa"/>
            <w:vAlign w:val="bottom"/>
          </w:tcPr>
          <w:p>
            <w:pPr>
              <w:jc w:val="center"/>
              <w:ind w:left="1976"/>
              <w:spacing w:after="0"/>
              <w:rPr>
                <w:sz w:val="20"/>
                <w:szCs w:val="20"/>
                <w:color w:val="auto"/>
              </w:rPr>
            </w:pPr>
            <w:r>
              <w:rPr>
                <w:rFonts w:ascii="Arial" w:cs="Arial" w:eastAsia="Arial" w:hAnsi="Arial"/>
                <w:sz w:val="17"/>
                <w:szCs w:val="17"/>
                <w:i w:val="1"/>
                <w:iCs w:val="1"/>
                <w:color w:val="auto"/>
                <w:w w:val="89"/>
              </w:rPr>
              <w:t>(In thousands, except per share data)</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40" w:type="dxa"/>
            <w:vAlign w:val="bottom"/>
          </w:tcPr>
          <w:p>
            <w:pPr>
              <w:jc w:val="center"/>
              <w:ind w:left="1996"/>
              <w:spacing w:after="0"/>
              <w:rPr>
                <w:sz w:val="20"/>
                <w:szCs w:val="20"/>
                <w:color w:val="auto"/>
              </w:rPr>
            </w:pPr>
            <w:r>
              <w:rPr>
                <w:rFonts w:ascii="Arial" w:cs="Arial" w:eastAsia="Arial" w:hAnsi="Arial"/>
                <w:sz w:val="17"/>
                <w:szCs w:val="17"/>
                <w:i w:val="1"/>
                <w:iCs w:val="1"/>
                <w:color w:val="auto"/>
                <w:w w:val="92"/>
              </w:rPr>
              <w:t>(Unaudited)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140" w:type="dxa"/>
            <w:vAlign w:val="bottom"/>
          </w:tcPr>
          <w:p>
            <w:pPr>
              <w:jc w:val="center"/>
              <w:ind w:right="536"/>
              <w:spacing w:after="0" w:line="189" w:lineRule="exact"/>
              <w:rPr>
                <w:sz w:val="20"/>
                <w:szCs w:val="20"/>
                <w:color w:val="auto"/>
              </w:rPr>
            </w:pPr>
            <w:r>
              <w:rPr>
                <w:rFonts w:ascii="Arial" w:cs="Arial" w:eastAsia="Arial" w:hAnsi="Arial"/>
                <w:sz w:val="17"/>
                <w:szCs w:val="17"/>
                <w:b w:val="1"/>
                <w:bCs w:val="1"/>
                <w:color w:val="auto"/>
                <w:w w:val="78"/>
              </w:rPr>
              <w:t>Assets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866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380,311</w:t>
            </w:r>
          </w:p>
        </w:tc>
        <w:tc>
          <w:tcPr>
            <w:tcW w:w="3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563,067</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Short-term time deposits</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74,025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Trading securities (note 15)</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29,498</w:t>
            </w: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w w:val="96"/>
              </w:rPr>
              <w:t>Accounts receivable, less allowance for doubtful accounts of $0 as of March 31, 2022 and December 31, 2021 (note 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106,351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105,553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recoverable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Other receivables</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23,602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18,979</w:t>
            </w: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 (note 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218,116</w:t>
            </w: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21,771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16,639</w:t>
            </w:r>
          </w:p>
        </w:tc>
      </w:tr>
      <w:tr>
        <w:trPr>
          <w:trHeight w:val="202"/>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14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904,977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952,934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Property, plant and equipment, net (note 6)</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57,680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14,042</w:t>
            </w: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 use right, net (note 7)</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9,667</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Operating lease right-of-use assets, net (note 11)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4,182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w:t>
            </w: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Long-term time deposits</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78,750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assets (note 19)</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13,166</w:t>
            </w: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Long-term investments (note 14)</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12,666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12,694</w:t>
            </w:r>
          </w:p>
        </w:tc>
      </w:tr>
      <w:tr>
        <w:trPr>
          <w:trHeight w:val="207"/>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assets (note 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45,017</w:t>
            </w:r>
          </w:p>
        </w:tc>
      </w:tr>
      <w:tr>
        <w:trPr>
          <w:trHeight w:val="202"/>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140" w:type="dxa"/>
            <w:vAlign w:val="bottom"/>
            <w:tcBorders>
              <w:top w:val="single" w:sz="8" w:color="CCEEFF"/>
            </w:tcBorders>
          </w:tcPr>
          <w:p>
            <w:pPr>
              <w:ind w:left="340"/>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1,087,372</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1,052,179</w:t>
            </w:r>
          </w:p>
        </w:tc>
        <w:tc>
          <w:tcPr>
            <w:tcW w:w="10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140" w:type="dxa"/>
            <w:vAlign w:val="bottom"/>
            <w:shd w:val="clear" w:color="auto" w:fill="CCEEFF"/>
          </w:tcPr>
          <w:p>
            <w:pPr>
              <w:jc w:val="center"/>
              <w:ind w:right="536"/>
              <w:spacing w:after="0" w:line="193" w:lineRule="exact"/>
              <w:rPr>
                <w:sz w:val="20"/>
                <w:szCs w:val="20"/>
                <w:color w:val="auto"/>
              </w:rPr>
            </w:pPr>
            <w:r>
              <w:rPr>
                <w:rFonts w:ascii="Arial" w:cs="Arial" w:eastAsia="Arial" w:hAnsi="Arial"/>
                <w:sz w:val="17"/>
                <w:szCs w:val="17"/>
                <w:b w:val="1"/>
                <w:bCs w:val="1"/>
                <w:color w:val="auto"/>
                <w:w w:val="90"/>
              </w:rPr>
              <w:t>Liabilities and Stockholders’ Equity</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borrowings (note 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Current portion of long-term borrowings (note 12)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2,410</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101,350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Advances from customers</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82,036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52,824</w:t>
            </w: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Income taxes payable (note 19)</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254</w:t>
            </w: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FIN-48 payable (note 19)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Other payables and accrued expenses (note 10)</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36,555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31,735</w:t>
            </w: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portion of operating lease liability (note 11)</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244,449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205,939</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borrowings (note 12)</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22,957</w:t>
            </w: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Long-term operating lease liability (note 11)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liability (note19)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Other long-term liabilities (note 13)</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8,447</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278,598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240,514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20)</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8640" w:type="dxa"/>
            <w:vAlign w:val="bottom"/>
            <w:gridSpan w:val="2"/>
          </w:tcPr>
          <w:p>
            <w:pPr>
              <w:spacing w:after="0" w:line="189" w:lineRule="exact"/>
              <w:rPr>
                <w:sz w:val="20"/>
                <w:szCs w:val="20"/>
                <w:color w:val="auto"/>
              </w:rPr>
            </w:pPr>
            <w:r>
              <w:rPr>
                <w:rFonts w:ascii="Arial" w:cs="Arial" w:eastAsia="Arial" w:hAnsi="Arial"/>
                <w:sz w:val="17"/>
                <w:szCs w:val="17"/>
                <w:color w:val="auto"/>
                <w:w w:val="94"/>
              </w:rPr>
              <w:t>Common stock (1) – Class A, par value $0.0001: 150,000,000 shares authorized as of March 31, 2022 and December 31,</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w w:val="91"/>
              </w:rPr>
              <w:t>2021; 54,035,280 shares issued and outstanding as of March 31, 2022 and 53,608,929 shares issued and outstanding as of</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December 31, 2021 (note 17)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190"/>
        </w:trPr>
        <w:tc>
          <w:tcPr>
            <w:tcW w:w="20" w:type="dxa"/>
            <w:vAlign w:val="bottom"/>
          </w:tcPr>
          <w:p>
            <w:pPr>
              <w:spacing w:after="0"/>
              <w:rPr>
                <w:sz w:val="16"/>
                <w:szCs w:val="16"/>
                <w:color w:val="auto"/>
              </w:rPr>
            </w:pPr>
          </w:p>
        </w:tc>
        <w:tc>
          <w:tcPr>
            <w:tcW w:w="86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1"/>
              </w:rPr>
              <w:t>Common stock (1) –Class B, par value $0.0001: 5,307,816 shares authorized as of March 31, 2022 and December 31, 2021;</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9"/>
              </w:rPr>
              <w:t>5,086,812 shares issued and outstanding as of March 31, 2022 and 5,087,814 shares issued and outstanding as of December</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31, 2021 (note 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Additional paid in capital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597,143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595,045</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surplus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72,044</w:t>
            </w: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9,109</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ACM Research, Inc. stockholders’ equity</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674,386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676,204</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135,461</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808,774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811,665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1,087,372</w:t>
            </w:r>
          </w:p>
        </w:tc>
        <w:tc>
          <w:tcPr>
            <w:tcW w:w="140" w:type="dxa"/>
            <w:vAlign w:val="bottom"/>
          </w:tcPr>
          <w:p>
            <w:pPr>
              <w:spacing w:after="0"/>
              <w:rPr>
                <w:sz w:val="17"/>
                <w:szCs w:val="17"/>
                <w:color w:val="auto"/>
              </w:rPr>
            </w:pPr>
          </w:p>
        </w:tc>
        <w:tc>
          <w:tcPr>
            <w:tcW w:w="320" w:type="dxa"/>
            <w:vAlign w:val="bottom"/>
            <w:gridSpan w:val="2"/>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1,052,179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2280" w:right="500" w:hanging="2279"/>
        <w:spacing w:after="0" w:line="566" w:lineRule="auto"/>
        <w:tabs>
          <w:tab w:leader="none" w:pos="30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Prior period results have been adjusted to reflect the three-for-one stock split effected in the form of a stock dividend in March 2022. See Note 1 for details </w:t>
      </w: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66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7720" w:type="dxa"/>
            <w:vAlign w:val="bottom"/>
          </w:tcPr>
          <w:p>
            <w:pPr>
              <w:jc w:val="center"/>
              <w:ind w:left="1576"/>
              <w:spacing w:after="0"/>
              <w:rPr>
                <w:sz w:val="20"/>
                <w:szCs w:val="20"/>
                <w:color w:val="auto"/>
              </w:rPr>
            </w:pPr>
            <w:r>
              <w:rPr>
                <w:rFonts w:ascii="Arial" w:cs="Arial" w:eastAsia="Arial" w:hAnsi="Arial"/>
                <w:sz w:val="17"/>
                <w:szCs w:val="17"/>
                <w:b w:val="1"/>
                <w:bCs w:val="1"/>
                <w:color w:val="auto"/>
                <w:w w:val="99"/>
              </w:rPr>
              <w:t>ACM RESEARCH,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jc w:val="center"/>
              <w:ind w:left="1576"/>
              <w:spacing w:after="0"/>
              <w:rPr>
                <w:sz w:val="20"/>
                <w:szCs w:val="20"/>
                <w:color w:val="auto"/>
              </w:rPr>
            </w:pPr>
            <w:r>
              <w:rPr>
                <w:rFonts w:ascii="Arial" w:cs="Arial" w:eastAsia="Arial" w:hAnsi="Arial"/>
                <w:sz w:val="17"/>
                <w:szCs w:val="17"/>
                <w:b w:val="1"/>
                <w:bCs w:val="1"/>
                <w:color w:val="auto"/>
                <w:w w:val="87"/>
              </w:rPr>
              <w:t>Condensed Consolidated Statements of Operations and Comprehensive Income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jc w:val="center"/>
              <w:ind w:left="1556"/>
              <w:spacing w:after="0"/>
              <w:rPr>
                <w:sz w:val="20"/>
                <w:szCs w:val="20"/>
                <w:color w:val="auto"/>
              </w:rPr>
            </w:pPr>
            <w:r>
              <w:rPr>
                <w:rFonts w:ascii="Arial" w:cs="Arial" w:eastAsia="Arial" w:hAnsi="Arial"/>
                <w:sz w:val="17"/>
                <w:szCs w:val="17"/>
                <w:i w:val="1"/>
                <w:iCs w:val="1"/>
                <w:color w:val="auto"/>
                <w:w w:val="89"/>
              </w:rPr>
              <w:t>(In thousands, except per share data)</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20" w:type="dxa"/>
            <w:vAlign w:val="bottom"/>
          </w:tcPr>
          <w:p>
            <w:pPr>
              <w:jc w:val="center"/>
              <w:ind w:left="1576"/>
              <w:spacing w:after="0"/>
              <w:rPr>
                <w:sz w:val="20"/>
                <w:szCs w:val="20"/>
                <w:color w:val="auto"/>
              </w:rPr>
            </w:pPr>
            <w:r>
              <w:rPr>
                <w:rFonts w:ascii="Arial" w:cs="Arial" w:eastAsia="Arial" w:hAnsi="Arial"/>
                <w:sz w:val="17"/>
                <w:szCs w:val="17"/>
                <w:i w:val="1"/>
                <w:iCs w:val="1"/>
                <w:color w:val="auto"/>
                <w:w w:val="92"/>
              </w:rPr>
              <w:t>(Unaudited)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 (note 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25,687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17,346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 operating expenses, net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28,992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Income (loss) from operations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Unrealized loss on trading securities</w:t>
            </w: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(3,858)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Equity income (loss) in net income (loss) of affiliates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Income (loss)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(11,454)</w:t>
            </w:r>
          </w:p>
        </w:tc>
        <w:tc>
          <w:tcPr>
            <w:tcW w:w="1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Income tax benefit (note 19)</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40" w:type="dxa"/>
            <w:vAlign w:val="bottom"/>
            <w:gridSpan w:val="2"/>
          </w:tcPr>
          <w:p>
            <w:pPr>
              <w:spacing w:after="0" w:line="193" w:lineRule="exact"/>
              <w:rPr>
                <w:sz w:val="20"/>
                <w:szCs w:val="20"/>
                <w:color w:val="auto"/>
              </w:rPr>
            </w:pPr>
            <w:r>
              <w:rPr>
                <w:rFonts w:ascii="Arial" w:cs="Arial" w:eastAsia="Arial" w:hAnsi="Arial"/>
                <w:sz w:val="17"/>
                <w:szCs w:val="17"/>
                <w:color w:val="auto"/>
              </w:rPr>
              <w:t>Comprehensive income: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(7,443)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ind w:left="140"/>
              <w:spacing w:after="0"/>
              <w:rPr>
                <w:sz w:val="20"/>
                <w:szCs w:val="20"/>
                <w:color w:val="auto"/>
              </w:rPr>
            </w:pPr>
            <w:r>
              <w:rPr>
                <w:rFonts w:ascii="Arial" w:cs="Arial" w:eastAsia="Arial" w:hAnsi="Arial"/>
                <w:sz w:val="17"/>
                <w:szCs w:val="17"/>
                <w:color w:val="auto"/>
              </w:rPr>
              <w:t>Foreign currency translation adjustment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Comprehensive Income (loss)</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Comprehensive income (loss) attributable to ACM Research,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(3,916)</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 attributable to ACM Research, Inc. per common share (note 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(0.10)</w:t>
            </w:r>
          </w:p>
        </w:tc>
        <w:tc>
          <w:tcPr>
            <w:tcW w:w="3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40" w:type="dxa"/>
            <w:vAlign w:val="bottom"/>
            <w:gridSpan w:val="2"/>
            <w:shd w:val="clear" w:color="auto" w:fill="CCEEFF"/>
          </w:tcPr>
          <w:p>
            <w:pPr>
              <w:ind w:left="100"/>
              <w:spacing w:after="0" w:line="193" w:lineRule="exact"/>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w w:val="84"/>
              </w:rPr>
              <w:t>$</w:t>
            </w:r>
          </w:p>
        </w:tc>
        <w:tc>
          <w:tcPr>
            <w:tcW w:w="1180" w:type="dxa"/>
            <w:vAlign w:val="bottom"/>
            <w:gridSpan w:val="3"/>
            <w:shd w:val="clear" w:color="auto" w:fill="CCEEFF"/>
          </w:tcPr>
          <w:p>
            <w:pPr>
              <w:jc w:val="right"/>
              <w:ind w:right="80"/>
              <w:spacing w:after="0" w:line="193" w:lineRule="exact"/>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0.08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77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common shares outstanding used in computing per share amounts (note 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Basic (1)</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58,827,390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56,360,610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8640" w:type="dxa"/>
            <w:vAlign w:val="bottom"/>
            <w:tcBorders>
              <w:bottom w:val="single" w:sz="8" w:color="CCEEFF"/>
            </w:tcBorders>
            <w:gridSpan w:val="2"/>
            <w:shd w:val="clear" w:color="auto" w:fill="CCEEFF"/>
          </w:tcPr>
          <w:p>
            <w:pPr>
              <w:ind w:left="100"/>
              <w:spacing w:after="0" w:line="193" w:lineRule="exact"/>
              <w:rPr>
                <w:sz w:val="20"/>
                <w:szCs w:val="20"/>
                <w:color w:val="auto"/>
              </w:rPr>
            </w:pPr>
            <w:r>
              <w:rPr>
                <w:rFonts w:ascii="Arial" w:cs="Arial" w:eastAsia="Arial" w:hAnsi="Arial"/>
                <w:sz w:val="17"/>
                <w:szCs w:val="17"/>
                <w:color w:val="auto"/>
              </w:rPr>
              <w:t>Diluted (1)</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65,950,922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7"/>
                <w:szCs w:val="17"/>
                <w:color w:val="auto"/>
              </w:rPr>
              <w:t>65,604,840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80" w:right="500" w:hanging="2279"/>
        <w:spacing w:after="0" w:line="566" w:lineRule="auto"/>
        <w:tabs>
          <w:tab w:leader="none" w:pos="30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Prior period results have been adjusted to reflect the three-for-one stock split effected in the form of a stock dividend in March 2022. See Note 1 for details </w:t>
      </w:r>
      <w:r>
        <w:rPr>
          <w:rFonts w:ascii="Arial" w:cs="Arial" w:eastAsia="Arial" w:hAnsi="Arial"/>
          <w:sz w:val="16"/>
          <w:szCs w:val="16"/>
          <w:i w:val="1"/>
          <w:iCs w:val="1"/>
          <w:color w:val="auto"/>
        </w:rPr>
        <w:t>The accompanying notes are an integral part of these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(In thousands, except per share data)</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jc w:val="center"/>
              <w:ind w:left="136"/>
              <w:spacing w:after="0"/>
              <w:rPr>
                <w:sz w:val="20"/>
                <w:szCs w:val="20"/>
                <w:color w:val="auto"/>
              </w:rPr>
            </w:pPr>
            <w:r>
              <w:rPr>
                <w:rFonts w:ascii="Arial" w:cs="Arial" w:eastAsia="Arial" w:hAnsi="Arial"/>
                <w:sz w:val="17"/>
                <w:szCs w:val="17"/>
                <w:b w:val="1"/>
                <w:bCs w:val="1"/>
                <w:color w:val="auto"/>
                <w:w w:val="89"/>
              </w:rPr>
              <w:t>Common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left="176"/>
              <w:spacing w:after="0"/>
              <w:rPr>
                <w:sz w:val="20"/>
                <w:szCs w:val="20"/>
                <w:color w:val="auto"/>
              </w:rPr>
            </w:pPr>
            <w:r>
              <w:rPr>
                <w:rFonts w:ascii="Arial" w:cs="Arial" w:eastAsia="Arial" w:hAnsi="Arial"/>
                <w:sz w:val="17"/>
                <w:szCs w:val="17"/>
                <w:b w:val="1"/>
                <w:bCs w:val="1"/>
                <w:color w:val="auto"/>
                <w:w w:val="89"/>
              </w:rPr>
              <w:t>Common</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7"/>
                <w:szCs w:val="17"/>
                <w:b w:val="1"/>
                <w:bCs w:val="1"/>
                <w:color w:val="auto"/>
                <w:w w:val="88"/>
              </w:rPr>
              <w:t>Stock Class A</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7"/>
                <w:szCs w:val="17"/>
                <w:b w:val="1"/>
                <w:bCs w:val="1"/>
                <w:color w:val="auto"/>
                <w:w w:val="86"/>
              </w:rPr>
              <w:t>Stock Class B</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40"/>
              <w:spacing w:after="0" w:line="186" w:lineRule="exact"/>
              <w:rPr>
                <w:sz w:val="20"/>
                <w:szCs w:val="20"/>
                <w:color w:val="auto"/>
              </w:rPr>
            </w:pPr>
            <w:r>
              <w:rPr>
                <w:rFonts w:ascii="Arial" w:cs="Arial" w:eastAsia="Arial" w:hAnsi="Arial"/>
                <w:sz w:val="17"/>
                <w:szCs w:val="17"/>
                <w:b w:val="1"/>
                <w:bCs w:val="1"/>
                <w:color w:val="auto"/>
                <w:w w:val="89"/>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Other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Non-</w:t>
            </w:r>
          </w:p>
        </w:tc>
        <w:tc>
          <w:tcPr>
            <w:tcW w:w="18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202"/>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w w:val="94"/>
              </w:rPr>
              <w:t>Additional Paid-</w:t>
            </w:r>
          </w:p>
        </w:tc>
        <w:tc>
          <w:tcPr>
            <w:tcW w:w="1060" w:type="dxa"/>
            <w:vAlign w:val="bottom"/>
            <w:gridSpan w:val="3"/>
          </w:tcPr>
          <w:p>
            <w:pPr>
              <w:ind w:left="40"/>
              <w:spacing w:after="0"/>
              <w:rPr>
                <w:sz w:val="20"/>
                <w:szCs w:val="20"/>
                <w:color w:val="auto"/>
              </w:rPr>
            </w:pPr>
            <w:r>
              <w:rPr>
                <w:rFonts w:ascii="Arial" w:cs="Arial" w:eastAsia="Arial" w:hAnsi="Arial"/>
                <w:sz w:val="17"/>
                <w:szCs w:val="17"/>
                <w:b w:val="1"/>
                <w:bCs w:val="1"/>
                <w:color w:val="auto"/>
                <w:w w:val="93"/>
              </w:rPr>
              <w:t>Accumulated</w:t>
            </w:r>
          </w:p>
        </w:tc>
        <w:tc>
          <w:tcPr>
            <w:tcW w:w="120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7"/>
              </w:rPr>
              <w:t>Comprehensive</w:t>
            </w:r>
          </w:p>
        </w:tc>
        <w:tc>
          <w:tcPr>
            <w:tcW w:w="2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7"/>
                <w:szCs w:val="17"/>
                <w:b w:val="1"/>
                <w:bCs w:val="1"/>
                <w:color w:val="auto"/>
                <w:w w:val="93"/>
              </w:rPr>
              <w:t>controlling</w:t>
            </w:r>
          </w:p>
        </w:tc>
        <w:tc>
          <w:tcPr>
            <w:tcW w:w="1080" w:type="dxa"/>
            <w:vAlign w:val="bottom"/>
            <w:gridSpan w:val="4"/>
          </w:tcPr>
          <w:p>
            <w:pPr>
              <w:ind w:left="40"/>
              <w:spacing w:after="0"/>
              <w:rPr>
                <w:sz w:val="20"/>
                <w:szCs w:val="20"/>
                <w:color w:val="auto"/>
              </w:rPr>
            </w:pPr>
            <w:r>
              <w:rPr>
                <w:rFonts w:ascii="Arial" w:cs="Arial" w:eastAsia="Arial" w:hAnsi="Arial"/>
                <w:sz w:val="17"/>
                <w:szCs w:val="17"/>
                <w:b w:val="1"/>
                <w:bCs w:val="1"/>
                <w:color w:val="auto"/>
                <w:w w:val="90"/>
              </w:rPr>
              <w:t>Stockholders’</w:t>
            </w:r>
          </w:p>
        </w:tc>
      </w:tr>
      <w:tr>
        <w:trPr>
          <w:trHeight w:val="218"/>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89"/>
              </w:rPr>
              <w:t>Shares (1)</w:t>
            </w:r>
          </w:p>
        </w:tc>
        <w:tc>
          <w:tcPr>
            <w:tcW w:w="920" w:type="dxa"/>
            <w:vAlign w:val="bottom"/>
            <w:gridSpan w:val="3"/>
          </w:tcPr>
          <w:p>
            <w:pPr>
              <w:ind w:left="40"/>
              <w:spacing w:after="0"/>
              <w:rPr>
                <w:sz w:val="20"/>
                <w:szCs w:val="20"/>
                <w:color w:val="auto"/>
              </w:rPr>
            </w:pPr>
            <w:r>
              <w:rPr>
                <w:rFonts w:ascii="Arial" w:cs="Arial" w:eastAsia="Arial" w:hAnsi="Arial"/>
                <w:sz w:val="17"/>
                <w:szCs w:val="17"/>
                <w:b w:val="1"/>
                <w:bCs w:val="1"/>
                <w:color w:val="auto"/>
                <w:w w:val="95"/>
              </w:rPr>
              <w:t>Amount (1)</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2"/>
              </w:rPr>
              <w:t>Shares (1)</w:t>
            </w:r>
          </w:p>
        </w:tc>
        <w:tc>
          <w:tcPr>
            <w:tcW w:w="920" w:type="dxa"/>
            <w:vAlign w:val="bottom"/>
            <w:gridSpan w:val="4"/>
          </w:tcPr>
          <w:p>
            <w:pPr>
              <w:ind w:left="20"/>
              <w:spacing w:after="0"/>
              <w:rPr>
                <w:sz w:val="20"/>
                <w:szCs w:val="20"/>
                <w:color w:val="auto"/>
              </w:rPr>
            </w:pPr>
            <w:r>
              <w:rPr>
                <w:rFonts w:ascii="Arial" w:cs="Arial" w:eastAsia="Arial" w:hAnsi="Arial"/>
                <w:sz w:val="17"/>
                <w:szCs w:val="17"/>
                <w:b w:val="1"/>
                <w:bCs w:val="1"/>
                <w:color w:val="auto"/>
                <w:w w:val="98"/>
              </w:rPr>
              <w:t>Amount (1)</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2"/>
              </w:rPr>
              <w:t>in Capital (1)</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7"/>
              </w:rPr>
              <w:t>Surplus</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81"/>
              </w:rPr>
              <w:t>interests</w:t>
            </w:r>
          </w:p>
        </w:tc>
        <w:tc>
          <w:tcPr>
            <w:tcW w:w="1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Equity</w:t>
            </w: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1"/>
              </w:rPr>
              <w:t>Balance at December 31, 2020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1"/>
              </w:rPr>
              <w:t>50,690,079</w:t>
            </w:r>
          </w:p>
        </w:tc>
        <w:tc>
          <w:tcPr>
            <w:tcW w:w="6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5,407,818</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102,000</w:t>
            </w:r>
          </w:p>
        </w:tc>
        <w:tc>
          <w:tcPr>
            <w:tcW w:w="1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34,287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4,857</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67,020</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208,170</w:t>
            </w:r>
          </w:p>
        </w:tc>
        <w:tc>
          <w:tcPr>
            <w:tcW w:w="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5,470</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352</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5,822</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(1,332)</w:t>
            </w: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Exercise of stock options</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929,820</w:t>
            </w:r>
          </w:p>
        </w:tc>
        <w:tc>
          <w:tcPr>
            <w:tcW w:w="62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1,377</w:t>
            </w:r>
          </w:p>
        </w:tc>
        <w:tc>
          <w:tcPr>
            <w:tcW w:w="1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1,377</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1,210</w:t>
            </w:r>
          </w:p>
        </w:tc>
        <w:tc>
          <w:tcPr>
            <w:tcW w:w="2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spacing w:after="0" w:line="189" w:lineRule="exact"/>
              <w:rPr>
                <w:sz w:val="20"/>
                <w:szCs w:val="20"/>
                <w:color w:val="auto"/>
              </w:rPr>
            </w:pPr>
            <w:r>
              <w:rPr>
                <w:rFonts w:ascii="Arial" w:cs="Arial" w:eastAsia="Arial" w:hAnsi="Arial"/>
                <w:sz w:val="17"/>
                <w:szCs w:val="17"/>
                <w:color w:val="auto"/>
                <w:w w:val="93"/>
              </w:rPr>
              <w:t>Conversion of Class B common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4"/>
              </w:rPr>
              <w:t>stock to Class A common stock</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100,002</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(100,002)</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2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at March 31, 2021</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1"/>
              </w:rPr>
              <w:t>51,719,901</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5,307,816</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104,587</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39,757</w:t>
            </w: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3,961</w:t>
            </w:r>
          </w:p>
        </w:tc>
        <w:tc>
          <w:tcPr>
            <w:tcW w:w="1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66,936</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215,247</w:t>
            </w:r>
          </w:p>
        </w:tc>
        <w:tc>
          <w:tcPr>
            <w:tcW w:w="20" w:type="dxa"/>
            <w:vAlign w:val="bottom"/>
            <w:tcBorders>
              <w:bottom w:val="single" w:sz="8" w:color="auto"/>
            </w:tcBorders>
            <w:shd w:val="clear" w:color="auto" w:fill="CCEEFF"/>
          </w:tcPr>
          <w:p>
            <w:pPr>
              <w:spacing w:after="0"/>
              <w:rPr>
                <w:sz w:val="21"/>
                <w:szCs w:val="21"/>
                <w:color w:val="auto"/>
              </w:rPr>
            </w:pPr>
          </w:p>
        </w:tc>
      </w:tr>
      <w:tr>
        <w:trPr>
          <w:trHeight w:val="37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jc w:val="center"/>
              <w:ind w:left="76"/>
              <w:spacing w:after="0"/>
              <w:rPr>
                <w:sz w:val="20"/>
                <w:szCs w:val="20"/>
                <w:color w:val="auto"/>
              </w:rPr>
            </w:pPr>
            <w:r>
              <w:rPr>
                <w:rFonts w:ascii="Arial" w:cs="Arial" w:eastAsia="Arial" w:hAnsi="Arial"/>
                <w:sz w:val="17"/>
                <w:szCs w:val="17"/>
                <w:b w:val="1"/>
                <w:bCs w:val="1"/>
                <w:color w:val="auto"/>
                <w:w w:val="92"/>
              </w:rPr>
              <w:t>Common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left="116"/>
              <w:spacing w:after="0"/>
              <w:rPr>
                <w:sz w:val="20"/>
                <w:szCs w:val="20"/>
                <w:color w:val="auto"/>
              </w:rPr>
            </w:pPr>
            <w:r>
              <w:rPr>
                <w:rFonts w:ascii="Arial" w:cs="Arial" w:eastAsia="Arial" w:hAnsi="Arial"/>
                <w:sz w:val="17"/>
                <w:szCs w:val="17"/>
                <w:b w:val="1"/>
                <w:bCs w:val="1"/>
                <w:color w:val="auto"/>
                <w:w w:val="92"/>
              </w:rPr>
              <w:t>Common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7"/>
                <w:szCs w:val="17"/>
                <w:b w:val="1"/>
                <w:bCs w:val="1"/>
                <w:color w:val="auto"/>
                <w:w w:val="88"/>
              </w:rPr>
              <w:t>Stock Class A</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7"/>
                <w:szCs w:val="17"/>
                <w:b w:val="1"/>
                <w:bCs w:val="1"/>
                <w:color w:val="auto"/>
                <w:w w:val="86"/>
              </w:rPr>
              <w:t>Stock Class B</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line="186" w:lineRule="exact"/>
              <w:rPr>
                <w:sz w:val="20"/>
                <w:szCs w:val="20"/>
                <w:color w:val="auto"/>
              </w:rPr>
            </w:pPr>
            <w:r>
              <w:rPr>
                <w:rFonts w:ascii="Arial" w:cs="Arial" w:eastAsia="Arial" w:hAnsi="Arial"/>
                <w:sz w:val="17"/>
                <w:szCs w:val="17"/>
                <w:b w:val="1"/>
                <w:bCs w:val="1"/>
                <w:color w:val="auto"/>
                <w:w w:val="89"/>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Other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Non-</w:t>
            </w:r>
          </w:p>
        </w:tc>
        <w:tc>
          <w:tcPr>
            <w:tcW w:w="18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Total</w:t>
            </w:r>
          </w:p>
        </w:tc>
      </w:tr>
      <w:tr>
        <w:trPr>
          <w:trHeight w:val="202"/>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w w:val="97"/>
              </w:rPr>
              <w:t>Additional Paid-</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7"/>
              </w:rPr>
              <w:t>Accumulated</w:t>
            </w:r>
          </w:p>
        </w:tc>
        <w:tc>
          <w:tcPr>
            <w:tcW w:w="12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7"/>
              </w:rPr>
              <w:t>Comprehensive</w:t>
            </w:r>
          </w:p>
        </w:tc>
        <w:tc>
          <w:tcPr>
            <w:tcW w:w="900" w:type="dxa"/>
            <w:vAlign w:val="bottom"/>
            <w:gridSpan w:val="4"/>
          </w:tcPr>
          <w:p>
            <w:pPr>
              <w:ind w:left="20"/>
              <w:spacing w:after="0"/>
              <w:rPr>
                <w:sz w:val="20"/>
                <w:szCs w:val="20"/>
                <w:color w:val="auto"/>
              </w:rPr>
            </w:pPr>
            <w:r>
              <w:rPr>
                <w:rFonts w:ascii="Arial" w:cs="Arial" w:eastAsia="Arial" w:hAnsi="Arial"/>
                <w:sz w:val="17"/>
                <w:szCs w:val="17"/>
                <w:b w:val="1"/>
                <w:bCs w:val="1"/>
                <w:color w:val="auto"/>
                <w:w w:val="97"/>
              </w:rPr>
              <w:t>controlling</w:t>
            </w:r>
          </w:p>
        </w:tc>
        <w:tc>
          <w:tcPr>
            <w:tcW w:w="1080" w:type="dxa"/>
            <w:vAlign w:val="bottom"/>
            <w:gridSpan w:val="4"/>
          </w:tcPr>
          <w:p>
            <w:pPr>
              <w:spacing w:after="0"/>
              <w:rPr>
                <w:sz w:val="20"/>
                <w:szCs w:val="20"/>
                <w:color w:val="auto"/>
              </w:rPr>
            </w:pPr>
            <w:r>
              <w:rPr>
                <w:rFonts w:ascii="Arial" w:cs="Arial" w:eastAsia="Arial" w:hAnsi="Arial"/>
                <w:sz w:val="17"/>
                <w:szCs w:val="17"/>
                <w:b w:val="1"/>
                <w:bCs w:val="1"/>
                <w:color w:val="auto"/>
                <w:w w:val="94"/>
              </w:rPr>
              <w:t>Stockholders’</w:t>
            </w:r>
          </w:p>
        </w:tc>
      </w:tr>
      <w:tr>
        <w:trPr>
          <w:trHeight w:val="218"/>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5"/>
              </w:rPr>
              <w:t>Shares (1)</w:t>
            </w: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Amount (1)</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87"/>
              </w:rPr>
              <w:t>Shares (1)</w:t>
            </w:r>
          </w:p>
        </w:tc>
        <w:tc>
          <w:tcPr>
            <w:tcW w:w="920" w:type="dxa"/>
            <w:vAlign w:val="bottom"/>
            <w:gridSpan w:val="4"/>
          </w:tcPr>
          <w:p>
            <w:pPr>
              <w:spacing w:after="0"/>
              <w:rPr>
                <w:sz w:val="20"/>
                <w:szCs w:val="20"/>
                <w:color w:val="auto"/>
              </w:rPr>
            </w:pPr>
            <w:r>
              <w:rPr>
                <w:rFonts w:ascii="Arial" w:cs="Arial" w:eastAsia="Arial" w:hAnsi="Arial"/>
                <w:sz w:val="17"/>
                <w:szCs w:val="17"/>
                <w:b w:val="1"/>
                <w:bCs w:val="1"/>
                <w:color w:val="auto"/>
              </w:rPr>
              <w:t>Amount (1)</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in Capital (1)</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1"/>
              </w:rPr>
              <w:t>Surplus</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Income</w:t>
            </w:r>
          </w:p>
        </w:tc>
        <w:tc>
          <w:tcPr>
            <w:tcW w:w="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3"/>
              </w:rPr>
              <w:t>interests</w:t>
            </w:r>
          </w:p>
        </w:tc>
        <w:tc>
          <w:tcPr>
            <w:tcW w:w="1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Equity</w:t>
            </w: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1"/>
              </w:rPr>
              <w:t>Balance at December 31, 2021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86"/>
              </w:rPr>
              <w:t>53,608,929</w:t>
            </w:r>
          </w:p>
        </w:tc>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5,087,814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right="456"/>
              <w:spacing w:after="0"/>
              <w:rPr>
                <w:sz w:val="20"/>
                <w:szCs w:val="20"/>
                <w:color w:val="auto"/>
              </w:rPr>
            </w:pPr>
            <w:r>
              <w:rPr>
                <w:rFonts w:ascii="Arial" w:cs="Arial" w:eastAsia="Arial" w:hAnsi="Arial"/>
                <w:sz w:val="17"/>
                <w:szCs w:val="17"/>
                <w:b w:val="1"/>
                <w:bCs w:val="1"/>
                <w:color w:val="auto"/>
                <w:w w:val="84"/>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595,045</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72,044</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9,109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811,665</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(5,786)</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(1,657)</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(7,443)</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7"/>
                <w:szCs w:val="17"/>
                <w:color w:val="auto"/>
              </w:rPr>
              <w:t>425,349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724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724</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1,374</w:t>
            </w:r>
          </w:p>
        </w:tc>
        <w:tc>
          <w:tcPr>
            <w:tcW w:w="2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spacing w:after="0" w:line="189" w:lineRule="exact"/>
              <w:rPr>
                <w:sz w:val="20"/>
                <w:szCs w:val="20"/>
                <w:color w:val="auto"/>
              </w:rPr>
            </w:pPr>
            <w:r>
              <w:rPr>
                <w:rFonts w:ascii="Arial" w:cs="Arial" w:eastAsia="Arial" w:hAnsi="Arial"/>
                <w:sz w:val="17"/>
                <w:szCs w:val="17"/>
                <w:color w:val="auto"/>
                <w:w w:val="93"/>
              </w:rPr>
              <w:t>Conversion of Class B common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2260" w:type="dxa"/>
            <w:vAlign w:val="bottom"/>
            <w:gridSpan w:val="3"/>
          </w:tcPr>
          <w:p>
            <w:pPr>
              <w:spacing w:after="0"/>
              <w:rPr>
                <w:sz w:val="20"/>
                <w:szCs w:val="20"/>
                <w:color w:val="auto"/>
              </w:rPr>
            </w:pPr>
            <w:r>
              <w:rPr>
                <w:rFonts w:ascii="Arial" w:cs="Arial" w:eastAsia="Arial" w:hAnsi="Arial"/>
                <w:sz w:val="17"/>
                <w:szCs w:val="17"/>
                <w:color w:val="auto"/>
                <w:w w:val="94"/>
              </w:rPr>
              <w:t>stock to Class A common stock</w:t>
            </w:r>
          </w:p>
        </w:tc>
        <w:tc>
          <w:tcPr>
            <w:tcW w:w="760" w:type="dxa"/>
            <w:vAlign w:val="bottom"/>
          </w:tcPr>
          <w:p>
            <w:pPr>
              <w:jc w:val="right"/>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(1,002)</w:t>
            </w:r>
          </w:p>
        </w:tc>
        <w:tc>
          <w:tcPr>
            <w:tcW w:w="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March 31, 2022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6"/>
              </w:rPr>
              <w:t>54,035,280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5,086,812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center"/>
              <w:ind w:right="456"/>
              <w:spacing w:after="0"/>
              <w:rPr>
                <w:sz w:val="20"/>
                <w:szCs w:val="20"/>
                <w:color w:val="auto"/>
              </w:rPr>
            </w:pPr>
            <w:r>
              <w:rPr>
                <w:rFonts w:ascii="Arial" w:cs="Arial" w:eastAsia="Arial" w:hAnsi="Arial"/>
                <w:sz w:val="17"/>
                <w:szCs w:val="17"/>
                <w:b w:val="1"/>
                <w:bCs w:val="1"/>
                <w:color w:val="auto"/>
                <w:w w:val="84"/>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597,143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808,774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190" w:lineRule="exact"/>
        <w:rPr>
          <w:sz w:val="20"/>
          <w:szCs w:val="20"/>
          <w:color w:val="auto"/>
        </w:rPr>
      </w:pPr>
    </w:p>
    <w:p>
      <w:pPr>
        <w:ind w:left="2280" w:right="600" w:hanging="2279"/>
        <w:spacing w:after="0" w:line="566" w:lineRule="auto"/>
        <w:tabs>
          <w:tab w:leader="none" w:pos="30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Prior period results have been adjusted to reflect the three-for-one stock split effected in the form of a stock dividend in March 2022. See Note 1 for details </w:t>
      </w:r>
      <w:r>
        <w:rPr>
          <w:rFonts w:ascii="Arial" w:cs="Arial" w:eastAsia="Arial" w:hAnsi="Arial"/>
          <w:sz w:val="16"/>
          <w:szCs w:val="16"/>
          <w:i w:val="1"/>
          <w:iCs w:val="1"/>
          <w:color w:val="auto"/>
        </w:rPr>
        <w:t>The accompanying notes are an integral part of these condensed consolidated financial statements.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866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7720" w:type="dxa"/>
            <w:vAlign w:val="bottom"/>
          </w:tcPr>
          <w:p>
            <w:pPr>
              <w:jc w:val="center"/>
              <w:ind w:left="1576"/>
              <w:spacing w:after="0"/>
              <w:rPr>
                <w:sz w:val="20"/>
                <w:szCs w:val="20"/>
                <w:color w:val="auto"/>
              </w:rPr>
            </w:pPr>
            <w:r>
              <w:rPr>
                <w:rFonts w:ascii="Arial" w:cs="Arial" w:eastAsia="Arial" w:hAnsi="Arial"/>
                <w:sz w:val="17"/>
                <w:szCs w:val="17"/>
                <w:b w:val="1"/>
                <w:bCs w:val="1"/>
                <w:color w:val="auto"/>
                <w:w w:val="99"/>
              </w:rPr>
              <w:t>ACM RESEARCH,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jc w:val="center"/>
              <w:ind w:left="1556"/>
              <w:spacing w:after="0"/>
              <w:rPr>
                <w:sz w:val="20"/>
                <w:szCs w:val="20"/>
                <w:color w:val="auto"/>
              </w:rPr>
            </w:pPr>
            <w:r>
              <w:rPr>
                <w:rFonts w:ascii="Arial" w:cs="Arial" w:eastAsia="Arial" w:hAnsi="Arial"/>
                <w:sz w:val="17"/>
                <w:szCs w:val="17"/>
                <w:b w:val="1"/>
                <w:bCs w:val="1"/>
                <w:color w:val="auto"/>
                <w:w w:val="87"/>
              </w:rPr>
              <w:t>Condensed Consolidated Statements of Cash Flows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jc w:val="center"/>
              <w:ind w:left="1616"/>
              <w:spacing w:after="0"/>
              <w:rPr>
                <w:sz w:val="20"/>
                <w:szCs w:val="20"/>
                <w:color w:val="auto"/>
              </w:rPr>
            </w:pPr>
            <w:r>
              <w:rPr>
                <w:rFonts w:ascii="Arial" w:cs="Arial" w:eastAsia="Arial" w:hAnsi="Arial"/>
                <w:sz w:val="17"/>
                <w:szCs w:val="17"/>
                <w:i w:val="1"/>
                <w:iCs w:val="1"/>
                <w:color w:val="auto"/>
                <w:w w:val="90"/>
              </w:rPr>
              <w:t>(In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20" w:type="dxa"/>
            <w:vAlign w:val="bottom"/>
          </w:tcPr>
          <w:p>
            <w:pPr>
              <w:jc w:val="center"/>
              <w:ind w:left="1576"/>
              <w:spacing w:after="0"/>
              <w:rPr>
                <w:sz w:val="20"/>
                <w:szCs w:val="20"/>
                <w:color w:val="auto"/>
              </w:rPr>
            </w:pPr>
            <w:r>
              <w:rPr>
                <w:rFonts w:ascii="Arial" w:cs="Arial" w:eastAsia="Arial" w:hAnsi="Arial"/>
                <w:sz w:val="17"/>
                <w:szCs w:val="17"/>
                <w:i w:val="1"/>
                <w:iCs w:val="1"/>
                <w:color w:val="auto"/>
                <w:w w:val="92"/>
              </w:rPr>
              <w:t>(Unaudited)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(7,443)</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Adjustments to reconcile net income from operations to net cash used in operating activities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Loss on disposals of property, plant and equipment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Equity (income) loss in net (income) loss of affiliates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Unrealized loss on trading securities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10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changes in operating assets and liabilities: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receivables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Inventory</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(52,503)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Prepaid expenses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Other long-term assets</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Advances from customers</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29,273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FIN-48 payable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payables and accrued expenses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280"/>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Other long-term liabilities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ind w:left="440"/>
              <w:spacing w:after="0"/>
              <w:rPr>
                <w:sz w:val="20"/>
                <w:szCs w:val="20"/>
                <w:color w:val="auto"/>
              </w:rPr>
            </w:pPr>
            <w:r>
              <w:rPr>
                <w:rFonts w:ascii="Arial" w:cs="Arial" w:eastAsia="Arial" w:hAnsi="Arial"/>
                <w:sz w:val="17"/>
                <w:szCs w:val="17"/>
                <w:b w:val="1"/>
                <w:bCs w:val="1"/>
                <w:color w:val="auto"/>
              </w:rPr>
              <w:t>Net cash flow (used in) provided by operating activities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(27,729)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10,742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Purchase of intangible assets</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of short-term time deposits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(74,025)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Increase of long-term time deposits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(78,750)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(156,359)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Proceeds from short-term borrowings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Repayments of short-term borrowings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color w:val="auto"/>
              </w:rPr>
              <w:t>Repayments of long-term borrowings</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stock option exercise to common stock</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gridSpan w:val="2"/>
          </w:tcPr>
          <w:p>
            <w:pPr>
              <w:ind w:left="58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(1,380)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Effect of exchange rate changes on 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1,304</w:t>
            </w:r>
          </w:p>
        </w:tc>
        <w:tc>
          <w:tcPr>
            <w:tcW w:w="140" w:type="dxa"/>
            <w:vAlign w:val="bottom"/>
          </w:tcPr>
          <w:p>
            <w:pPr>
              <w:spacing w:after="0"/>
              <w:rPr>
                <w:sz w:val="17"/>
                <w:szCs w:val="17"/>
                <w:color w:val="auto"/>
              </w:rPr>
            </w:pPr>
          </w:p>
        </w:tc>
        <w:tc>
          <w:tcPr>
            <w:tcW w:w="3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Net increase (decrease) in cash and cash equivalents</w:t>
            </w:r>
          </w:p>
        </w:tc>
        <w:tc>
          <w:tcPr>
            <w:tcW w:w="10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(182,756)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7,030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71,766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380,311</w:t>
            </w:r>
          </w:p>
        </w:tc>
        <w:tc>
          <w:tcPr>
            <w:tcW w:w="3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78,796</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Interest paid, net of capitalized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261</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40" w:type="dxa"/>
            <w:vAlign w:val="bottom"/>
            <w:gridSpan w:val="2"/>
          </w:tcPr>
          <w:p>
            <w:pPr>
              <w:ind w:left="280"/>
              <w:spacing w:after="0" w:line="193" w:lineRule="exact"/>
              <w:rPr>
                <w:sz w:val="20"/>
                <w:szCs w:val="20"/>
                <w:color w:val="auto"/>
              </w:rPr>
            </w:pPr>
            <w:r>
              <w:rPr>
                <w:rFonts w:ascii="Arial" w:cs="Arial" w:eastAsia="Arial" w:hAnsi="Arial"/>
                <w:sz w:val="17"/>
                <w:szCs w:val="17"/>
                <w:color w:val="auto"/>
              </w:rPr>
              <w:t>Cash paid for income taxes</w:t>
            </w: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20" w:type="dxa"/>
            <w:vAlign w:val="bottom"/>
            <w:gridSpan w:val="2"/>
          </w:tcPr>
          <w:p>
            <w:pPr>
              <w:jc w:val="right"/>
              <w:ind w:right="66"/>
              <w:spacing w:after="0" w:line="193"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2"/>
          </w:tcPr>
          <w:p>
            <w:pPr>
              <w:spacing w:after="0"/>
              <w:rPr>
                <w:sz w:val="20"/>
                <w:szCs w:val="20"/>
                <w:color w:val="auto"/>
              </w:rPr>
            </w:pPr>
            <w:r>
              <w:rPr>
                <w:rFonts w:ascii="Arial" w:cs="Arial" w:eastAsia="Arial" w:hAnsi="Arial"/>
                <w:sz w:val="17"/>
                <w:szCs w:val="17"/>
                <w:b w:val="1"/>
                <w:bCs w:val="1"/>
                <w:color w:val="auto"/>
              </w:rPr>
              <w:t>Non-cash financing activities: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Cashless exercise of 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which are based on the Company’s proprietary Space Alternated Phase Shift (“SAPS”) and Timely Energized Bubble Oscillation (“TEBO”) technologies, under the brand name “Ultra C.” These tools are designed to remove random defects from a wafer surface efficiently, without damaging the wafer or its features, even at increasingly advanced process nodes.</w:t>
      </w:r>
    </w:p>
    <w:p>
      <w:pPr>
        <w:spacing w:after="0" w:line="18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On September 13, 2017, ACM effectuated a 1-for-3 reverse stock split of Class A and Class B common stock.</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November 2, 2017, the Registration Statement on Form S-1 (File No. 333-220451) for ACM’s initial public offering of Class A common stock was declared effective by the U.S. Securities and Exchange Commission. Shares of Class A common stock began trading on the Nasdaq Global Market on November 3, 2017, and the closing for the offering was held on November 7, 2017.</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2019 ACM Shanghai formed a wholly owned subsidiary in the PRC, Shengwei Research (Shanghai), Inc. (“ACM Shengwei”), to manage activities related to addition of future long-term production capacity.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2019 CleanChip formed a wholly owned subsidiary in California, ACM Research (CA), Inc. (“ACM California”), to provide procurement services on behalf of ACM Shanghai.</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June 2019 ACM announced plans to complete over the next three years a listing (the “STAR Listing”) of shares of ACM Shanghai on the Shanghai Stock Exchange’s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ACM formed a wholly owned subsidiary in Singapore, ACM Research (Singapore) PTE, Ltd. to perform sales, marketing, and other business development activities.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2022 ACM Shanghai formed a wholly owned subsidiary in China, ACM Research (Beijing), Inc. (“ACM Beijing”), to perform sales, marketing and other business development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March 2022 ACM formed a wholly owned subsidiary in South Korea, Hanguk ACM CO., LTD, to perform business development and other related activities.</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consolidated financial statements have been adjusted retrospectively to reflect the Stock Split.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direct or indirect interests in the following subsidiaries: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580" w:type="dxa"/>
            <w:vAlign w:val="bottom"/>
            <w:gridSpan w:val="2"/>
          </w:tcPr>
          <w:p>
            <w:pPr>
              <w:jc w:val="right"/>
              <w:ind w:right="336"/>
              <w:spacing w:after="0"/>
              <w:rPr>
                <w:sz w:val="20"/>
                <w:szCs w:val="20"/>
                <w:color w:val="auto"/>
              </w:rPr>
            </w:pPr>
            <w:r>
              <w:rPr>
                <w:rFonts w:ascii="Arial" w:cs="Arial" w:eastAsia="Arial" w:hAnsi="Arial"/>
                <w:sz w:val="17"/>
                <w:szCs w:val="17"/>
                <w:b w:val="1"/>
                <w:bCs w:val="1"/>
                <w:color w:val="auto"/>
              </w:rPr>
              <w:t>Effective interest held as at</w:t>
            </w:r>
          </w:p>
        </w:tc>
      </w:tr>
      <w:tr>
        <w:trPr>
          <w:trHeight w:val="202"/>
        </w:trPr>
        <w:tc>
          <w:tcPr>
            <w:tcW w:w="3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300" w:type="dxa"/>
            <w:vAlign w:val="bottom"/>
          </w:tcPr>
          <w:p>
            <w:pPr>
              <w:jc w:val="right"/>
              <w:ind w:right="336"/>
              <w:spacing w:after="0"/>
              <w:rPr>
                <w:sz w:val="20"/>
                <w:szCs w:val="20"/>
                <w:color w:val="auto"/>
              </w:rPr>
            </w:pPr>
            <w:r>
              <w:rPr>
                <w:rFonts w:ascii="Arial" w:cs="Arial" w:eastAsia="Arial" w:hAnsi="Arial"/>
                <w:sz w:val="17"/>
                <w:szCs w:val="17"/>
                <w:b w:val="1"/>
                <w:bCs w:val="1"/>
                <w:color w:val="auto"/>
              </w:rPr>
              <w:t>March 31,</w:t>
            </w:r>
          </w:p>
        </w:tc>
        <w:tc>
          <w:tcPr>
            <w:tcW w:w="1280" w:type="dxa"/>
            <w:vAlign w:val="bottom"/>
          </w:tcPr>
          <w:p>
            <w:pPr>
              <w:jc w:val="right"/>
              <w:ind w:right="116"/>
              <w:spacing w:after="0"/>
              <w:rPr>
                <w:sz w:val="20"/>
                <w:szCs w:val="20"/>
                <w:color w:val="auto"/>
              </w:rPr>
            </w:pPr>
            <w:r>
              <w:rPr>
                <w:rFonts w:ascii="Arial" w:cs="Arial" w:eastAsia="Arial" w:hAnsi="Arial"/>
                <w:sz w:val="17"/>
                <w:szCs w:val="17"/>
                <w:b w:val="1"/>
                <w:bCs w:val="1"/>
                <w:color w:val="auto"/>
                <w:w w:val="95"/>
              </w:rPr>
              <w:t>December 31,</w:t>
            </w:r>
          </w:p>
        </w:tc>
      </w:tr>
      <w:tr>
        <w:trPr>
          <w:trHeight w:val="224"/>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subsidiaries</w:t>
            </w:r>
          </w:p>
        </w:tc>
        <w:tc>
          <w:tcPr>
            <w:tcW w:w="424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Place and date of incorporation</w:t>
            </w:r>
          </w:p>
        </w:tc>
        <w:tc>
          <w:tcPr>
            <w:tcW w:w="230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2022</w:t>
            </w: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2021</w:t>
            </w:r>
          </w:p>
        </w:tc>
      </w:tr>
      <w:tr>
        <w:trPr>
          <w:trHeight w:val="202"/>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ACM Research (Shanghai), Inc.</w:t>
            </w:r>
          </w:p>
        </w:tc>
        <w:tc>
          <w:tcPr>
            <w:tcW w:w="42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PRC, May 2005</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tcPr>
          <w:p>
            <w:pPr>
              <w:spacing w:after="0"/>
              <w:rPr>
                <w:sz w:val="20"/>
                <w:szCs w:val="20"/>
                <w:color w:val="auto"/>
              </w:rPr>
            </w:pPr>
            <w:r>
              <w:rPr>
                <w:rFonts w:ascii="Arial" w:cs="Arial" w:eastAsia="Arial" w:hAnsi="Arial"/>
                <w:sz w:val="17"/>
                <w:szCs w:val="17"/>
                <w:color w:val="auto"/>
              </w:rPr>
              <w:t>ACM Research (Wuxi), Inc.</w:t>
            </w:r>
          </w:p>
        </w:tc>
        <w:tc>
          <w:tcPr>
            <w:tcW w:w="4240" w:type="dxa"/>
            <w:vAlign w:val="bottom"/>
          </w:tcPr>
          <w:p>
            <w:pPr>
              <w:ind w:left="820"/>
              <w:spacing w:after="0"/>
              <w:rPr>
                <w:sz w:val="20"/>
                <w:szCs w:val="20"/>
                <w:color w:val="auto"/>
              </w:rPr>
            </w:pPr>
            <w:r>
              <w:rPr>
                <w:rFonts w:ascii="Arial" w:cs="Arial" w:eastAsia="Arial" w:hAnsi="Arial"/>
                <w:sz w:val="17"/>
                <w:szCs w:val="17"/>
                <w:color w:val="auto"/>
              </w:rPr>
              <w:t>PRC, July 2011</w:t>
            </w:r>
          </w:p>
        </w:tc>
        <w:tc>
          <w:tcPr>
            <w:tcW w:w="2300" w:type="dxa"/>
            <w:vAlign w:val="bottom"/>
          </w:tcPr>
          <w:p>
            <w:pPr>
              <w:jc w:val="right"/>
              <w:spacing w:after="0"/>
              <w:rPr>
                <w:sz w:val="20"/>
                <w:szCs w:val="20"/>
                <w:color w:val="auto"/>
              </w:rPr>
            </w:pPr>
            <w:r>
              <w:rPr>
                <w:rFonts w:ascii="Arial" w:cs="Arial" w:eastAsia="Arial" w:hAnsi="Arial"/>
                <w:sz w:val="17"/>
                <w:szCs w:val="17"/>
                <w:color w:val="auto"/>
              </w:rPr>
              <w:t>82.5%</w:t>
            </w:r>
          </w:p>
        </w:tc>
        <w:tc>
          <w:tcPr>
            <w:tcW w:w="1280" w:type="dxa"/>
            <w:vAlign w:val="bottom"/>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CleanChip Technologies Limited</w:t>
            </w:r>
          </w:p>
        </w:tc>
        <w:tc>
          <w:tcPr>
            <w:tcW w:w="42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Hong Kong, June 2017</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tcPr>
          <w:p>
            <w:pPr>
              <w:spacing w:after="0"/>
              <w:rPr>
                <w:sz w:val="20"/>
                <w:szCs w:val="20"/>
                <w:color w:val="auto"/>
              </w:rPr>
            </w:pPr>
            <w:r>
              <w:rPr>
                <w:rFonts w:ascii="Arial" w:cs="Arial" w:eastAsia="Arial" w:hAnsi="Arial"/>
                <w:sz w:val="17"/>
                <w:szCs w:val="17"/>
                <w:color w:val="auto"/>
              </w:rPr>
              <w:t>ACM Research Korea CO., LTD.</w:t>
            </w:r>
          </w:p>
        </w:tc>
        <w:tc>
          <w:tcPr>
            <w:tcW w:w="4240" w:type="dxa"/>
            <w:vAlign w:val="bottom"/>
          </w:tcPr>
          <w:p>
            <w:pPr>
              <w:ind w:left="820"/>
              <w:spacing w:after="0"/>
              <w:rPr>
                <w:sz w:val="20"/>
                <w:szCs w:val="20"/>
                <w:color w:val="auto"/>
              </w:rPr>
            </w:pPr>
            <w:r>
              <w:rPr>
                <w:rFonts w:ascii="Arial" w:cs="Arial" w:eastAsia="Arial" w:hAnsi="Arial"/>
                <w:sz w:val="17"/>
                <w:szCs w:val="17"/>
                <w:color w:val="auto"/>
              </w:rPr>
              <w:t>Korea, December 2017</w:t>
            </w:r>
          </w:p>
        </w:tc>
        <w:tc>
          <w:tcPr>
            <w:tcW w:w="2300" w:type="dxa"/>
            <w:vAlign w:val="bottom"/>
          </w:tcPr>
          <w:p>
            <w:pPr>
              <w:jc w:val="right"/>
              <w:spacing w:after="0"/>
              <w:rPr>
                <w:sz w:val="20"/>
                <w:szCs w:val="20"/>
                <w:color w:val="auto"/>
              </w:rPr>
            </w:pPr>
            <w:r>
              <w:rPr>
                <w:rFonts w:ascii="Arial" w:cs="Arial" w:eastAsia="Arial" w:hAnsi="Arial"/>
                <w:sz w:val="17"/>
                <w:szCs w:val="17"/>
                <w:color w:val="auto"/>
              </w:rPr>
              <w:t>82.5%</w:t>
            </w:r>
          </w:p>
        </w:tc>
        <w:tc>
          <w:tcPr>
            <w:tcW w:w="1280" w:type="dxa"/>
            <w:vAlign w:val="bottom"/>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Shengwei Research (Shanghai), Inc.</w:t>
            </w:r>
          </w:p>
        </w:tc>
        <w:tc>
          <w:tcPr>
            <w:tcW w:w="42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PRC, March 2019</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tcPr>
          <w:p>
            <w:pPr>
              <w:spacing w:after="0"/>
              <w:rPr>
                <w:sz w:val="20"/>
                <w:szCs w:val="20"/>
                <w:color w:val="auto"/>
              </w:rPr>
            </w:pPr>
            <w:r>
              <w:rPr>
                <w:rFonts w:ascii="Arial" w:cs="Arial" w:eastAsia="Arial" w:hAnsi="Arial"/>
                <w:sz w:val="17"/>
                <w:szCs w:val="17"/>
                <w:color w:val="auto"/>
              </w:rPr>
              <w:t>ACM Research (CA), Inc.</w:t>
            </w:r>
          </w:p>
        </w:tc>
        <w:tc>
          <w:tcPr>
            <w:tcW w:w="4240" w:type="dxa"/>
            <w:vAlign w:val="bottom"/>
          </w:tcPr>
          <w:p>
            <w:pPr>
              <w:ind w:left="820"/>
              <w:spacing w:after="0"/>
              <w:rPr>
                <w:sz w:val="20"/>
                <w:szCs w:val="20"/>
                <w:color w:val="auto"/>
              </w:rPr>
            </w:pPr>
            <w:r>
              <w:rPr>
                <w:rFonts w:ascii="Arial" w:cs="Arial" w:eastAsia="Arial" w:hAnsi="Arial"/>
                <w:sz w:val="17"/>
                <w:szCs w:val="17"/>
                <w:color w:val="auto"/>
              </w:rPr>
              <w:t>USA, April 2019</w:t>
            </w:r>
          </w:p>
        </w:tc>
        <w:tc>
          <w:tcPr>
            <w:tcW w:w="2300" w:type="dxa"/>
            <w:vAlign w:val="bottom"/>
          </w:tcPr>
          <w:p>
            <w:pPr>
              <w:jc w:val="right"/>
              <w:spacing w:after="0"/>
              <w:rPr>
                <w:sz w:val="20"/>
                <w:szCs w:val="20"/>
                <w:color w:val="auto"/>
              </w:rPr>
            </w:pPr>
            <w:r>
              <w:rPr>
                <w:rFonts w:ascii="Arial" w:cs="Arial" w:eastAsia="Arial" w:hAnsi="Arial"/>
                <w:sz w:val="17"/>
                <w:szCs w:val="17"/>
                <w:color w:val="auto"/>
              </w:rPr>
              <w:t>82.5%</w:t>
            </w:r>
          </w:p>
        </w:tc>
        <w:tc>
          <w:tcPr>
            <w:tcW w:w="1280" w:type="dxa"/>
            <w:vAlign w:val="bottom"/>
          </w:tcPr>
          <w:p>
            <w:pPr>
              <w:jc w:val="right"/>
              <w:spacing w:after="0"/>
              <w:rPr>
                <w:sz w:val="20"/>
                <w:szCs w:val="20"/>
                <w:color w:val="auto"/>
              </w:rPr>
            </w:pPr>
            <w:r>
              <w:rPr>
                <w:rFonts w:ascii="Arial" w:cs="Arial" w:eastAsia="Arial" w:hAnsi="Arial"/>
                <w:sz w:val="17"/>
                <w:szCs w:val="17"/>
                <w:color w:val="0D0D0D"/>
              </w:rPr>
              <w:t>82.5%</w:t>
            </w:r>
          </w:p>
        </w:tc>
      </w:tr>
      <w:tr>
        <w:trPr>
          <w:trHeight w:val="202"/>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ACM Research (Cayman), Inc.</w:t>
            </w:r>
          </w:p>
        </w:tc>
        <w:tc>
          <w:tcPr>
            <w:tcW w:w="42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Cayman Islands, April 2019</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100.0%</w:t>
            </w:r>
          </w:p>
        </w:tc>
      </w:tr>
      <w:tr>
        <w:trPr>
          <w:trHeight w:val="202"/>
        </w:trPr>
        <w:tc>
          <w:tcPr>
            <w:tcW w:w="3420" w:type="dxa"/>
            <w:vAlign w:val="bottom"/>
          </w:tcPr>
          <w:p>
            <w:pPr>
              <w:spacing w:after="0"/>
              <w:rPr>
                <w:sz w:val="20"/>
                <w:szCs w:val="20"/>
                <w:color w:val="auto"/>
              </w:rPr>
            </w:pPr>
            <w:r>
              <w:rPr>
                <w:rFonts w:ascii="Arial" w:cs="Arial" w:eastAsia="Arial" w:hAnsi="Arial"/>
                <w:sz w:val="17"/>
                <w:szCs w:val="17"/>
                <w:color w:val="auto"/>
              </w:rPr>
              <w:t>ACM Research (Singapore) PTE. Ltd.</w:t>
            </w:r>
          </w:p>
        </w:tc>
        <w:tc>
          <w:tcPr>
            <w:tcW w:w="4240" w:type="dxa"/>
            <w:vAlign w:val="bottom"/>
          </w:tcPr>
          <w:p>
            <w:pPr>
              <w:ind w:left="820"/>
              <w:spacing w:after="0"/>
              <w:rPr>
                <w:sz w:val="20"/>
                <w:szCs w:val="20"/>
                <w:color w:val="auto"/>
              </w:rPr>
            </w:pPr>
            <w:r>
              <w:rPr>
                <w:rFonts w:ascii="Arial" w:cs="Arial" w:eastAsia="Arial" w:hAnsi="Arial"/>
                <w:sz w:val="17"/>
                <w:szCs w:val="17"/>
                <w:color w:val="auto"/>
              </w:rPr>
              <w:t>Singapore, August 2021</w:t>
            </w:r>
          </w:p>
        </w:tc>
        <w:tc>
          <w:tcPr>
            <w:tcW w:w="2300" w:type="dxa"/>
            <w:vAlign w:val="bottom"/>
          </w:tcPr>
          <w:p>
            <w:pPr>
              <w:jc w:val="right"/>
              <w:spacing w:after="0"/>
              <w:rPr>
                <w:sz w:val="20"/>
                <w:szCs w:val="20"/>
                <w:color w:val="auto"/>
              </w:rPr>
            </w:pPr>
            <w:r>
              <w:rPr>
                <w:rFonts w:ascii="Arial" w:cs="Arial" w:eastAsia="Arial" w:hAnsi="Arial"/>
                <w:sz w:val="17"/>
                <w:szCs w:val="17"/>
                <w:color w:val="auto"/>
              </w:rPr>
              <w:t>100.0%</w:t>
            </w:r>
          </w:p>
        </w:tc>
        <w:tc>
          <w:tcPr>
            <w:tcW w:w="12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02"/>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ACM Research (Beijing), Inc.</w:t>
            </w:r>
          </w:p>
        </w:tc>
        <w:tc>
          <w:tcPr>
            <w:tcW w:w="42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PRC, February 2022</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2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r>
      <w:tr>
        <w:trPr>
          <w:trHeight w:val="214"/>
        </w:trPr>
        <w:tc>
          <w:tcPr>
            <w:tcW w:w="3420" w:type="dxa"/>
            <w:vAlign w:val="bottom"/>
          </w:tcPr>
          <w:p>
            <w:pPr>
              <w:spacing w:after="0"/>
              <w:rPr>
                <w:sz w:val="20"/>
                <w:szCs w:val="20"/>
                <w:color w:val="auto"/>
              </w:rPr>
            </w:pPr>
            <w:r>
              <w:rPr>
                <w:rFonts w:ascii="Arial" w:cs="Arial" w:eastAsia="Arial" w:hAnsi="Arial"/>
                <w:sz w:val="17"/>
                <w:szCs w:val="17"/>
                <w:color w:val="auto"/>
              </w:rPr>
              <w:t>Hanguk ACM CO., LTD.</w:t>
            </w:r>
          </w:p>
        </w:tc>
        <w:tc>
          <w:tcPr>
            <w:tcW w:w="4240" w:type="dxa"/>
            <w:vAlign w:val="bottom"/>
          </w:tcPr>
          <w:p>
            <w:pPr>
              <w:ind w:left="820"/>
              <w:spacing w:after="0"/>
              <w:rPr>
                <w:sz w:val="20"/>
                <w:szCs w:val="20"/>
                <w:color w:val="auto"/>
              </w:rPr>
            </w:pPr>
            <w:r>
              <w:rPr>
                <w:rFonts w:ascii="Arial" w:cs="Arial" w:eastAsia="Arial" w:hAnsi="Arial"/>
                <w:sz w:val="17"/>
                <w:szCs w:val="17"/>
                <w:color w:val="auto"/>
              </w:rPr>
              <w:t>Korea, March 2022</w:t>
            </w:r>
          </w:p>
        </w:tc>
        <w:tc>
          <w:tcPr>
            <w:tcW w:w="2300" w:type="dxa"/>
            <w:vAlign w:val="bottom"/>
          </w:tcPr>
          <w:p>
            <w:pPr>
              <w:jc w:val="right"/>
              <w:spacing w:after="0"/>
              <w:rPr>
                <w:sz w:val="20"/>
                <w:szCs w:val="20"/>
                <w:color w:val="auto"/>
              </w:rPr>
            </w:pPr>
            <w:r>
              <w:rPr>
                <w:rFonts w:ascii="Arial" w:cs="Arial" w:eastAsia="Arial" w:hAnsi="Arial"/>
                <w:sz w:val="17"/>
                <w:szCs w:val="17"/>
                <w:color w:val="auto"/>
              </w:rPr>
              <w:t>100.0%</w:t>
            </w:r>
          </w:p>
        </w:tc>
        <w:tc>
          <w:tcPr>
            <w:tcW w:w="1280" w:type="dxa"/>
            <w:vAlign w:val="bottom"/>
          </w:tcPr>
          <w:p>
            <w:pPr>
              <w:jc w:val="right"/>
              <w:ind w:right="56"/>
              <w:spacing w:after="0"/>
              <w:rPr>
                <w:sz w:val="20"/>
                <w:szCs w:val="20"/>
                <w:color w:val="auto"/>
              </w:rPr>
            </w:pPr>
            <w:r>
              <w:rPr>
                <w:rFonts w:ascii="Arial" w:cs="Arial" w:eastAsia="Arial" w:hAnsi="Arial"/>
                <w:sz w:val="17"/>
                <w:szCs w:val="17"/>
                <w:color w:val="auto"/>
              </w:rPr>
              <w:t>—</w:t>
            </w:r>
          </w:p>
        </w:tc>
      </w:tr>
      <w:tr>
        <w:trPr>
          <w:trHeight w:val="521"/>
        </w:trPr>
        <w:tc>
          <w:tcPr>
            <w:tcW w:w="3420" w:type="dxa"/>
            <w:vAlign w:val="bottom"/>
          </w:tcPr>
          <w:p>
            <w:pPr>
              <w:spacing w:after="0"/>
              <w:rPr>
                <w:sz w:val="24"/>
                <w:szCs w:val="24"/>
                <w:color w:val="auto"/>
              </w:rPr>
            </w:pPr>
          </w:p>
        </w:tc>
        <w:tc>
          <w:tcPr>
            <w:tcW w:w="4240" w:type="dxa"/>
            <w:vAlign w:val="bottom"/>
          </w:tcPr>
          <w:p>
            <w:pPr>
              <w:ind w:left="2180"/>
              <w:spacing w:after="0"/>
              <w:rPr>
                <w:sz w:val="20"/>
                <w:szCs w:val="20"/>
                <w:color w:val="auto"/>
              </w:rPr>
            </w:pPr>
            <w:r>
              <w:rPr>
                <w:rFonts w:ascii="Arial" w:cs="Arial" w:eastAsia="Arial" w:hAnsi="Arial"/>
                <w:sz w:val="13"/>
                <w:szCs w:val="13"/>
                <w:color w:val="auto"/>
              </w:rPr>
              <w:t>9</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
        </w:trPr>
        <w:tc>
          <w:tcPr>
            <w:tcW w:w="342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Principles of Consolidation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condensed consolidated financial statements include the accounts of ACM and its subsidiaries, including ACM Shanghai and its subsidiaries, which include ACM Wuxi, ACM Shengwei, ACM Beijing, and CleanChip (the subsidiaries of which include ACM California and ACM Korea). ACM’s subsidiaries are those entities in which ACM, directly or indirectly, controls a majority of the voting power. All significant intercompany transactions and balances have been eliminated upon consolidation.</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2021 included in ACM’s Annual Report on Form 10-K for the year ended December 31, 2021.</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accompanying condensed consolidated balance sheet as of March 31, 2022, condensed consolidated statements of operations and comprehensive income for the three months ended March 31, 2022 and 2021, condensed consolidated statements of changes in stockholders’ equity for the three months ended March 31, 2022 and 2021, and condensed consolidated statements of cash flows for the three months ended March 31, 2022 and 2021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2022 and the results of operations for the three months ended March 31, 2022 are not necessarily indicative of the results to be expected for any future period.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Common Stock Split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Unless otherwise indicated, all prior period share and per share amounts, common stock, other capital, and retained earnings information presented in the accompanying financial statements and these notes thereto has been retroactively adjusted to reflect the impact of the Stock Split (Note 1). Proportional adjustments were also made to outstanding awards under the Company’s stock-based compensation plans.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COVID-19 Assessment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however, and it is impossible to predict the effect and ultimate impact of the COVID-19 pandemic on the Company’s business operations and results. While the quarantine, social distancing and other regulatory measures instituted or recommended in response to COVID-19 are expected to be temporary, the duration or future repetitions of the business disruptions, and related financial impacts, cannot be estimated at this time. COVID-19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Company conducts substantially all of its product development, manufacturing, support and services in the PRC, and those activities have been directly impacted by COVID-19 and related restrictions on transportation and public appearances. In March 2022, several regions in China began to experience elevated levels of COVID-19 infections, and the PRC government instituted policies to restrict the spread of the virus. The policies began with an increase of “spot lockdowns,” under which a positive polymerase chain reaction (PCR) or other test would result in the quarantining of individual buildings, groups of buildings, or even full neighborhoods. The policies were later expanded to full-city lockdowns,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during the first quarter of 2022, and therefore limited ACM Shanghai’s ability to ship finished products to customers and to produce new products. Spot lockdowns in mid-March 2022 began to impact a number of ACM Shanghai’s employees and led to a closure of ACM Shanghai’s administrative and R&amp;D offices in Zhangjiang in the Pudong district. A subsequent lockdown of the entire Pudong region of Shanghai was imposed in late March 2022 and impacted the operation of ACM Shanghai’s Chuansha production facility. Furthermore, a number of the Company’s customers have substantial operations based in operations areas of the PRC, including in the City of Shanghai, subject to the full-city lockdown restrictions, which have been limiting the operations of those customers since the first quarter of 2022, including inhibiting their ability to receive, implement and operate new tools for their manufacturing facilities. As a result, in some cases, ACM Shanghai has been required to defer shipments of finished products to these customers because of operational and logistics limitations affecting customers rather than, or in addition to, ACM Shanghai. The Company has begun to resume some operations using the “closed loop method,” in which a limited collection of workers remains together as a group between a single hotel, the ACM Shanghai facility, and a dedicated bus transportation route, also referred to as “two spots and one line.” The Company anticipates that the lockdowns and their effects will be temporary but may continue for several months, with a gradual return of PRC operations, production capacity, and global logistics as Shanghai and other areas in the PRC begin to reopen. The Company cannot assure that closures or reductions of PRC operations or production, whether of ACM Shanghai or of some of its key customers, may not be extended in upcoming months as the result of business interruptions arising from protective measures being taken by the PRC and other governmental agencies or of other consequences of COVID-19.</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corporate headquarters are located in San Mateo County in the San Francisco Bay Area.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prolonged and broad-based shift to remote working environments resulting from COVID-19 continues to create inherent productivity, connectivity, and oversight challenges and could affect the Company’s ability to enhance, develop and support existing products and services, detect and prevent spam and problematic content, hold product sales and marketing events, and generate new sales leads. In addition, the changed environment under which the Company is operating could have an effect on its internal controls over financial reporting as well as its ability to meet a number of its compliance requirements in a timely or quality manner. Additional or extended governmental lockdowns, restrictions or regulations could significantly impact the ability of the Company’s employees and vendors to work productively. Governmental restrictions have been inconsistent globally and it remains unclear when a return to worksite locations or travel will be permitted or what restrictions will be in place in those environments. As the Company prepares to return its workforce to the office in more locations in 2022, it may experience increased costs as it prepares its facilities for a safe return to work environment and experiments with hybrid work models and may suffer additional adverse effects on its ability to compete effectively and maintain its corporate culture.</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COVID-19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COVID-19, they elect not to come to work due to the illness affecting others in the Company’s office or laboratory facilities, or they are subject to quarantines or other governmentally imposed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Basic and Diluted Net Income per Common Share</w:t>
            </w:r>
          </w:p>
        </w:tc>
        <w:tc>
          <w:tcPr>
            <w:tcW w:w="52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8660" w:type="dxa"/>
            <w:vAlign w:val="bottom"/>
            <w:gridSpan w:val="4"/>
          </w:tcPr>
          <w:p>
            <w:pPr>
              <w:spacing w:after="0"/>
              <w:rPr>
                <w:sz w:val="20"/>
                <w:szCs w:val="20"/>
                <w:color w:val="auto"/>
              </w:rPr>
            </w:pPr>
            <w:r>
              <w:rPr>
                <w:rFonts w:ascii="Arial" w:cs="Arial" w:eastAsia="Arial" w:hAnsi="Arial"/>
                <w:sz w:val="17"/>
                <w:szCs w:val="17"/>
                <w:color w:val="auto"/>
                <w:w w:val="97"/>
              </w:rPr>
              <w:t>Basic and diluted net income per common share are calculated as follows, as adjusted to give effect to the Stock Split: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tcPr>
          <w:p>
            <w:pPr>
              <w:ind w:left="10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(7,443)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3"/>
          </w:tcPr>
          <w:p>
            <w:pPr>
              <w:spacing w:after="0"/>
              <w:rPr>
                <w:sz w:val="20"/>
                <w:szCs w:val="20"/>
                <w:color w:val="auto"/>
              </w:rPr>
            </w:pPr>
            <w:r>
              <w:rPr>
                <w:rFonts w:ascii="Arial" w:cs="Arial" w:eastAsia="Arial" w:hAnsi="Arial"/>
                <w:sz w:val="17"/>
                <w:szCs w:val="17"/>
                <w:color w:val="auto"/>
              </w:rPr>
              <w:t>Net income (loss) available to common stockholders, 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(5,786)</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Borders>
              <w:bottom w:val="single" w:sz="8" w:color="CCEEFF"/>
            </w:tcBorders>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w w:val="92"/>
              </w:rPr>
              <w:t>Less: Dilutive effect arising from share-based awards by ACM</w:t>
            </w:r>
          </w:p>
        </w:tc>
        <w:tc>
          <w:tcPr>
            <w:tcW w:w="418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shd w:val="clear" w:color="auto" w:fill="CCEEFF"/>
              </w:rPr>
              <w:t>Shanghai</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(86)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tcPr>
          <w:p>
            <w:pPr>
              <w:spacing w:after="0"/>
              <w:rPr>
                <w:sz w:val="20"/>
                <w:szCs w:val="20"/>
                <w:color w:val="auto"/>
              </w:rPr>
            </w:pPr>
            <w:r>
              <w:rPr>
                <w:rFonts w:ascii="Arial" w:cs="Arial" w:eastAsia="Arial" w:hAnsi="Arial"/>
                <w:sz w:val="17"/>
                <w:szCs w:val="17"/>
                <w:color w:val="auto"/>
              </w:rPr>
              <w:t>Net income (loss) available to common stockholders,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(5,700)</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3"/>
          </w:tcPr>
          <w:p>
            <w:pPr>
              <w:spacing w:after="0"/>
              <w:rPr>
                <w:sz w:val="20"/>
                <w:szCs w:val="20"/>
                <w:color w:val="auto"/>
              </w:rPr>
            </w:pPr>
            <w:r>
              <w:rPr>
                <w:rFonts w:ascii="Arial" w:cs="Arial" w:eastAsia="Arial" w:hAnsi="Arial"/>
                <w:sz w:val="17"/>
                <w:szCs w:val="17"/>
                <w:color w:val="auto"/>
              </w:rPr>
              <w:t>Weighted average shares outstanding, basic</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58,827,390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56,360,610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7,123,532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9,244,230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3"/>
          </w:tcPr>
          <w:p>
            <w:pPr>
              <w:ind w:left="100"/>
              <w:spacing w:after="0"/>
              <w:rPr>
                <w:sz w:val="20"/>
                <w:szCs w:val="20"/>
                <w:color w:val="auto"/>
              </w:rPr>
            </w:pPr>
            <w:r>
              <w:rPr>
                <w:rFonts w:ascii="Arial" w:cs="Arial" w:eastAsia="Arial" w:hAnsi="Arial"/>
                <w:sz w:val="17"/>
                <w:szCs w:val="17"/>
                <w:color w:val="auto"/>
              </w:rPr>
              <w:t>Weighted average shares outstanding, diluted</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65,950,922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65,604,840</w:t>
            </w: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gridSpan w:val="3"/>
          </w:tcPr>
          <w:p>
            <w:pPr>
              <w:spacing w:after="0"/>
              <w:rPr>
                <w:sz w:val="20"/>
                <w:szCs w:val="20"/>
                <w:color w:val="auto"/>
              </w:rPr>
            </w:pPr>
            <w:r>
              <w:rPr>
                <w:rFonts w:ascii="Arial" w:cs="Arial" w:eastAsia="Arial" w:hAnsi="Arial"/>
                <w:sz w:val="17"/>
                <w:szCs w:val="17"/>
                <w:color w:val="auto"/>
              </w:rPr>
              <w:t>Net income (loss) per common share: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40" w:type="dxa"/>
            <w:vAlign w:val="bottom"/>
            <w:gridSpan w:val="3"/>
          </w:tcPr>
          <w:p>
            <w:pPr>
              <w:ind w:left="100"/>
              <w:spacing w:after="0" w:line="193" w:lineRule="exact"/>
              <w:rPr>
                <w:sz w:val="20"/>
                <w:szCs w:val="20"/>
                <w:color w:val="auto"/>
              </w:rPr>
            </w:pPr>
            <w:r>
              <w:rPr>
                <w:rFonts w:ascii="Arial" w:cs="Arial" w:eastAsia="Arial" w:hAnsi="Arial"/>
                <w:sz w:val="17"/>
                <w:szCs w:val="17"/>
                <w:color w:val="auto"/>
              </w:rPr>
              <w:t>Diluted</w:t>
            </w: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(0.09)</w:t>
            </w:r>
          </w:p>
        </w:tc>
        <w:tc>
          <w:tcPr>
            <w:tcW w:w="3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cash dividends during the three months ended March 31, 2022 or 2021,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ACM’s potential dilutive securities consist of warrants and stock options for the three months ended March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is potentially subject to concentrations of credit risks in its accounts receivable. For the three months ended March 31, 2022 and 2021, the Company’s three largest customers in total accounted for 62.6% and 60.1%, respectively, of revenue. As of March 31, 2022 and December 31, 2021, the Company’s two largest customers in total accounted for 53.2% and 53.8%, respectively, of the Company’s accounts receivables. The Company believes that the receivable balances from these largest customers do not represent a significant credit risk based on past collection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June 2016 the Financial Accounting Standards Board, or FASB, issued Accounting Standards Update, or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 Measurement of Credit Losses on Financial Instruments</w:t>
      </w:r>
      <w:r>
        <w:rPr>
          <w:rFonts w:ascii="Arial" w:cs="Arial" w:eastAsia="Arial" w:hAnsi="Arial"/>
          <w:sz w:val="17"/>
          <w:szCs w:val="17"/>
          <w:color w:val="auto"/>
        </w:rPr>
        <w:t>. ASU 2016-13 replaced the pre-existing incurred loss impairment methodology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In November 2019 the FASB issued ASU 2019-10,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 Derivatives and Hedging (Topic 815), and 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Dates, </w:t>
      </w:r>
      <w:r>
        <w:rPr>
          <w:rFonts w:ascii="Arial" w:cs="Arial" w:eastAsia="Arial" w:hAnsi="Arial"/>
          <w:sz w:val="16"/>
          <w:szCs w:val="16"/>
          <w:color w:val="auto"/>
        </w:rPr>
        <w:t>which defers the effective date for public filers that are considered small reporting companies (“SRC”) as defined by the U.S.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ectPr>
          <w:pgSz w:w="11900" w:h="16838" w:orient="portrait"/>
          <w:cols w:equalWidth="0" w:num="1">
            <w:col w:w="11240"/>
          </w:cols>
          <w:pgMar w:left="320" w:top="122" w:right="3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assesses revenues based upon the nature or type of goods or services it provides and the geographic location of the related businesses. The following tables present disaggregated revenue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Single wafer cleaning, Tahoe and semi-critical cleaning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ECP (front-end and packaging), furnace and other technologies</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12,248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(excluding ECP), services &amp; spares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3,905</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b w:val="1"/>
                <w:bCs w:val="1"/>
                <w:color w:val="auto"/>
              </w:rPr>
              <w:t>Total Revenue By Product Category</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42,186</w:t>
            </w:r>
          </w:p>
        </w:tc>
        <w:tc>
          <w:tcPr>
            <w:tcW w:w="440" w:type="dxa"/>
            <w:vAlign w:val="bottom"/>
            <w:gridSpan w:val="2"/>
          </w:tcPr>
          <w:p>
            <w:pPr>
              <w:jc w:val="right"/>
              <w:ind w:right="65"/>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43,732</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8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440" w:type="dxa"/>
            <w:vAlign w:val="bottom"/>
            <w:gridSpan w:val="2"/>
            <w:shd w:val="clear" w:color="auto" w:fill="CCEEFF"/>
          </w:tcPr>
          <w:p>
            <w:pPr>
              <w:spacing w:after="0"/>
              <w:rPr>
                <w:sz w:val="16"/>
                <w:szCs w:val="16"/>
                <w:color w:val="auto"/>
              </w:rPr>
            </w:pPr>
          </w:p>
        </w:tc>
        <w:tc>
          <w:tcPr>
            <w:tcW w:w="9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Wet cleaning and other front-end processing tools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31,702</w:t>
            </w:r>
          </w:p>
        </w:tc>
        <w:tc>
          <w:tcPr>
            <w:tcW w:w="44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31,900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Advanced packaging, other processing tools, services and spares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b w:val="1"/>
                <w:bCs w:val="1"/>
                <w:color w:val="auto"/>
              </w:rPr>
              <w:t>Total Revenue Front-end and Back-End</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42,186</w:t>
            </w:r>
          </w:p>
        </w:tc>
        <w:tc>
          <w:tcPr>
            <w:tcW w:w="20" w:type="dxa"/>
            <w:vAlign w:val="bottom"/>
          </w:tcPr>
          <w:p>
            <w:pPr>
              <w:spacing w:after="0"/>
              <w:rPr>
                <w:sz w:val="17"/>
                <w:szCs w:val="17"/>
                <w:color w:val="auto"/>
              </w:rPr>
            </w:pPr>
          </w:p>
        </w:tc>
        <w:tc>
          <w:tcPr>
            <w:tcW w:w="440" w:type="dxa"/>
            <w:vAlign w:val="bottom"/>
            <w:gridSpan w:val="2"/>
          </w:tcPr>
          <w:p>
            <w:pPr>
              <w:jc w:val="right"/>
              <w:ind w:right="65"/>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43,732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Mainland China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Other Regions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42,186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43,732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4 – ACCOUNTS RECEIVABLE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accounts receivable consisted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106,351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106,351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105,553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March 31, 2022 or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5 – INVENTORIES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inventory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March 31,</w:t>
            </w: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56,755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35,840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91,724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 inventory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271,538</w:t>
            </w:r>
          </w:p>
        </w:tc>
        <w:tc>
          <w:tcPr>
            <w:tcW w:w="120" w:type="dxa"/>
            <w:vAlign w:val="bottom"/>
          </w:tcPr>
          <w:p>
            <w:pPr>
              <w:spacing w:after="0"/>
              <w:rPr>
                <w:sz w:val="17"/>
                <w:szCs w:val="17"/>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218,116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At March 31, 2022 and December 31, 2021, the Company held an inventory reserve of $1,826 and $1,215, respectively. At March 31, 2022 and December 31, 2021, finished goods inventory included system shipments of first-tools to existing or prospective customers, for which ownership does not transfer until customer acceptance or customer purchase, of $97,887, and $91,724, respectively. At March 31, 2022 and December 31, 2021, the value of finished goods inventory for which customers were contractually obligated to take ownership upon acceptance totaled $79,422 and $71,889,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6 – PROPERTY, PLANT AND EQUIPMENT, NET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property, plant and equipment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March 31,</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Buildings and plants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Manufacturing equipment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8,738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7,973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Office equipment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Transportation equipment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217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217</w:t>
            </w: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Leasehold improvement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 cost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57,912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14,336</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Less: Total accumulated depreciation</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(6,837)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(5,900)</w:t>
            </w: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5,606</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0D0D0D"/>
              </w:rPr>
              <w:t>57,680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Depreciation expense was $1,083 and $439 for the three months ended March 31, 2022 and 2021, respectively. Buildings and plants represents Lingang Housing transferred to ACM Shengwei in January 2022 at a value of $41,497 (RMB 263,979), including the purchase price and accumulated interest, and with estimated useful lives of 30-year (note 8). Buildings and plants are pledged as security for loans from China Merchants Bank (note 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7 – LAND USE RIGHT, NET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 summary of land use right is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March 31,</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Land use right purchase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9,966</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(350)</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(299)</w:t>
            </w: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 use right,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2020 ACM Shanghai, through its wholly owned subsidiary ACM Shengwei, entered into an agreement for a 50-year land use right in the Lingang region of Shanghai. In July 2020 ACM Shengwei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for the three months ended March 31, 2022 and 2021 was $50 and $49,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annual amortization of land use right for each of the next five years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8320" w:type="dxa"/>
            <w:vAlign w:val="bottom"/>
            <w:tcBorders>
              <w:bottom w:val="single" w:sz="8" w:color="auto"/>
            </w:tcBorders>
          </w:tcPr>
          <w:p>
            <w:pPr>
              <w:jc w:val="right"/>
              <w:ind w:right="4521"/>
              <w:spacing w:after="0"/>
              <w:rPr>
                <w:sz w:val="20"/>
                <w:szCs w:val="20"/>
                <w:color w:val="auto"/>
              </w:rPr>
            </w:pPr>
            <w:r>
              <w:rPr>
                <w:rFonts w:ascii="Arial" w:cs="Arial" w:eastAsia="Arial" w:hAnsi="Arial"/>
                <w:sz w:val="17"/>
                <w:szCs w:val="17"/>
                <w:b w:val="1"/>
                <w:bCs w:val="1"/>
                <w:color w:val="auto"/>
              </w:rPr>
              <w:t>Year ending 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jc w:val="right"/>
              <w:ind w:right="1756"/>
              <w:spacing w:after="0"/>
              <w:rPr>
                <w:sz w:val="20"/>
                <w:szCs w:val="20"/>
                <w:color w:val="auto"/>
              </w:rPr>
            </w:pPr>
            <w:r>
              <w:rPr>
                <w:rFonts w:ascii="Arial" w:cs="Arial" w:eastAsia="Arial" w:hAnsi="Arial"/>
                <w:sz w:val="17"/>
                <w:szCs w:val="17"/>
                <w:color w:val="auto"/>
                <w:w w:val="79"/>
              </w:rPr>
              <w:t>2022</w:t>
            </w:r>
          </w:p>
        </w:tc>
        <w:tc>
          <w:tcPr>
            <w:tcW w:w="8320" w:type="dxa"/>
            <w:vAlign w:val="bottom"/>
            <w:shd w:val="clear" w:color="auto" w:fill="CCEEFF"/>
          </w:tcPr>
          <w:p>
            <w:pPr>
              <w:jc w:val="right"/>
              <w:ind w:right="32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160" w:type="dxa"/>
            <w:vAlign w:val="bottom"/>
          </w:tcPr>
          <w:p>
            <w:pPr>
              <w:jc w:val="right"/>
              <w:ind w:right="1756"/>
              <w:spacing w:after="0"/>
              <w:rPr>
                <w:sz w:val="20"/>
                <w:szCs w:val="20"/>
                <w:color w:val="auto"/>
              </w:rPr>
            </w:pPr>
            <w:r>
              <w:rPr>
                <w:rFonts w:ascii="Arial" w:cs="Arial" w:eastAsia="Arial" w:hAnsi="Arial"/>
                <w:sz w:val="17"/>
                <w:szCs w:val="17"/>
                <w:color w:val="auto"/>
                <w:w w:val="79"/>
              </w:rPr>
              <w:t>2023</w:t>
            </w:r>
          </w:p>
        </w:tc>
        <w:tc>
          <w:tcPr>
            <w:tcW w:w="83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jc w:val="right"/>
              <w:ind w:right="1756"/>
              <w:spacing w:after="0"/>
              <w:rPr>
                <w:sz w:val="20"/>
                <w:szCs w:val="20"/>
                <w:color w:val="auto"/>
              </w:rPr>
            </w:pPr>
            <w:r>
              <w:rPr>
                <w:rFonts w:ascii="Arial" w:cs="Arial" w:eastAsia="Arial" w:hAnsi="Arial"/>
                <w:sz w:val="17"/>
                <w:szCs w:val="17"/>
                <w:color w:val="auto"/>
                <w:w w:val="79"/>
              </w:rPr>
              <w:t>2024</w:t>
            </w:r>
          </w:p>
        </w:tc>
        <w:tc>
          <w:tcPr>
            <w:tcW w:w="8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w:t>
            </w:r>
          </w:p>
        </w:tc>
      </w:tr>
      <w:tr>
        <w:trPr>
          <w:trHeight w:val="202"/>
        </w:trPr>
        <w:tc>
          <w:tcPr>
            <w:tcW w:w="20" w:type="dxa"/>
            <w:vAlign w:val="bottom"/>
          </w:tcPr>
          <w:p>
            <w:pPr>
              <w:spacing w:after="0"/>
              <w:rPr>
                <w:sz w:val="17"/>
                <w:szCs w:val="17"/>
                <w:color w:val="auto"/>
              </w:rPr>
            </w:pPr>
          </w:p>
        </w:tc>
        <w:tc>
          <w:tcPr>
            <w:tcW w:w="2160" w:type="dxa"/>
            <w:vAlign w:val="bottom"/>
          </w:tcPr>
          <w:p>
            <w:pPr>
              <w:jc w:val="right"/>
              <w:ind w:right="1756"/>
              <w:spacing w:after="0"/>
              <w:rPr>
                <w:sz w:val="20"/>
                <w:szCs w:val="20"/>
                <w:color w:val="auto"/>
              </w:rPr>
            </w:pPr>
            <w:r>
              <w:rPr>
                <w:rFonts w:ascii="Arial" w:cs="Arial" w:eastAsia="Arial" w:hAnsi="Arial"/>
                <w:sz w:val="17"/>
                <w:szCs w:val="17"/>
                <w:color w:val="auto"/>
                <w:w w:val="79"/>
              </w:rPr>
              <w:t>2025</w:t>
            </w:r>
          </w:p>
        </w:tc>
        <w:tc>
          <w:tcPr>
            <w:tcW w:w="83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jc w:val="right"/>
              <w:ind w:right="1756"/>
              <w:spacing w:after="0"/>
              <w:rPr>
                <w:sz w:val="20"/>
                <w:szCs w:val="20"/>
                <w:color w:val="auto"/>
              </w:rPr>
            </w:pPr>
            <w:r>
              <w:rPr>
                <w:rFonts w:ascii="Arial" w:cs="Arial" w:eastAsia="Arial" w:hAnsi="Arial"/>
                <w:sz w:val="17"/>
                <w:szCs w:val="17"/>
                <w:color w:val="auto"/>
                <w:w w:val="79"/>
              </w:rPr>
              <w:t>2026</w:t>
            </w:r>
          </w:p>
        </w:tc>
        <w:tc>
          <w:tcPr>
            <w:tcW w:w="8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w:t>
            </w:r>
          </w:p>
        </w:tc>
      </w:tr>
      <w:tr>
        <w:trPr>
          <w:trHeight w:val="533"/>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320" w:type="dxa"/>
            <w:vAlign w:val="bottom"/>
          </w:tcPr>
          <w:p>
            <w:pPr>
              <w:jc w:val="right"/>
              <w:ind w:right="4721"/>
              <w:spacing w:after="0"/>
              <w:rPr>
                <w:sz w:val="20"/>
                <w:szCs w:val="20"/>
                <w:color w:val="auto"/>
              </w:rPr>
            </w:pPr>
            <w:r>
              <w:rPr>
                <w:rFonts w:ascii="Arial" w:cs="Arial" w:eastAsia="Arial" w:hAnsi="Arial"/>
                <w:sz w:val="13"/>
                <w:szCs w:val="13"/>
                <w:color w:val="auto"/>
              </w:rPr>
              <w:t>14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8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8 – OTHER LONG-TERM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other long-term assets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March 31,</w:t>
            </w: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property - Lingang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Prepayment for property, plant and equipment and other non-current assets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Prepayment for property - lease deposit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Security deposit for land use right</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 other long-term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3,559</w:t>
            </w:r>
          </w:p>
        </w:tc>
        <w:tc>
          <w:tcPr>
            <w:tcW w:w="120" w:type="dxa"/>
            <w:vAlign w:val="bottom"/>
          </w:tcPr>
          <w:p>
            <w:pPr>
              <w:spacing w:after="0"/>
              <w:rPr>
                <w:sz w:val="17"/>
                <w:szCs w:val="17"/>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45,017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Prepayment for property – Lingang is for the housing in Lingang, Shanghai and consists of (1) the contractual amount to acquire the property and (2) capitalized interest charges on the long-term loan related to acquisition of the property, which amounted to $1,048 at the time of transfer and $986 as of December 31, 2021. Pursuant to contractual agreements, ownership of the housing in Lingang, Shanghai was transferred to ACM Shengwei in January 2022 at a value of $41,497 at the time of transfer, and $42,111 as of December 31, 2021, which reflected the purchase price and cumulative capitalized interest charges related to the long-term loan from China Merchants Bank (note 12). Subsequent to the transfer of ownership, Prepayment for property – Lingang, was reclassed to property plant and equipment (note 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gridSpan w:val="2"/>
          </w:tcPr>
          <w:p>
            <w:pPr>
              <w:spacing w:after="0"/>
              <w:rPr>
                <w:sz w:val="20"/>
                <w:szCs w:val="20"/>
                <w:color w:val="auto"/>
              </w:rPr>
            </w:pPr>
            <w:r>
              <w:rPr>
                <w:rFonts w:ascii="Arial" w:cs="Arial" w:eastAsia="Arial" w:hAnsi="Arial"/>
                <w:sz w:val="17"/>
                <w:szCs w:val="17"/>
                <w:b w:val="1"/>
                <w:bCs w:val="1"/>
                <w:color w:val="auto"/>
              </w:rPr>
              <w:t>NOTE 9 – SHORT-TERM BORROWINGS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752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short-term borrowings consisted of the following:</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b w:val="1"/>
                <w:bCs w:val="1"/>
                <w:color w:val="auto"/>
                <w:w w:val="96"/>
              </w:rPr>
              <w:t>March 31,</w:t>
            </w: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20" w:type="dxa"/>
            <w:vAlign w:val="bottom"/>
            <w:gridSpan w:val="2"/>
          </w:tcPr>
          <w:p>
            <w:pPr>
              <w:spacing w:after="0"/>
              <w:rPr>
                <w:sz w:val="20"/>
                <w:szCs w:val="20"/>
                <w:color w:val="auto"/>
              </w:rPr>
            </w:pPr>
            <w:r>
              <w:rPr>
                <w:rFonts w:ascii="Arial" w:cs="Arial" w:eastAsia="Arial" w:hAnsi="Arial"/>
                <w:sz w:val="17"/>
                <w:szCs w:val="17"/>
                <w:color w:val="auto"/>
              </w:rPr>
              <w:t>Line of credit up to RMB 100,000 from Bank of Shanghai Pudong Branch,</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1)due on June 7,2022 with an annual interest rate of 2.7%. (1)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4,617</w:t>
            </w:r>
          </w:p>
        </w:tc>
        <w:tc>
          <w:tcPr>
            <w:tcW w:w="4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Line of credit up to RMB 150,000 from China Everbright Bank,</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1)due on October 21,2022 with annual interest rate of 1.95%.</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Line of credit up to RMB 60,000 from Bank of Communications,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1)due on October 25,2022 with an annual interest rate of 3.85%.</w:t>
            </w: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7"/>
                <w:szCs w:val="17"/>
                <w:color w:val="auto"/>
              </w:rPr>
              <w:t>Total</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0D0D0D"/>
              </w:rPr>
              <w:t>$</w:t>
            </w:r>
          </w:p>
        </w:tc>
        <w:tc>
          <w:tcPr>
            <w:tcW w:w="980" w:type="dxa"/>
            <w:vAlign w:val="bottom"/>
          </w:tcPr>
          <w:p>
            <w:pPr>
              <w:jc w:val="right"/>
              <w:spacing w:after="0"/>
              <w:rPr>
                <w:sz w:val="20"/>
                <w:szCs w:val="20"/>
                <w:color w:val="auto"/>
              </w:rPr>
            </w:pPr>
            <w:r>
              <w:rPr>
                <w:rFonts w:ascii="Arial" w:cs="Arial" w:eastAsia="Arial" w:hAnsi="Arial"/>
                <w:sz w:val="17"/>
                <w:szCs w:val="17"/>
                <w:color w:val="0D0D0D"/>
              </w:rPr>
              <w:t>9,600</w:t>
            </w:r>
          </w:p>
        </w:tc>
        <w:tc>
          <w:tcPr>
            <w:tcW w:w="460" w:type="dxa"/>
            <w:vAlign w:val="bottom"/>
            <w:gridSpan w:val="2"/>
          </w:tcPr>
          <w:p>
            <w:pPr>
              <w:jc w:val="right"/>
              <w:ind w:right="56"/>
              <w:spacing w:after="0"/>
              <w:rPr>
                <w:sz w:val="20"/>
                <w:szCs w:val="20"/>
                <w:color w:val="auto"/>
              </w:rPr>
            </w:pPr>
            <w:r>
              <w:rPr>
                <w:rFonts w:ascii="Arial" w:cs="Arial" w:eastAsia="Arial" w:hAnsi="Arial"/>
                <w:sz w:val="17"/>
                <w:szCs w:val="17"/>
                <w:color w:val="0D0D0D"/>
              </w:rPr>
              <w:t>$</w:t>
            </w:r>
          </w:p>
        </w:tc>
        <w:tc>
          <w:tcPr>
            <w:tcW w:w="880" w:type="dxa"/>
            <w:vAlign w:val="bottom"/>
          </w:tcPr>
          <w:p>
            <w:pPr>
              <w:jc w:val="right"/>
              <w:spacing w:after="0"/>
              <w:rPr>
                <w:sz w:val="20"/>
                <w:szCs w:val="20"/>
                <w:color w:val="auto"/>
              </w:rPr>
            </w:pPr>
            <w:r>
              <w:rPr>
                <w:rFonts w:ascii="Arial" w:cs="Arial" w:eastAsia="Arial" w:hAnsi="Arial"/>
                <w:sz w:val="17"/>
                <w:szCs w:val="17"/>
                <w:color w:val="0D0D0D"/>
              </w:rPr>
              <w:t>9,591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7"/>
                <w:szCs w:val="17"/>
                <w:color w:val="auto"/>
              </w:rPr>
              <w:t>(1) Guaranteed by CleanChip</w:t>
            </w: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2022 and 2021, interest expense related to short-term borrowings amounted to $63 and $189,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10 – OTHER PAYABLE AND ACCRUED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8660" w:type="dxa"/>
            <w:vAlign w:val="bottom"/>
            <w:gridSpan w:val="2"/>
          </w:tcPr>
          <w:p>
            <w:pPr>
              <w:spacing w:after="0"/>
              <w:rPr>
                <w:sz w:val="20"/>
                <w:szCs w:val="20"/>
                <w:color w:val="auto"/>
              </w:rPr>
            </w:pPr>
            <w:r>
              <w:rPr>
                <w:rFonts w:ascii="Arial" w:cs="Arial" w:eastAsia="Arial" w:hAnsi="Arial"/>
                <w:sz w:val="17"/>
                <w:szCs w:val="17"/>
                <w:color w:val="auto"/>
              </w:rPr>
              <w:t>At March 31, 2022 and December 31, 2021, other payable and accrued expenses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March 31,</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12,507</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Accrued warranty</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6,631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601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785</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Accrued machine testing fees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w:t>
            </w: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Others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5,979</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36,555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LEASES</w:t>
      </w: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4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40" w:type="dxa"/>
            <w:vAlign w:val="bottom"/>
            <w:gridSpan w:val="2"/>
          </w:tcPr>
          <w:p>
            <w:pPr>
              <w:spacing w:after="0"/>
              <w:rPr>
                <w:sz w:val="20"/>
                <w:szCs w:val="20"/>
                <w:color w:val="auto"/>
              </w:rPr>
            </w:pPr>
            <w:r>
              <w:rPr>
                <w:rFonts w:ascii="Arial" w:cs="Arial" w:eastAsia="Arial" w:hAnsi="Arial"/>
                <w:sz w:val="17"/>
                <w:szCs w:val="17"/>
                <w:color w:val="auto"/>
              </w:rPr>
              <w:t>The components of lease expense were as follows:</w:t>
            </w: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80" w:type="dxa"/>
            <w:vAlign w:val="bottom"/>
            <w:gridSpan w:val="6"/>
          </w:tcPr>
          <w:p>
            <w:pPr>
              <w:ind w:left="100"/>
              <w:spacing w:after="0"/>
              <w:rPr>
                <w:sz w:val="20"/>
                <w:szCs w:val="20"/>
                <w:color w:val="auto"/>
              </w:rPr>
            </w:pPr>
            <w:r>
              <w:rPr>
                <w:rFonts w:ascii="Arial" w:cs="Arial" w:eastAsia="Arial" w:hAnsi="Arial"/>
                <w:sz w:val="17"/>
                <w:szCs w:val="17"/>
                <w:b w:val="1"/>
                <w:bCs w:val="1"/>
                <w:color w:val="auto"/>
                <w:w w:val="97"/>
              </w:rPr>
              <w:t>Three Months Ended March 31,</w:t>
            </w:r>
          </w:p>
        </w:tc>
      </w:tr>
      <w:tr>
        <w:trPr>
          <w:trHeight w:val="207"/>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26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Short-term lease cost</w:t>
            </w:r>
          </w:p>
        </w:tc>
        <w:tc>
          <w:tcPr>
            <w:tcW w:w="2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cost</w:t>
            </w:r>
          </w:p>
        </w:tc>
        <w:tc>
          <w:tcPr>
            <w:tcW w:w="2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operating leases was as follows for the three months ended March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tcPr>
          <w:p>
            <w:pPr>
              <w:jc w:val="right"/>
              <w:ind w:right="180"/>
              <w:spacing w:after="0"/>
              <w:rPr>
                <w:sz w:val="20"/>
                <w:szCs w:val="20"/>
                <w:color w:val="auto"/>
              </w:rPr>
            </w:pPr>
            <w:r>
              <w:rPr>
                <w:rFonts w:ascii="Arial" w:cs="Arial" w:eastAsia="Arial" w:hAnsi="Arial"/>
                <w:sz w:val="17"/>
                <w:szCs w:val="17"/>
                <w:b w:val="1"/>
                <w:bCs w:val="1"/>
                <w:color w:val="auto"/>
                <w:w w:val="90"/>
              </w:rPr>
              <w:t>Three Months Ended March 31,</w:t>
            </w:r>
          </w:p>
        </w:tc>
      </w:tr>
      <w:tr>
        <w:trPr>
          <w:trHeight w:val="207"/>
        </w:trPr>
        <w:tc>
          <w:tcPr>
            <w:tcW w:w="48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190"/>
        </w:trPr>
        <w:tc>
          <w:tcPr>
            <w:tcW w:w="4820" w:type="dxa"/>
            <w:vAlign w:val="bottom"/>
          </w:tcPr>
          <w:p>
            <w:pPr>
              <w:spacing w:after="0" w:line="189" w:lineRule="exact"/>
              <w:rPr>
                <w:sz w:val="20"/>
                <w:szCs w:val="20"/>
                <w:color w:val="auto"/>
              </w:rPr>
            </w:pPr>
            <w:r>
              <w:rPr>
                <w:rFonts w:ascii="Arial" w:cs="Arial" w:eastAsia="Arial" w:hAnsi="Arial"/>
                <w:sz w:val="17"/>
                <w:szCs w:val="17"/>
                <w:color w:val="auto"/>
              </w:rPr>
              <w:t>Cash paid for amounts included in the measurement of lease</w:t>
            </w: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7"/>
                <w:szCs w:val="17"/>
                <w:color w:val="auto"/>
              </w:rPr>
              <w:t>liabilities: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4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cash outflow from operating leases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594</w:t>
            </w:r>
          </w:p>
        </w:tc>
      </w:tr>
      <w:tr>
        <w:trPr>
          <w:trHeight w:val="523"/>
        </w:trPr>
        <w:tc>
          <w:tcPr>
            <w:tcW w:w="482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2884"/>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
        </w:trPr>
        <w:tc>
          <w:tcPr>
            <w:tcW w:w="48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880" w:type="dxa"/>
            <w:vAlign w:val="bottom"/>
          </w:tcPr>
          <w:p>
            <w:pPr>
              <w:jc w:val="center"/>
              <w:ind w:left="1416"/>
              <w:spacing w:after="0" w:line="178" w:lineRule="exact"/>
              <w:rPr>
                <w:sz w:val="20"/>
                <w:szCs w:val="20"/>
                <w:color w:val="auto"/>
              </w:rPr>
            </w:pPr>
            <w:r>
              <w:rPr>
                <w:rFonts w:ascii="Arial" w:cs="Arial" w:eastAsia="Arial" w:hAnsi="Arial"/>
                <w:sz w:val="17"/>
                <w:szCs w:val="17"/>
                <w:b w:val="1"/>
                <w:bCs w:val="1"/>
                <w:color w:val="auto"/>
                <w:w w:val="99"/>
              </w:rPr>
              <w:t>ACM RESEARCH, INC.</w:t>
            </w: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80" w:type="dxa"/>
            <w:vAlign w:val="bottom"/>
          </w:tcPr>
          <w:p>
            <w:pPr>
              <w:jc w:val="center"/>
              <w:ind w:left="1396"/>
              <w:spacing w:after="0"/>
              <w:rPr>
                <w:sz w:val="20"/>
                <w:szCs w:val="20"/>
                <w:color w:val="auto"/>
              </w:rPr>
            </w:pPr>
            <w:r>
              <w:rPr>
                <w:rFonts w:ascii="Arial" w:cs="Arial" w:eastAsia="Arial" w:hAnsi="Arial"/>
                <w:sz w:val="17"/>
                <w:szCs w:val="17"/>
                <w:b w:val="1"/>
                <w:bCs w:val="1"/>
                <w:color w:val="auto"/>
                <w:w w:val="87"/>
              </w:rPr>
              <w:t>Notes to Condensed Consolidated Financial Statements</w:t>
            </w: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80" w:type="dxa"/>
            <w:vAlign w:val="bottom"/>
          </w:tcPr>
          <w:p>
            <w:pPr>
              <w:jc w:val="center"/>
              <w:ind w:left="1416"/>
              <w:spacing w:after="0"/>
              <w:rPr>
                <w:sz w:val="20"/>
                <w:szCs w:val="20"/>
                <w:color w:val="auto"/>
              </w:rPr>
            </w:pPr>
            <w:r>
              <w:rPr>
                <w:rFonts w:ascii="Arial" w:cs="Arial" w:eastAsia="Arial" w:hAnsi="Arial"/>
                <w:sz w:val="17"/>
                <w:szCs w:val="17"/>
                <w:color w:val="auto"/>
                <w:w w:val="86"/>
              </w:rPr>
              <w:t>(in thousands, except share and per share data)</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9"/>
        </w:trPr>
        <w:tc>
          <w:tcPr>
            <w:tcW w:w="8820" w:type="dxa"/>
            <w:vAlign w:val="bottom"/>
            <w:gridSpan w:val="3"/>
          </w:tcPr>
          <w:p>
            <w:pPr>
              <w:spacing w:after="0"/>
              <w:rPr>
                <w:sz w:val="20"/>
                <w:szCs w:val="20"/>
                <w:color w:val="auto"/>
              </w:rPr>
            </w:pPr>
            <w:r>
              <w:rPr>
                <w:rFonts w:ascii="Arial" w:cs="Arial" w:eastAsia="Arial" w:hAnsi="Arial"/>
                <w:sz w:val="17"/>
                <w:szCs w:val="17"/>
                <w:color w:val="auto"/>
              </w:rPr>
              <w:t>As of March 31, 2022, maturities of outstanding lease liabilities for all operating leases were as follows:</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December 31,</w:t>
            </w: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7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2023</w:t>
            </w:r>
          </w:p>
        </w:tc>
        <w:tc>
          <w:tcPr>
            <w:tcW w:w="7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1,265</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7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2025</w:t>
            </w:r>
          </w:p>
        </w:tc>
        <w:tc>
          <w:tcPr>
            <w:tcW w:w="7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7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2027</w:t>
            </w:r>
          </w:p>
        </w:tc>
        <w:tc>
          <w:tcPr>
            <w:tcW w:w="7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1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7"/>
                <w:szCs w:val="17"/>
                <w:color w:val="auto"/>
              </w:rPr>
              <w:t>Less: Interest</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(210)</w:t>
            </w:r>
          </w:p>
        </w:tc>
      </w:tr>
      <w:tr>
        <w:trPr>
          <w:trHeight w:val="242"/>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terms and discount rates for all operating leases were as follows as of March 31, 2022 and December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March 31,</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r>
      <w:tr>
        <w:trPr>
          <w:trHeight w:val="224"/>
        </w:trPr>
        <w:tc>
          <w:tcPr>
            <w:tcW w:w="8620" w:type="dxa"/>
            <w:vAlign w:val="bottom"/>
          </w:tcPr>
          <w:p>
            <w:pPr>
              <w:spacing w:after="0"/>
              <w:rPr>
                <w:sz w:val="19"/>
                <w:szCs w:val="19"/>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r>
      <w:tr>
        <w:trPr>
          <w:trHeight w:val="202"/>
        </w:trPr>
        <w:tc>
          <w:tcPr>
            <w:tcW w:w="8620" w:type="dxa"/>
            <w:vAlign w:val="bottom"/>
          </w:tcPr>
          <w:p>
            <w:pPr>
              <w:spacing w:after="0"/>
              <w:rPr>
                <w:sz w:val="20"/>
                <w:szCs w:val="20"/>
                <w:color w:val="auto"/>
              </w:rPr>
            </w:pPr>
            <w:r>
              <w:rPr>
                <w:rFonts w:ascii="Arial" w:cs="Arial" w:eastAsia="Arial" w:hAnsi="Arial"/>
                <w:sz w:val="17"/>
                <w:szCs w:val="17"/>
                <w:color w:val="auto"/>
              </w:rPr>
              <w:t>Remaining lease term and discount rate: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1.68</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1.37</w:t>
            </w:r>
          </w:p>
        </w:tc>
      </w:tr>
      <w:tr>
        <w:trPr>
          <w:trHeight w:val="214"/>
        </w:trPr>
        <w:tc>
          <w:tcPr>
            <w:tcW w:w="862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1360" w:type="dxa"/>
            <w:vAlign w:val="bottom"/>
            <w:gridSpan w:val="2"/>
          </w:tcPr>
          <w:p>
            <w:pPr>
              <w:ind w:left="820"/>
              <w:spacing w:after="0"/>
              <w:rPr>
                <w:sz w:val="20"/>
                <w:szCs w:val="20"/>
                <w:color w:val="auto"/>
              </w:rPr>
            </w:pPr>
            <w:r>
              <w:rPr>
                <w:rFonts w:ascii="Arial" w:cs="Arial" w:eastAsia="Arial" w:hAnsi="Arial"/>
                <w:sz w:val="17"/>
                <w:szCs w:val="17"/>
                <w:color w:val="auto"/>
              </w:rPr>
              <w:t>4.37%</w:t>
            </w:r>
          </w:p>
        </w:tc>
        <w:tc>
          <w:tcPr>
            <w:tcW w:w="1260" w:type="dxa"/>
            <w:vAlign w:val="bottom"/>
            <w:gridSpan w:val="2"/>
          </w:tcPr>
          <w:p>
            <w:pPr>
              <w:ind w:left="820"/>
              <w:spacing w:after="0"/>
              <w:rPr>
                <w:sz w:val="20"/>
                <w:szCs w:val="20"/>
                <w:color w:val="auto"/>
              </w:rPr>
            </w:pPr>
            <w:r>
              <w:rPr>
                <w:rFonts w:ascii="Arial" w:cs="Arial" w:eastAsia="Arial" w:hAnsi="Arial"/>
                <w:sz w:val="17"/>
                <w:szCs w:val="17"/>
                <w:color w:val="auto"/>
                <w:w w:val="87"/>
              </w:rPr>
              <w:t>4.54%</w:t>
            </w:r>
          </w:p>
        </w:tc>
      </w:tr>
      <w:tr>
        <w:trPr>
          <w:trHeight w:val="392"/>
        </w:trPr>
        <w:tc>
          <w:tcPr>
            <w:tcW w:w="8620" w:type="dxa"/>
            <w:vAlign w:val="bottom"/>
          </w:tcPr>
          <w:p>
            <w:pPr>
              <w:spacing w:after="0"/>
              <w:rPr>
                <w:sz w:val="20"/>
                <w:szCs w:val="20"/>
                <w:color w:val="auto"/>
              </w:rPr>
            </w:pPr>
            <w:r>
              <w:rPr>
                <w:rFonts w:ascii="Arial" w:cs="Arial" w:eastAsia="Arial" w:hAnsi="Arial"/>
                <w:sz w:val="17"/>
                <w:szCs w:val="17"/>
                <w:b w:val="1"/>
                <w:bCs w:val="1"/>
                <w:color w:val="auto"/>
              </w:rPr>
              <w:t>NOTE 12 – LONG-TERM BORROWINGS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4"/>
        </w:trPr>
        <w:tc>
          <w:tcPr>
            <w:tcW w:w="8620" w:type="dxa"/>
            <w:vAlign w:val="bottom"/>
          </w:tcPr>
          <w:p>
            <w:pPr>
              <w:spacing w:after="0"/>
              <w:rPr>
                <w:sz w:val="20"/>
                <w:szCs w:val="20"/>
                <w:color w:val="auto"/>
              </w:rPr>
            </w:pPr>
            <w:r>
              <w:rPr>
                <w:rFonts w:ascii="Arial" w:cs="Arial" w:eastAsia="Arial" w:hAnsi="Arial"/>
                <w:sz w:val="17"/>
                <w:szCs w:val="17"/>
                <w:color w:val="auto"/>
              </w:rPr>
              <w:t>At March 31, 2022 and December 31, 2021, long-term borrowings consisted of the following:</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Loan from China Merchants Bank</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Loans from Bank of China</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6,977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(2,410)</w:t>
            </w:r>
          </w:p>
        </w:tc>
      </w:tr>
      <w:tr>
        <w:trPr>
          <w:trHeight w:val="25"/>
        </w:trPr>
        <w:tc>
          <w:tcPr>
            <w:tcW w:w="20" w:type="dxa"/>
            <w:vAlign w:val="bottom"/>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22,344</w:t>
            </w:r>
          </w:p>
        </w:tc>
        <w:tc>
          <w:tcPr>
            <w:tcW w:w="140" w:type="dxa"/>
            <w:vAlign w:val="bottom"/>
          </w:tcPr>
          <w:p>
            <w:pPr>
              <w:spacing w:after="0"/>
              <w:rPr>
                <w:sz w:val="17"/>
                <w:szCs w:val="17"/>
                <w:color w:val="auto"/>
              </w:rPr>
            </w:pPr>
          </w:p>
        </w:tc>
        <w:tc>
          <w:tcPr>
            <w:tcW w:w="320" w:type="dxa"/>
            <w:vAlign w:val="bottom"/>
            <w:gridSpan w:val="2"/>
          </w:tcPr>
          <w:p>
            <w:pPr>
              <w:jc w:val="right"/>
              <w:ind w:right="61"/>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22,957</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loan from China Merchants Bank is for the purpose of purchasing property in Lingang, Shanghai. The loan is repayable in 120 total installments with the last installment due in November 2030, with an annual interest rate of 4.65%. The loan is pledged by the property of ACM Shengwei and guaranteed by ACM Shanghai. As of March 31, 2022, the right certificate of the pledged property has not been obtained and the procedures of the formal pledge registration in the bank had not been completed.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for the outstanding long-term loan as of March 31, 2022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gridSpan w:val="2"/>
          </w:tcPr>
          <w:p>
            <w:pPr>
              <w:jc w:val="right"/>
              <w:ind w:right="7180"/>
              <w:spacing w:after="0"/>
              <w:rPr>
                <w:sz w:val="20"/>
                <w:szCs w:val="20"/>
                <w:color w:val="auto"/>
              </w:rPr>
            </w:pPr>
            <w:r>
              <w:rPr>
                <w:rFonts w:ascii="Arial" w:cs="Arial" w:eastAsia="Arial" w:hAnsi="Arial"/>
                <w:sz w:val="17"/>
                <w:szCs w:val="17"/>
                <w:b w:val="1"/>
                <w:bCs w:val="1"/>
                <w:color w:val="auto"/>
                <w:w w:val="91"/>
              </w:rPr>
              <w:t>Year ending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9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2023</w:t>
            </w:r>
          </w:p>
        </w:tc>
        <w:tc>
          <w:tcPr>
            <w:tcW w:w="8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8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7"/>
                <w:szCs w:val="17"/>
                <w:color w:val="auto"/>
              </w:rPr>
              <w:t>2025</w:t>
            </w:r>
          </w:p>
        </w:tc>
        <w:tc>
          <w:tcPr>
            <w:tcW w:w="8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1,968</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0"/>
              </w:rPr>
              <w:t>2026 and onwards</w:t>
            </w:r>
          </w:p>
        </w:tc>
        <w:tc>
          <w:tcPr>
            <w:tcW w:w="8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24,785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80"/>
        <w:spacing w:after="0" w:line="339" w:lineRule="auto"/>
        <w:rPr>
          <w:sz w:val="20"/>
          <w:szCs w:val="20"/>
          <w:color w:val="auto"/>
        </w:rPr>
      </w:pPr>
      <w:r>
        <w:rPr>
          <w:rFonts w:ascii="Arial" w:cs="Arial" w:eastAsia="Arial" w:hAnsi="Arial"/>
          <w:sz w:val="15"/>
          <w:szCs w:val="15"/>
          <w:color w:val="auto"/>
        </w:rPr>
        <w:t>For the three months ended March 31, 2022 and 2021, respectively, interest related to long-term borrowings of $258 and $317 was incurred, of which $198 and $0 was charged to interest expenses and $60 and $317 was capitalized as property plant and equipment and other long-term assets,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OTHER LONG-TERM LIABILITIES</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Other long-term liabilities represent government subsidies received from PRC governmental authorities for development and commercialization of certain technology but not yet recognized. As of March 31, 2022 and December 31, 2021, other long-term liabilities consisted of the following unearned government subsidies: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March 31,</w:t>
            </w: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 and 2017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0D0D0D"/>
              </w:rPr>
              <w:t>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Subsidies to other cleaning tools,commenced in 2020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0D0D0D"/>
              </w:rPr>
              <w:t>1,014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Subsidies to SW Lingang R&amp;D development in 2021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0D0D0D"/>
              </w:rPr>
              <w:t>5,958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D0D0D"/>
              </w:rPr>
              <w:t>524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8,545</w:t>
            </w:r>
          </w:p>
        </w:tc>
        <w:tc>
          <w:tcPr>
            <w:tcW w:w="120" w:type="dxa"/>
            <w:vAlign w:val="bottom"/>
          </w:tcPr>
          <w:p>
            <w:pPr>
              <w:spacing w:after="0"/>
              <w:rPr>
                <w:sz w:val="17"/>
                <w:szCs w:val="17"/>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7"/>
                <w:szCs w:val="17"/>
                <w:color w:val="0D0D0D"/>
              </w:rPr>
              <w:t>$</w:t>
            </w:r>
          </w:p>
        </w:tc>
        <w:tc>
          <w:tcPr>
            <w:tcW w:w="880" w:type="dxa"/>
            <w:vAlign w:val="bottom"/>
          </w:tcPr>
          <w:p>
            <w:pPr>
              <w:jc w:val="right"/>
              <w:spacing w:after="0"/>
              <w:rPr>
                <w:sz w:val="20"/>
                <w:szCs w:val="20"/>
                <w:color w:val="auto"/>
              </w:rPr>
            </w:pPr>
            <w:r>
              <w:rPr>
                <w:rFonts w:ascii="Arial" w:cs="Arial" w:eastAsia="Arial" w:hAnsi="Arial"/>
                <w:sz w:val="17"/>
                <w:szCs w:val="17"/>
                <w:color w:val="0D0D0D"/>
              </w:rPr>
              <w:t>8,447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LONG-TERM INVESTMENT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RMB 30,000 ($4,200), which represented 10% of the partnership’s total subscribed capital. The investment in Hefei Shixi is accounted for under the equity method in accordance with Accounting Standards Codification, or ASC, 323-30-S99-1.</w:t>
      </w:r>
    </w:p>
    <w:p>
      <w:pPr>
        <w:spacing w:after="0" w:line="18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October 29, 2021, ACM Shanghai and Waferworks (Shanghai) Co., Ltd (“Waferworks”), a company based in Shanghai and one of the Company’s customers, entered into an agreement pursuant to which Waferworks issued to ACM Shanghai shares representing 0.25% of Waferworks’ post-closing equity for a purchase price of $1,568. As there is no readily determinable fair value, the Company measures the investment in Waferworks at cost minus impairment, if any.</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March 31,</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2"/>
              </w:rPr>
              <w:t>December 31,</w:t>
            </w:r>
          </w:p>
        </w:tc>
      </w:tr>
      <w:tr>
        <w:trPr>
          <w:trHeight w:val="224"/>
        </w:trPr>
        <w:tc>
          <w:tcPr>
            <w:tcW w:w="8660" w:type="dxa"/>
            <w:vAlign w:val="bottom"/>
            <w:gridSpan w:val="2"/>
          </w:tcPr>
          <w:p>
            <w:pPr>
              <w:spacing w:after="0"/>
              <w:rPr>
                <w:sz w:val="20"/>
                <w:szCs w:val="20"/>
                <w:color w:val="auto"/>
              </w:rPr>
            </w:pPr>
            <w:r>
              <w:rPr>
                <w:rFonts w:ascii="Arial" w:cs="Arial" w:eastAsia="Arial" w:hAnsi="Arial"/>
                <w:sz w:val="17"/>
                <w:szCs w:val="17"/>
                <w:color w:val="auto"/>
              </w:rPr>
              <w:t>Equity investee: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Shengyi</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269</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211</w:t>
            </w: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Hefei Shixi</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Subtotal</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11,091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11,126</w:t>
            </w: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Other investee: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Waferworks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12,666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three months ended March 31, 2022 and 2021, the Company’s share of equity investees’ net income (loss) was ($71) and $320, respectively, which amounts were included in equity income (loss) in net income (loss) of affiliates in the accompanying condensed consolidated statements of operations and comprehensive income.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TRADING SECURITIES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(the “Partnership”) of which China Fortune-Tech Capital Co., Ltd serves as general partner and thirteen unaffiliated entities serve, with ACM Shanghai, as limited partners. The Partnership was formed to establish a special fund that would purchase, in a strategic placement, shares of SMIC to be listed on the STAR Market. The limited partners of the Partnership contributed to the fund a total of RMB 2.224 billion ($315,000), of which ACM Shanghai contributed RMB 100 million ($14.2 million), or 4.3% of the total contribution, on June 18, 2020.</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the closing of the SMIC offering in July 2020, the initial number of SMIC shares owned by the Partnership was apportioned to all of the limited partners in proportion to their respective capital contributions (4.3% in the case of ACM Shanghai).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SMIC was listed on the STAR Market in July 2020, ACM Shanghai’s investment is accounted for as trading securities and is stated at fair market value, which is classified as Level 1 of the hierarchy established under ASC 820 with valuations based on quoted prices for identical securities in active markets at March 31, 2022 and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Pr>
          <w:p>
            <w:pPr>
              <w:spacing w:after="0"/>
              <w:rPr>
                <w:sz w:val="20"/>
                <w:szCs w:val="20"/>
                <w:color w:val="auto"/>
              </w:rPr>
            </w:pPr>
            <w:r>
              <w:rPr>
                <w:rFonts w:ascii="Arial" w:cs="Arial" w:eastAsia="Arial" w:hAnsi="Arial"/>
                <w:sz w:val="17"/>
                <w:szCs w:val="17"/>
                <w:color w:val="auto"/>
              </w:rPr>
              <w:t>The components of trading securities were as follows: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8"/>
        </w:trPr>
        <w:tc>
          <w:tcPr>
            <w:tcW w:w="6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March 31,</w:t>
            </w: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4"/>
        </w:trPr>
        <w:tc>
          <w:tcPr>
            <w:tcW w:w="6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202"/>
        </w:trPr>
        <w:tc>
          <w:tcPr>
            <w:tcW w:w="6160" w:type="dxa"/>
            <w:vAlign w:val="bottom"/>
          </w:tcPr>
          <w:p>
            <w:pPr>
              <w:spacing w:after="0"/>
              <w:rPr>
                <w:sz w:val="20"/>
                <w:szCs w:val="20"/>
                <w:color w:val="auto"/>
              </w:rPr>
            </w:pPr>
            <w:r>
              <w:rPr>
                <w:rFonts w:ascii="Arial" w:cs="Arial" w:eastAsia="Arial" w:hAnsi="Arial"/>
                <w:sz w:val="17"/>
                <w:szCs w:val="17"/>
                <w:color w:val="auto"/>
              </w:rPr>
              <w:t>Trading securities listed in Shanghai Stock Exchange</w:t>
            </w: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2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15,431</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15,363</w:t>
            </w:r>
          </w:p>
        </w:tc>
      </w:tr>
      <w:tr>
        <w:trPr>
          <w:trHeight w:val="214"/>
        </w:trPr>
        <w:tc>
          <w:tcPr>
            <w:tcW w:w="6160" w:type="dxa"/>
            <w:vAlign w:val="bottom"/>
          </w:tcPr>
          <w:p>
            <w:pPr>
              <w:spacing w:after="0"/>
              <w:rPr>
                <w:sz w:val="20"/>
                <w:szCs w:val="20"/>
                <w:color w:val="auto"/>
              </w:rPr>
            </w:pPr>
            <w:r>
              <w:rPr>
                <w:rFonts w:ascii="Arial" w:cs="Arial" w:eastAsia="Arial" w:hAnsi="Arial"/>
                <w:sz w:val="17"/>
                <w:szCs w:val="17"/>
                <w:color w:val="auto"/>
              </w:rPr>
              <w:t>Market value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25,772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29,498</w:t>
            </w:r>
          </w:p>
        </w:tc>
      </w:tr>
    </w:tbl>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Unrealized loss on trading securities, net of exchange difference amounted to ($3,858) and ($1,047) for the three months ended March 31, 2022 and 2021,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NOTE 16 – RELATED PARTY BALANCES AND TRANSACTIONS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March 31,</w:t>
            </w: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07"/>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Prepaid expenses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Ninebell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0"/>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March 31,</w:t>
            </w: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07"/>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Accounts payable</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5,703</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Shengyi</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0"/>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7"/>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Purchase of materials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Ninebell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Shengyi</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358</w:t>
            </w:r>
          </w:p>
        </w:tc>
      </w:tr>
      <w:tr>
        <w:trPr>
          <w:trHeight w:val="242"/>
        </w:trPr>
        <w:tc>
          <w:tcPr>
            <w:tcW w:w="2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0"/>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7"/>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Service fee charged by</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Shengyi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34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142</w:t>
            </w:r>
          </w:p>
        </w:tc>
      </w:tr>
      <w:tr>
        <w:trPr>
          <w:trHeight w:val="25"/>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COMMON STOCK</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March 2022 ACM effectuated the Stock Split, which was a 3-for-1 stock split of Class A and Class B common stock in the form of a stock dividend.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by getting approval from a majority of common stockholders.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three months ended March 31, 2022, ACM issued 425,349 shares of Class A common stock upon option exercises by employees and non-employees, and an additional 1,002 shares of Class A common stock upon conversion of an equal number of shares of Class B common stock. During the three months ended March 31, 2021, ACM issued 929,820 shares of Class A common stock upon option exercises by employees and non-employees and an additional 100,002 shares of Class A common stock upon conversion of an equal number of shares of Class B common stock.</w:t>
      </w:r>
    </w:p>
    <w:p>
      <w:pPr>
        <w:spacing w:after="0" w:line="165"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At March 31, 2022 and December 31, 2021, the number of shares of Class A common stock issued and outstanding was 54,035,280 and 53,608,929, respectively. At March 31, 2022 and December 31, 2021, the number of shares of Class B common stock issued and outstanding was 5,086,812 and 5,087,814,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STOCK-BASED COMPENSATION</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have a short history of trading on a public market, the expected volatility is estimated with reference to the average historical volatility of a group of publicly traded companies that are believed to have similar characteristics to ACM Shanghai.</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ACM’s stock-based compensation consists of employee and non-employee awards issued under its 1998 Stock Option Plan, its 2016 Omnibus Incentive Plan and as standalone options. ACM granted stock options to employees under the 2016 Omnibus Incentive Plan during the three months ended March 31, 2022. The vesting condition may consist of a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580" w:type="dxa"/>
            <w:vAlign w:val="bottom"/>
            <w:gridSpan w:val="7"/>
          </w:tcPr>
          <w:p>
            <w:pPr>
              <w:jc w:val="right"/>
              <w:ind w:right="180"/>
              <w:spacing w:after="0"/>
              <w:rPr>
                <w:sz w:val="20"/>
                <w:szCs w:val="20"/>
                <w:color w:val="auto"/>
              </w:rPr>
            </w:pPr>
            <w:r>
              <w:rPr>
                <w:rFonts w:ascii="Arial" w:cs="Arial" w:eastAsia="Arial" w:hAnsi="Arial"/>
                <w:sz w:val="17"/>
                <w:szCs w:val="17"/>
                <w:b w:val="1"/>
                <w:bCs w:val="1"/>
                <w:color w:val="auto"/>
                <w:w w:val="94"/>
              </w:rPr>
              <w:t>Three Months Ended March 31,</w:t>
            </w:r>
          </w:p>
        </w:tc>
      </w:tr>
      <w:tr>
        <w:trPr>
          <w:trHeight w:val="207"/>
        </w:trPr>
        <w:tc>
          <w:tcPr>
            <w:tcW w:w="5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5660" w:type="dxa"/>
            <w:vAlign w:val="bottom"/>
          </w:tcPr>
          <w:p>
            <w:pPr>
              <w:spacing w:after="0"/>
              <w:rPr>
                <w:sz w:val="20"/>
                <w:szCs w:val="20"/>
                <w:color w:val="auto"/>
              </w:rPr>
            </w:pPr>
            <w:r>
              <w:rPr>
                <w:rFonts w:ascii="Arial" w:cs="Arial" w:eastAsia="Arial" w:hAnsi="Arial"/>
                <w:sz w:val="17"/>
                <w:szCs w:val="17"/>
                <w:b w:val="1"/>
                <w:bCs w:val="1"/>
                <w:color w:val="auto"/>
              </w:rPr>
              <w:t>Stock-Based Compensation Expense:</w:t>
            </w:r>
          </w:p>
        </w:tc>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r>
      <w:tr>
        <w:trPr>
          <w:trHeight w:val="202"/>
        </w:trPr>
        <w:tc>
          <w:tcPr>
            <w:tcW w:w="5660" w:type="dxa"/>
            <w:vAlign w:val="bottom"/>
          </w:tcPr>
          <w:p>
            <w:pPr>
              <w:spacing w:after="0"/>
              <w:rPr>
                <w:sz w:val="20"/>
                <w:szCs w:val="20"/>
                <w:color w:val="auto"/>
              </w:rPr>
            </w:pPr>
            <w:r>
              <w:rPr>
                <w:rFonts w:ascii="Arial" w:cs="Arial" w:eastAsia="Arial" w:hAnsi="Arial"/>
                <w:sz w:val="17"/>
                <w:szCs w:val="17"/>
                <w:color w:val="auto"/>
              </w:rPr>
              <w:t>Sales and marketing expense</w:t>
            </w:r>
          </w:p>
        </w:tc>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354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505</w:t>
            </w:r>
          </w:p>
        </w:tc>
      </w:tr>
      <w:tr>
        <w:trPr>
          <w:trHeight w:val="202"/>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405</w:t>
            </w:r>
          </w:p>
        </w:tc>
      </w:tr>
      <w:tr>
        <w:trPr>
          <w:trHeight w:val="242"/>
        </w:trPr>
        <w:tc>
          <w:tcPr>
            <w:tcW w:w="566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Three Months Ended March 31,</w:t>
            </w:r>
          </w:p>
        </w:tc>
        <w:tc>
          <w:tcPr>
            <w:tcW w:w="100" w:type="dxa"/>
            <w:vAlign w:val="bottom"/>
          </w:tcPr>
          <w:p>
            <w:pPr>
              <w:spacing w:after="0"/>
              <w:rPr>
                <w:sz w:val="19"/>
                <w:szCs w:val="19"/>
                <w:color w:val="auto"/>
              </w:rPr>
            </w:pPr>
          </w:p>
        </w:tc>
      </w:tr>
      <w:tr>
        <w:trPr>
          <w:trHeight w:val="207"/>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8660" w:type="dxa"/>
            <w:vAlign w:val="bottom"/>
          </w:tcPr>
          <w:p>
            <w:pPr>
              <w:spacing w:after="0"/>
              <w:rPr>
                <w:sz w:val="20"/>
                <w:szCs w:val="20"/>
                <w:color w:val="auto"/>
              </w:rPr>
            </w:pPr>
            <w:r>
              <w:rPr>
                <w:rFonts w:ascii="Arial" w:cs="Arial" w:eastAsia="Arial" w:hAnsi="Arial"/>
                <w:sz w:val="17"/>
                <w:szCs w:val="17"/>
                <w:b w:val="1"/>
                <w:bCs w:val="1"/>
                <w:color w:val="auto"/>
              </w:rPr>
              <w:t>Stock-based compensation expense by type:</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purchase plan</w:t>
            </w:r>
          </w:p>
        </w:tc>
        <w:tc>
          <w:tcPr>
            <w:tcW w:w="76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1,273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100" w:type="dxa"/>
            <w:vAlign w:val="bottom"/>
            <w:shd w:val="clear" w:color="auto" w:fill="CCEEFF"/>
          </w:tcPr>
          <w:p>
            <w:pPr>
              <w:spacing w:after="0"/>
              <w:rPr>
                <w:sz w:val="17"/>
                <w:szCs w:val="17"/>
                <w:color w:val="auto"/>
              </w:rPr>
            </w:pP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Non-employee stock purchase plan</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r>
      <w:tr>
        <w:trPr>
          <w:trHeight w:val="207"/>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Subsidiary option grants</w:t>
            </w: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8660" w:type="dxa"/>
            <w:vAlign w:val="bottom"/>
          </w:tcPr>
          <w:p>
            <w:pPr>
              <w:spacing w:after="0"/>
              <w:rPr>
                <w:sz w:val="17"/>
                <w:szCs w:val="17"/>
                <w:color w:val="auto"/>
              </w:rPr>
            </w:pPr>
          </w:p>
        </w:tc>
        <w:tc>
          <w:tcPr>
            <w:tcW w:w="760" w:type="dxa"/>
            <w:vAlign w:val="bottom"/>
            <w:gridSpan w:val="2"/>
          </w:tcPr>
          <w:p>
            <w:pPr>
              <w:jc w:val="right"/>
              <w:ind w:right="576"/>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1,374</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employee share option activities during the three-months ended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Weighted</w:t>
            </w: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7"/>
              </w:rPr>
              <w:t>Weighted Average</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Average Grant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5"/>
              </w:rPr>
              <w:t>Exercise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Remaining</w:t>
            </w:r>
          </w:p>
        </w:tc>
      </w:tr>
      <w:tr>
        <w:trPr>
          <w:trHeight w:val="224"/>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Option Shares (1)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Date Fair Value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Price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2"/>
              </w:rPr>
              <w:t>Contractual Term</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8,402,247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5.88</w:t>
            </w:r>
          </w:p>
        </w:tc>
        <w:tc>
          <w:tcPr>
            <w:tcW w:w="100" w:type="dxa"/>
            <w:vAlign w:val="bottom"/>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7"/>
                <w:szCs w:val="17"/>
                <w:b w:val="1"/>
                <w:bCs w:val="1"/>
                <w:color w:val="auto"/>
                <w:w w:val="85"/>
              </w:rPr>
              <w:t>6.53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Granted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853,500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11.49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(273,264)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w:t>
            </w: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Forfeited/cancelled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March 31, 2022</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8,982,483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3.36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7.85</w:t>
            </w:r>
          </w:p>
        </w:tc>
        <w:tc>
          <w:tcPr>
            <w:tcW w:w="1900" w:type="dxa"/>
            <w:vAlign w:val="bottom"/>
            <w:shd w:val="clear" w:color="auto" w:fill="CCEEFF"/>
          </w:tcPr>
          <w:p>
            <w:pPr>
              <w:ind w:left="1180"/>
              <w:spacing w:after="0"/>
              <w:rPr>
                <w:sz w:val="20"/>
                <w:szCs w:val="20"/>
                <w:color w:val="auto"/>
              </w:rPr>
            </w:pPr>
            <w:r>
              <w:rPr>
                <w:rFonts w:ascii="Arial" w:cs="Arial" w:eastAsia="Arial" w:hAnsi="Arial"/>
                <w:sz w:val="17"/>
                <w:szCs w:val="17"/>
                <w:b w:val="1"/>
                <w:bCs w:val="1"/>
                <w:color w:val="auto"/>
                <w:w w:val="85"/>
              </w:rPr>
              <w:t>6.64 years</w:t>
            </w:r>
          </w:p>
        </w:tc>
        <w:tc>
          <w:tcPr>
            <w:tcW w:w="2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Vested and exercisable at March 31, 2022</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5,772,480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(1) Prior period results have been adjusted to reflect the Stock Split effected in March 2022. See Note 1 for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2022 and December 31, 2021, $17,097 and $9,544, respectively, of total unrecognized employee stock-based compensation expense, net of estimated forfeitures, related to stock-based awards for ACM were expected to be recognized over a weighted-average period of 1.62 years and 1.61 years, respectively. Total recognized compensation cost may be adjusted for future changes in estimated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options granted to employees with a service period based condition is estimated on the grant date using the Black-Scholes valuation.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820" w:type="dxa"/>
            <w:vAlign w:val="bottom"/>
            <w:gridSpan w:val="4"/>
          </w:tcPr>
          <w:p>
            <w:pPr>
              <w:jc w:val="center"/>
              <w:ind w:left="2776"/>
              <w:spacing w:after="0"/>
              <w:rPr>
                <w:sz w:val="20"/>
                <w:szCs w:val="20"/>
                <w:color w:val="auto"/>
              </w:rPr>
            </w:pPr>
            <w:r>
              <w:rPr>
                <w:rFonts w:ascii="Arial" w:cs="Arial" w:eastAsia="Arial" w:hAnsi="Arial"/>
                <w:sz w:val="17"/>
                <w:szCs w:val="17"/>
                <w:b w:val="1"/>
                <w:bCs w:val="1"/>
                <w:color w:val="auto"/>
                <w:w w:val="87"/>
              </w:rPr>
              <w:t>Three-months ended</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Year-ended</w:t>
            </w:r>
          </w:p>
        </w:tc>
      </w:tr>
      <w:tr>
        <w:trPr>
          <w:trHeight w:val="202"/>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4"/>
              </w:rPr>
              <w:t>March 31,</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December 31,</w:t>
            </w: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91"/>
              </w:rPr>
              <w:t>2022 (6)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2021 (6)</w:t>
            </w:r>
          </w:p>
        </w:tc>
        <w:tc>
          <w:tcPr>
            <w:tcW w:w="14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27.58-37.33</w:t>
            </w: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5.50-6.25</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6.25</w:t>
            </w: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48.53-49.47%</w:t>
            </w:r>
          </w:p>
        </w:tc>
      </w:tr>
      <w:tr>
        <w:trPr>
          <w:trHeight w:val="202"/>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1.00%-1.44%</w:t>
            </w: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r>
    </w:tbl>
    <w:p>
      <w:pPr>
        <w:spacing w:after="0" w:line="190" w:lineRule="exact"/>
        <w:rPr>
          <w:sz w:val="20"/>
          <w:szCs w:val="20"/>
          <w:color w:val="auto"/>
        </w:rPr>
      </w:pP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Equal to closing value on the grant date.</w:t>
      </w:r>
    </w:p>
    <w:p>
      <w:pPr>
        <w:spacing w:after="0" w:line="18" w:lineRule="exact"/>
        <w:rPr>
          <w:rFonts w:ascii="Arial" w:cs="Arial" w:eastAsia="Arial" w:hAnsi="Arial"/>
          <w:sz w:val="17"/>
          <w:szCs w:val="17"/>
          <w:color w:val="auto"/>
        </w:rPr>
      </w:pPr>
    </w:p>
    <w:p>
      <w:pPr>
        <w:ind w:left="300" w:hanging="299"/>
        <w:spacing w:after="0"/>
        <w:tabs>
          <w:tab w:leader="none" w:pos="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Expected term of share options is based on the average of the vesting period and the contractual term for each grant according to Staff Accounting Bulletin 110.</w:t>
      </w:r>
    </w:p>
    <w:p>
      <w:pPr>
        <w:spacing w:after="0" w:line="29" w:lineRule="exact"/>
        <w:rPr>
          <w:rFonts w:ascii="Arial" w:cs="Arial" w:eastAsia="Arial" w:hAnsi="Arial"/>
          <w:sz w:val="15"/>
          <w:szCs w:val="15"/>
          <w:color w:val="auto"/>
        </w:rPr>
      </w:pP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6" w:lineRule="exact"/>
        <w:rPr>
          <w:rFonts w:ascii="Arial" w:cs="Arial" w:eastAsia="Arial" w:hAnsi="Arial"/>
          <w:sz w:val="17"/>
          <w:szCs w:val="17"/>
          <w:color w:val="auto"/>
        </w:rPr>
      </w:pPr>
    </w:p>
    <w:p>
      <w:pPr>
        <w:ind w:left="300" w:hanging="299"/>
        <w:spacing w:after="0" w:line="248"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6" w:lineRule="exact"/>
        <w:rPr>
          <w:rFonts w:ascii="Arial" w:cs="Arial" w:eastAsia="Arial" w:hAnsi="Arial"/>
          <w:sz w:val="17"/>
          <w:szCs w:val="17"/>
          <w:color w:val="auto"/>
        </w:rPr>
      </w:pPr>
    </w:p>
    <w:p>
      <w:pPr>
        <w:ind w:left="300" w:hanging="299"/>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Prior period results have been adjusted to reflect the Stock Split effected in March 2022. See Note 1 for details.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non-employee share option activities during the three months ended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Weighted</w:t>
            </w: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7"/>
              </w:rPr>
              <w:t>Weighted Average</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Average Grant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5"/>
              </w:rPr>
              <w:t>Exercise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Remaining</w:t>
            </w:r>
          </w:p>
        </w:tc>
      </w:tr>
      <w:tr>
        <w:trPr>
          <w:trHeight w:val="224"/>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Option Shares (1)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Date Fair Value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Price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2"/>
              </w:rPr>
              <w:t>Contractual Term</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2,067,018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b w:val="1"/>
                <w:bCs w:val="1"/>
                <w:color w:val="auto"/>
                <w:w w:val="78"/>
              </w:rPr>
              <w:t>0.33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0.97</w:t>
            </w:r>
          </w:p>
        </w:tc>
        <w:tc>
          <w:tcPr>
            <w:tcW w:w="100" w:type="dxa"/>
            <w:vAlign w:val="bottom"/>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7"/>
                <w:szCs w:val="17"/>
                <w:b w:val="1"/>
                <w:bCs w:val="1"/>
                <w:color w:val="auto"/>
                <w:w w:val="85"/>
              </w:rPr>
              <w:t>3.98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Granted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ind w:left="14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(152,085)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0.23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0.61</w:t>
            </w: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Expired</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ind w:left="14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0.16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0.37</w:t>
            </w: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b w:val="1"/>
                <w:bCs w:val="1"/>
                <w:color w:val="auto"/>
              </w:rPr>
              <w:t>Outstanding at March 31, 2022</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1,913,520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620" w:type="dxa"/>
            <w:vAlign w:val="bottom"/>
            <w:gridSpan w:val="2"/>
          </w:tcPr>
          <w:p>
            <w:pPr>
              <w:ind w:left="1220"/>
              <w:spacing w:after="0"/>
              <w:rPr>
                <w:sz w:val="20"/>
                <w:szCs w:val="20"/>
                <w:color w:val="auto"/>
              </w:rPr>
            </w:pPr>
            <w:r>
              <w:rPr>
                <w:rFonts w:ascii="Arial" w:cs="Arial" w:eastAsia="Arial" w:hAnsi="Arial"/>
                <w:sz w:val="17"/>
                <w:szCs w:val="17"/>
                <w:b w:val="1"/>
                <w:bCs w:val="1"/>
                <w:color w:val="auto"/>
              </w:rPr>
              <w:t>0.34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1.00</w:t>
            </w:r>
          </w:p>
        </w:tc>
        <w:tc>
          <w:tcPr>
            <w:tcW w:w="1900" w:type="dxa"/>
            <w:vAlign w:val="bottom"/>
          </w:tcPr>
          <w:p>
            <w:pPr>
              <w:ind w:left="1180"/>
              <w:spacing w:after="0"/>
              <w:rPr>
                <w:sz w:val="20"/>
                <w:szCs w:val="20"/>
                <w:color w:val="auto"/>
              </w:rPr>
            </w:pPr>
            <w:r>
              <w:rPr>
                <w:rFonts w:ascii="Arial" w:cs="Arial" w:eastAsia="Arial" w:hAnsi="Arial"/>
                <w:sz w:val="17"/>
                <w:szCs w:val="17"/>
                <w:b w:val="1"/>
                <w:bCs w:val="1"/>
                <w:color w:val="auto"/>
                <w:w w:val="85"/>
              </w:rPr>
              <w:t>3.87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March 31, 2022</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1,883,520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 Prior period results have been adjusted to reflect the Stock Split effected in March 2022. See Note 1 for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2022 and December 31, 2021, $90 and $102, respectively, of total unrecognized non-employee stock-based compensation expense, net of estimated forfeitures, related to stock-based awards were expected to be recognized over a weighted-average period of 0.06 years and 0.06 years, respectively. Total recognized compensation cost may be adjusted for future changes in estimated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ACM Shanghai Option Grants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ACM Shanghai employee stock option activities during the three months ended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Weighted</w:t>
            </w: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Number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7"/>
              </w:rPr>
              <w:t>Weighted Average</w:t>
            </w: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Option Shares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Average Grant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5"/>
              </w:rPr>
              <w:t>Exercise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Remaining</w:t>
            </w:r>
          </w:p>
        </w:tc>
      </w:tr>
      <w:tr>
        <w:trPr>
          <w:trHeight w:val="224"/>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ACM Shanghai</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Date Fair Value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Price</w:t>
            </w:r>
          </w:p>
        </w:tc>
        <w:tc>
          <w:tcPr>
            <w:tcW w:w="19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2"/>
              </w:rPr>
              <w:t>Contractual Term</w:t>
            </w: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5,377,500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2.04</w:t>
            </w:r>
          </w:p>
        </w:tc>
        <w:tc>
          <w:tcPr>
            <w:tcW w:w="100" w:type="dxa"/>
            <w:vAlign w:val="bottom"/>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7"/>
                <w:szCs w:val="17"/>
                <w:b w:val="1"/>
                <w:bCs w:val="1"/>
                <w:color w:val="auto"/>
                <w:w w:val="85"/>
              </w:rPr>
              <w:t>2.50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Granted</w:t>
            </w:r>
          </w:p>
        </w:tc>
        <w:tc>
          <w:tcPr>
            <w:tcW w:w="1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Expired</w:t>
            </w:r>
          </w:p>
        </w:tc>
        <w:tc>
          <w:tcPr>
            <w:tcW w:w="1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Forfeited/cancelled</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b w:val="1"/>
                <w:bCs w:val="1"/>
                <w:color w:val="auto"/>
              </w:rPr>
              <w:t>Outstanding at March 31, 2022</w:t>
            </w:r>
          </w:p>
        </w:tc>
        <w:tc>
          <w:tcPr>
            <w:tcW w:w="18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5,377,500</w:t>
            </w:r>
          </w:p>
        </w:tc>
        <w:tc>
          <w:tcPr>
            <w:tcW w:w="300" w:type="dxa"/>
            <w:vAlign w:val="bottom"/>
            <w:gridSpan w:val="2"/>
          </w:tcPr>
          <w:p>
            <w:pPr>
              <w:jc w:val="right"/>
              <w:ind w:right="26"/>
              <w:spacing w:after="0"/>
              <w:rPr>
                <w:sz w:val="20"/>
                <w:szCs w:val="20"/>
                <w:color w:val="auto"/>
              </w:rPr>
            </w:pPr>
            <w:r>
              <w:rPr>
                <w:rFonts w:ascii="Arial" w:cs="Arial" w:eastAsia="Arial" w:hAnsi="Arial"/>
                <w:sz w:val="17"/>
                <w:szCs w:val="17"/>
                <w:b w:val="1"/>
                <w:bCs w:val="1"/>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0.24</w:t>
            </w:r>
          </w:p>
        </w:tc>
        <w:tc>
          <w:tcPr>
            <w:tcW w:w="400" w:type="dxa"/>
            <w:vAlign w:val="bottom"/>
            <w:gridSpan w:val="2"/>
          </w:tcPr>
          <w:p>
            <w:pPr>
              <w:jc w:val="right"/>
              <w:ind w:right="126"/>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2.04</w:t>
            </w:r>
          </w:p>
        </w:tc>
        <w:tc>
          <w:tcPr>
            <w:tcW w:w="1900" w:type="dxa"/>
            <w:vAlign w:val="bottom"/>
          </w:tcPr>
          <w:p>
            <w:pPr>
              <w:ind w:left="1180"/>
              <w:spacing w:after="0"/>
              <w:rPr>
                <w:sz w:val="20"/>
                <w:szCs w:val="20"/>
                <w:color w:val="auto"/>
              </w:rPr>
            </w:pPr>
            <w:r>
              <w:rPr>
                <w:rFonts w:ascii="Arial" w:cs="Arial" w:eastAsia="Arial" w:hAnsi="Arial"/>
                <w:sz w:val="17"/>
                <w:szCs w:val="17"/>
                <w:b w:val="1"/>
                <w:bCs w:val="1"/>
                <w:color w:val="auto"/>
                <w:w w:val="85"/>
              </w:rPr>
              <w:t>2.26 years</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March 31, 2022</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During the three months ended March 31, 2022 and 2021, the Company recognized stock-based compensation expense of $90 and $85, respectively, related to stock option grants of ACM Shanghai. As of March 31, 2022 and December 31, 2021, $438 and $525, respectively, of total unrecognized non-employee stock-based compensation expense, net of estimated forfeitures, related to ACM Shanghai stock-based awards were expected to be recognized over a weighted-average period of 1.26 years and 1.5 years, respectively. Total recognized compensation cost may be adjusted for future changes in estimated forfeitures.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INCOME TAXES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ACM Shanghai has shown a three-year historical cumulative profit and has projections of future income. As a result, the Company does not maintain a valuation allowance.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6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Company’s effective tax rate differs from statutory rates of 21% for U.S. federal income tax purposes and 12.5% to 25% for Chinese income tax purposes due to the effects of the valuation allowance and certain permanent differences from book-tax differences. As a result, the Company recorded income tax benefit (expense) of $4,011 and $2,770 during the three months ended March 31, 2022 and 2021, respectively. The benefit in 2022 primarily resulted from the tax effect of the operating loss generated. The increase in our effective income tax rate for the three months ended March 31, 2022 compared to the same period of the prior year was primarily due to a new requirement to capitalize and amortize previously deductible research and experimental expenses resulting from a change in Section 174 made by the Tax Cuts and Jobs Act of 2017 (the “TCJA”) which became effective on January 1, 2022, and a decrease in discrete tax benefits associated with stock-based compensation deductions.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Congress is considering legislation, but legislation has not passed, that would defer the capitalization requirement to later years.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2022, the Company’s total unrecognized tax benefits were $6,066 of which $5,950 would affect the effective tax rate if recognized. The Company will recognize interest and penalties, when they occur, related to uncertain tax provisions as a component of tax expense. $71 of interest or penalties were recognized for the three months ended March 31, 2022.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1999 through December 31, 2021.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Company’s effective tax rate differs from statutory rates of 21% for U.S. federal income tax purposes and 12.5% to 25% for Chinese income tax purposes due to the effects of the valuation allowance and certain permanent differences as it pertains to book-tax differences in the treatment of stock-based compensation and non-US research expenses. The Company’s three PRC subsidiaries, ACM Shanghai, ACM Wuxi and Shengwei, are liable for PRC corporate income taxes at the rates of 12.5%,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12.5%. ACM Shanghai was certified as an “advanced and new technology enterprise” in 2012 and again in 2016 and 2018, with an effective period of three years.</w:t>
      </w:r>
    </w:p>
    <w:p>
      <w:pPr>
        <w:spacing w:after="0" w:line="18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ACM files income tax returns in the United States and state and foreign jurisdictions. Those federal, state and foreign income tax returns are under the statute of limitations subject to tax examinations for 1999 through 2021. To the extent ACM has tax attribute carryforwards, the tax years in which the attribute was generated may still be adjusted upon examination by the U.S. Internal Revenue Service or state or foreign tax authorities to the extent utilized in a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(expense)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0"/>
              </w:rPr>
              <w:t>Three Months Ended March 31,</w:t>
            </w:r>
          </w:p>
        </w:tc>
        <w:tc>
          <w:tcPr>
            <w:tcW w:w="100" w:type="dxa"/>
            <w:vAlign w:val="bottom"/>
          </w:tcPr>
          <w:p>
            <w:pPr>
              <w:spacing w:after="0"/>
              <w:rPr>
                <w:sz w:val="19"/>
                <w:szCs w:val="19"/>
                <w:color w:val="auto"/>
              </w:rPr>
            </w:pPr>
          </w:p>
        </w:tc>
      </w:tr>
      <w:tr>
        <w:trPr>
          <w:trHeight w:val="207"/>
        </w:trPr>
        <w:tc>
          <w:tcPr>
            <w:tcW w:w="36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207"/>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income tax benefit</w:t>
            </w:r>
          </w:p>
        </w:tc>
        <w:tc>
          <w:tcPr>
            <w:tcW w:w="5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533"/>
        </w:trPr>
        <w:tc>
          <w:tcPr>
            <w:tcW w:w="3660" w:type="dxa"/>
            <w:vAlign w:val="bottom"/>
          </w:tcPr>
          <w:p>
            <w:pPr>
              <w:spacing w:after="0"/>
              <w:rPr>
                <w:sz w:val="24"/>
                <w:szCs w:val="24"/>
                <w:color w:val="auto"/>
              </w:rPr>
            </w:pPr>
          </w:p>
        </w:tc>
        <w:tc>
          <w:tcPr>
            <w:tcW w:w="5000" w:type="dxa"/>
            <w:vAlign w:val="bottom"/>
          </w:tcPr>
          <w:p>
            <w:pPr>
              <w:jc w:val="right"/>
              <w:ind w:right="2893"/>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COMMITMENTS AND CONTINGENCIES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leases offices under non-cancelable operating lease agreements. See note 11 for future minimum lease payments under non-cancelable operating lease agreements with initial terms of one year or more.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the Company had $3,738 of open capital commitments.</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Covenants in Shengwei’s Grant Contract for State-owned Construction Land Use Right in Shanghai City with the China (Shanghai) Pilot Free Trade Zone Lingang Special Area Administration require, among other things, that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As of March 31, 2022 and December 31, 2021, the Company had paid in total $14,894 and $13,265, respectively for its Lingang-related investments.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management has evaluated all such proceedings and claims that existed as of March 31, 2022 or December 31, 2021. In the opinion of management, no provision for liability nor disclosure was required as of March 31, 2022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the Company had no outstanding legal proceedings.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5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3" w:lineRule="exact"/>
        <w:rPr>
          <w:sz w:val="20"/>
          <w:szCs w:val="20"/>
          <w:color w:val="auto"/>
        </w:rPr>
      </w:pPr>
    </w:p>
    <w:p>
      <w:pPr>
        <w:jc w:val="both"/>
        <w:spacing w:after="0" w:line="204" w:lineRule="exact"/>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2021, or our Annual Report. The following discussion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Risk Factors” in Part II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wet cleaning and other front-end processing tools totaled $31.7 million, or 75.1% of total revenue, for the three months ended March 31, 2022, as compared to $31.9 million, or 72.9% of total revenue, for the same period in 2021. Selling prices for our wet-cleaning and other front-end processing tools range from $1 million to more than $5 million. Our customers for wet-cleaning and other front-end processing tools have included Huali Microelectronics Corporation, The Huahong Group, Semiconductor Manufacturing International Corporation or SMIC, Shanghai SK Hynix Inc., Yangtze Memory Technologies Co., Ltd, and ChangXin Memory Technologies.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Revenue from advanced packaging, other back-end processing tools, services and spares totaled $10.5 million, or 24.9% of total revenue, for the three months ended March 31, 2022, as compared to $11.8 million, or 27.1% of total revenue, for the same period in 2021. Selling prices for these tools range from $0.5 million to more than $4 million. Our customers for advanced packaging, and other processing tools have included Jiangyin Changdian Advanced Packaging Co. Ltd., a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PRC-based wafer supplier.</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or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electro-chemical deposition, or ECD.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35.6% from $64.9 billion in 2020 to $88.1 billion in 2021, and is expected to increase by 10.7% to $97.5 billion in 2022.</w:t>
      </w:r>
    </w:p>
    <w:p>
      <w:pPr>
        <w:spacing w:after="0" w:line="16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Since 2009 we have delivered more than 245 wet cleaning and other front-end processing tools, more than 195 of which have been accepted by customers and thereby generated revenue to us. The balance of the delivered tools are awaiting customer acceptance should contractual conditions be met. To date, a substantial majority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focused on building a strategic portfolio of intellectual property to support and protect our key innovations. Our tools have been developed using our key proprietary technologies:</w:t>
      </w:r>
    </w:p>
    <w:p>
      <w:pPr>
        <w:spacing w:after="0" w:line="1" w:lineRule="exact"/>
        <w:rPr>
          <w:sz w:val="20"/>
          <w:szCs w:val="20"/>
          <w:color w:val="auto"/>
        </w:rPr>
      </w:pPr>
    </w:p>
    <w:p>
      <w:pPr>
        <w:jc w:val="both"/>
        <w:ind w:left="460" w:hanging="459"/>
        <w:spacing w:after="0" w:line="24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Space Alternated Phase Shift, or SAPS, technology for flat and patterned (deep via or deep trench with stronger structure) wafer surfaces. </w:t>
      </w:r>
      <w:r>
        <w:rPr>
          <w:rFonts w:ascii="Arial" w:cs="Arial" w:eastAsia="Arial" w:hAnsi="Arial"/>
          <w:sz w:val="17"/>
          <w:szCs w:val="17"/>
          <w:color w:val="auto"/>
        </w:rPr>
        <w:t>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jc w:val="both"/>
        <w:ind w:left="460" w:hanging="459"/>
        <w:spacing w:after="0" w:line="202" w:lineRule="exact"/>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TEBO technology has been developed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w:t>
      </w:r>
    </w:p>
    <w:p>
      <w:pPr>
        <w:spacing w:after="0" w:line="2"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Tahoe technology for cost and environmental savings. </w:t>
      </w:r>
      <w:r>
        <w:rPr>
          <w:rFonts w:ascii="Arial" w:cs="Arial" w:eastAsia="Arial" w:hAnsi="Arial"/>
          <w:sz w:val="17"/>
          <w:szCs w:val="17"/>
          <w:color w:val="auto"/>
        </w:rPr>
        <w:t>Tahoe technology delivers high cleaning performance using significantly less sulfuric acid and hydrogen</w:t>
      </w:r>
      <w:r>
        <w:rPr>
          <w:rFonts w:ascii="Arial" w:cs="Arial" w:eastAsia="Arial" w:hAnsi="Arial"/>
          <w:sz w:val="17"/>
          <w:szCs w:val="17"/>
          <w:i w:val="1"/>
          <w:iCs w:val="1"/>
          <w:color w:val="auto"/>
        </w:rPr>
        <w:t xml:space="preserve"> </w:t>
      </w:r>
      <w:r>
        <w:rPr>
          <w:rFonts w:ascii="Arial" w:cs="Arial" w:eastAsia="Arial" w:hAnsi="Arial"/>
          <w:sz w:val="17"/>
          <w:szCs w:val="17"/>
          <w:color w:val="auto"/>
        </w:rPr>
        <w:t>peroxide than is typically consumed by conventional high-temperature single-wafer cleaning tools.</w:t>
      </w:r>
    </w:p>
    <w:p>
      <w:pPr>
        <w:jc w:val="both"/>
        <w:ind w:left="460" w:hanging="459"/>
        <w:spacing w:after="0" w:line="27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ECP technology for advanced metal plating. </w:t>
      </w:r>
      <w:r>
        <w:rPr>
          <w:rFonts w:ascii="Arial" w:cs="Arial" w:eastAsia="Arial" w:hAnsi="Arial"/>
          <w:sz w:val="16"/>
          <w:szCs w:val="16"/>
          <w:color w:val="auto"/>
        </w:rPr>
        <w:t>Our Ultra ECP ap, or Advanced Packaging, technology was developed for back-end assembly processes to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411 patents in the United States, the People’s Republic of China or PRC, Japan, Singapore, South Korea and Taiwan.</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100,000 square feet having been added in 2021 with the lease of a second building in the Pudong region of Shanghai. In May 2020 ACM Shanghai, through its wholly owned subsidiary Shengwei Research (Shanghai), Inc., entered into an agreement for a land use right in the Lingang region of Shanghai. In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and South Korea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ACM Research was incorporated in California in 1998 and redomesticated in Delaware in 2016. We perform strategic planning, marketing, and financial activities at our global corporate headquarters in Fremont, California.</w:t>
      </w:r>
    </w:p>
    <w:p>
      <w:pPr>
        <w:spacing w:after="0" w:line="165" w:lineRule="exact"/>
        <w:rPr>
          <w:sz w:val="20"/>
          <w:szCs w:val="20"/>
          <w:color w:val="auto"/>
        </w:rPr>
      </w:pPr>
    </w:p>
    <w:p>
      <w:pPr>
        <w:jc w:val="both"/>
        <w:spacing w:after="0" w:line="206"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192"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30"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2016 we introduced </w:t>
      </w:r>
      <w:r>
        <w:rPr>
          <w:rFonts w:ascii="Arial" w:cs="Arial" w:eastAsia="Arial" w:hAnsi="Arial"/>
          <w:sz w:val="17"/>
          <w:szCs w:val="17"/>
          <w:i w:val="1"/>
          <w:iCs w:val="1"/>
          <w:color w:val="auto"/>
        </w:rPr>
        <w:t>TEBO</w:t>
      </w:r>
      <w:r>
        <w:rPr>
          <w:rFonts w:ascii="Arial" w:cs="Arial" w:eastAsia="Arial" w:hAnsi="Arial"/>
          <w:sz w:val="17"/>
          <w:szCs w:val="17"/>
          <w:color w:val="auto"/>
        </w:rPr>
        <w:t xml:space="preserve"> technology, which can be applied at numerous steps during the fabrication of small node conventional two-dimensional and three-dimensional patterned wafers.</w:t>
      </w:r>
    </w:p>
    <w:p>
      <w:pPr>
        <w:ind w:left="460" w:hanging="459"/>
        <w:spacing w:after="0" w:line="24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August 2018 we introduced the </w:t>
      </w:r>
      <w:r>
        <w:rPr>
          <w:rFonts w:ascii="Arial" w:cs="Arial" w:eastAsia="Arial" w:hAnsi="Arial"/>
          <w:sz w:val="17"/>
          <w:szCs w:val="17"/>
          <w:i w:val="1"/>
          <w:iCs w:val="1"/>
          <w:color w:val="auto"/>
        </w:rPr>
        <w:t>Ultra-C Tahoe</w:t>
      </w:r>
      <w:r>
        <w:rPr>
          <w:rFonts w:ascii="Arial" w:cs="Arial" w:eastAsia="Arial" w:hAnsi="Arial"/>
          <w:sz w:val="17"/>
          <w:szCs w:val="17"/>
          <w:color w:val="auto"/>
        </w:rPr>
        <w:t xml:space="preserve"> wafer cleaning tool, which delivers high cleaning performance with significantly less sulfuric acid than typically consumed by conventional high temperature single-wafer cleaning tools.</w:t>
      </w:r>
    </w:p>
    <w:p>
      <w:pPr>
        <w:jc w:val="both"/>
        <w:ind w:left="460" w:hanging="459"/>
        <w:spacing w:after="0" w:line="24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460" w:hanging="459"/>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April 2020 we introduced the </w:t>
      </w:r>
      <w:r>
        <w:rPr>
          <w:rFonts w:ascii="Arial" w:cs="Arial" w:eastAsia="Arial" w:hAnsi="Arial"/>
          <w:sz w:val="17"/>
          <w:szCs w:val="17"/>
          <w:i w:val="1"/>
          <w:iCs w:val="1"/>
          <w:color w:val="auto"/>
        </w:rPr>
        <w:t>Ultra Furnace</w:t>
      </w:r>
      <w:r>
        <w:rPr>
          <w:rFonts w:ascii="Arial" w:cs="Arial" w:eastAsia="Arial" w:hAnsi="Arial"/>
          <w:sz w:val="17"/>
          <w:szCs w:val="17"/>
          <w:color w:val="auto"/>
        </w:rPr>
        <w:t>, our first system developed for multiple dry processing applications.</w:t>
      </w:r>
    </w:p>
    <w:p>
      <w:pPr>
        <w:spacing w:after="0" w:line="6" w:lineRule="exact"/>
        <w:rPr>
          <w:rFonts w:ascii="Arial" w:cs="Arial" w:eastAsia="Arial" w:hAnsi="Arial"/>
          <w:sz w:val="17"/>
          <w:szCs w:val="17"/>
          <w:color w:val="auto"/>
        </w:rPr>
      </w:pPr>
    </w:p>
    <w:p>
      <w:pPr>
        <w:ind w:left="460" w:hanging="459"/>
        <w:spacing w:after="0" w:line="25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In May 2020 we introduced the </w:t>
      </w:r>
      <w:r>
        <w:rPr>
          <w:rFonts w:ascii="Arial" w:cs="Arial" w:eastAsia="Arial" w:hAnsi="Arial"/>
          <w:sz w:val="17"/>
          <w:szCs w:val="17"/>
          <w:i w:val="1"/>
          <w:iCs w:val="1"/>
          <w:color w:val="auto"/>
        </w:rPr>
        <w:t>Ultra C Family</w:t>
      </w:r>
      <w:r>
        <w:rPr>
          <w:rFonts w:ascii="Arial" w:cs="Arial" w:eastAsia="Arial" w:hAnsi="Arial"/>
          <w:sz w:val="17"/>
          <w:szCs w:val="17"/>
          <w:color w:val="auto"/>
        </w:rPr>
        <w:t xml:space="preserve"> of semi-critical cleaning systems, including the </w:t>
      </w:r>
      <w:r>
        <w:rPr>
          <w:rFonts w:ascii="Arial" w:cs="Arial" w:eastAsia="Arial" w:hAnsi="Arial"/>
          <w:sz w:val="17"/>
          <w:szCs w:val="17"/>
          <w:i w:val="1"/>
          <w:iCs w:val="1"/>
          <w:color w:val="auto"/>
        </w:rPr>
        <w:t>Ultra C b</w:t>
      </w:r>
      <w:r>
        <w:rPr>
          <w:rFonts w:ascii="Arial" w:cs="Arial" w:eastAsia="Arial" w:hAnsi="Arial"/>
          <w:sz w:val="17"/>
          <w:szCs w:val="17"/>
          <w:color w:val="auto"/>
        </w:rPr>
        <w:t xml:space="preserve"> for backside clean, the </w:t>
      </w:r>
      <w:r>
        <w:rPr>
          <w:rFonts w:ascii="Arial" w:cs="Arial" w:eastAsia="Arial" w:hAnsi="Arial"/>
          <w:sz w:val="17"/>
          <w:szCs w:val="17"/>
          <w:i w:val="1"/>
          <w:iCs w:val="1"/>
          <w:color w:val="auto"/>
        </w:rPr>
        <w:t>Ultra C wb</w:t>
      </w:r>
      <w:r>
        <w:rPr>
          <w:rFonts w:ascii="Arial" w:cs="Arial" w:eastAsia="Arial" w:hAnsi="Arial"/>
          <w:sz w:val="17"/>
          <w:szCs w:val="17"/>
          <w:color w:val="auto"/>
        </w:rPr>
        <w:t xml:space="preserve"> automated wet bench, and the </w:t>
      </w:r>
      <w:r>
        <w:rPr>
          <w:rFonts w:ascii="Arial" w:cs="Arial" w:eastAsia="Arial" w:hAnsi="Arial"/>
          <w:sz w:val="17"/>
          <w:szCs w:val="17"/>
          <w:i w:val="1"/>
          <w:iCs w:val="1"/>
          <w:color w:val="auto"/>
        </w:rPr>
        <w:t>Ultra C s</w:t>
      </w:r>
      <w:r>
        <w:rPr>
          <w:rFonts w:ascii="Arial" w:cs="Arial" w:eastAsia="Arial" w:hAnsi="Arial"/>
          <w:sz w:val="17"/>
          <w:szCs w:val="17"/>
          <w:color w:val="auto"/>
        </w:rPr>
        <w:t xml:space="preserve"> scrubber.</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65" w:lineRule="exact"/>
        <w:rPr>
          <w:sz w:val="20"/>
          <w:szCs w:val="20"/>
          <w:color w:val="auto"/>
        </w:rPr>
      </w:pPr>
    </w:p>
    <w:p>
      <w:pPr>
        <w:ind w:left="460" w:hanging="459"/>
        <w:spacing w:after="0" w:line="25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2011 we formed a wholly owned subsidiary in the PRC, </w:t>
      </w:r>
      <w:r>
        <w:rPr>
          <w:rFonts w:ascii="Arial" w:cs="Arial" w:eastAsia="Arial" w:hAnsi="Arial"/>
          <w:sz w:val="17"/>
          <w:szCs w:val="17"/>
          <w:i w:val="1"/>
          <w:iCs w:val="1"/>
          <w:color w:val="auto"/>
        </w:rPr>
        <w:t>ACM Research (Wuxi), Inc.</w:t>
      </w:r>
      <w:r>
        <w:rPr>
          <w:rFonts w:ascii="Arial" w:cs="Arial" w:eastAsia="Arial" w:hAnsi="Arial"/>
          <w:sz w:val="17"/>
          <w:szCs w:val="17"/>
          <w:color w:val="auto"/>
        </w:rPr>
        <w:t>, which now is a wholly owned subsidiary of ACM Shanghai, to manage sales and service operations.</w:t>
      </w:r>
    </w:p>
    <w:p>
      <w:pPr>
        <w:jc w:val="both"/>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 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460" w:hanging="459"/>
        <w:spacing w:after="0" w:line="2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December 2017 we formed a subsidiary in the Republic of Korea, </w:t>
      </w:r>
      <w:r>
        <w:rPr>
          <w:rFonts w:ascii="Arial" w:cs="Arial" w:eastAsia="Arial" w:hAnsi="Arial"/>
          <w:sz w:val="16"/>
          <w:szCs w:val="16"/>
          <w:i w:val="1"/>
          <w:iCs w:val="1"/>
          <w:color w:val="auto"/>
        </w:rPr>
        <w:t>ACM Research Korea CO., LTD.</w:t>
      </w:r>
      <w:r>
        <w:rPr>
          <w:rFonts w:ascii="Arial" w:cs="Arial" w:eastAsia="Arial" w:hAnsi="Arial"/>
          <w:sz w:val="16"/>
          <w:szCs w:val="16"/>
          <w:color w:val="auto"/>
        </w:rPr>
        <w:t>, which now is a wholly owned subsidiary of ACM Shanghai, to serve our customers based in the Republic of Korea and perform sales, marketing, and research and development activities.</w:t>
      </w:r>
    </w:p>
    <w:p>
      <w:pPr>
        <w:spacing w:after="0" w:line="1"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2019 ACM Shanghai formed a wholly owned subsidiary in the PRC, </w:t>
      </w:r>
      <w:r>
        <w:rPr>
          <w:rFonts w:ascii="Arial" w:cs="Arial" w:eastAsia="Arial" w:hAnsi="Arial"/>
          <w:sz w:val="17"/>
          <w:szCs w:val="17"/>
          <w:i w:val="1"/>
          <w:iCs w:val="1"/>
          <w:color w:val="auto"/>
        </w:rPr>
        <w:t>Shengwei Research (Shanghai), Inc</w:t>
      </w:r>
      <w:r>
        <w:rPr>
          <w:rFonts w:ascii="Arial" w:cs="Arial" w:eastAsia="Arial" w:hAnsi="Arial"/>
          <w:sz w:val="17"/>
          <w:szCs w:val="17"/>
          <w:color w:val="auto"/>
        </w:rPr>
        <w:t>., to manage activities related to addition of future long-term production capacity.</w:t>
      </w:r>
    </w:p>
    <w:p>
      <w:pPr>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August 2021 we formed a wholly owned subsidiary in Singapore, </w:t>
      </w:r>
      <w:r>
        <w:rPr>
          <w:rFonts w:ascii="Arial" w:cs="Arial" w:eastAsia="Arial" w:hAnsi="Arial"/>
          <w:sz w:val="17"/>
          <w:szCs w:val="17"/>
          <w:i w:val="1"/>
          <w:iCs w:val="1"/>
          <w:color w:val="auto"/>
        </w:rPr>
        <w:t>ACM Research (Singapore) PTE, Ltd.,</w:t>
      </w:r>
      <w:r>
        <w:rPr>
          <w:rFonts w:ascii="Arial" w:cs="Arial" w:eastAsia="Arial" w:hAnsi="Arial"/>
          <w:sz w:val="17"/>
          <w:szCs w:val="17"/>
          <w:color w:val="auto"/>
        </w:rPr>
        <w:t xml:space="preserve"> to perform sales, marketing, and other business development activities.</w:t>
      </w:r>
    </w:p>
    <w:p>
      <w:pPr>
        <w:ind w:left="460" w:hanging="459"/>
        <w:spacing w:after="0" w:line="24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February 2022, ACM Shanghai formed a wholly owned subsidiary in China, </w:t>
      </w:r>
      <w:r>
        <w:rPr>
          <w:rFonts w:ascii="Arial" w:cs="Arial" w:eastAsia="Arial" w:hAnsi="Arial"/>
          <w:sz w:val="17"/>
          <w:szCs w:val="17"/>
          <w:i w:val="1"/>
          <w:iCs w:val="1"/>
          <w:color w:val="auto"/>
        </w:rPr>
        <w:t>ACM Research (Beijing), Inc.,</w:t>
      </w:r>
      <w:r>
        <w:rPr>
          <w:rFonts w:ascii="Arial" w:cs="Arial" w:eastAsia="Arial" w:hAnsi="Arial"/>
          <w:sz w:val="17"/>
          <w:szCs w:val="17"/>
          <w:color w:val="auto"/>
        </w:rPr>
        <w:t xml:space="preserve"> to perform sales, marketing and other business development activities.</w:t>
      </w:r>
    </w:p>
    <w:p>
      <w:pPr>
        <w:ind w:left="460" w:hanging="459"/>
        <w:spacing w:after="0" w:line="25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March 2022, ACM formed a wholly owned subsidiary in South Korea, </w:t>
      </w:r>
      <w:r>
        <w:rPr>
          <w:rFonts w:ascii="Arial" w:cs="Arial" w:eastAsia="Arial" w:hAnsi="Arial"/>
          <w:sz w:val="17"/>
          <w:szCs w:val="17"/>
          <w:i w:val="1"/>
          <w:iCs w:val="1"/>
          <w:color w:val="auto"/>
        </w:rPr>
        <w:t>Hanguk ACM CO., LTD</w:t>
      </w:r>
      <w:r>
        <w:rPr>
          <w:rFonts w:ascii="Arial" w:cs="Arial" w:eastAsia="Arial" w:hAnsi="Arial"/>
          <w:sz w:val="17"/>
          <w:szCs w:val="17"/>
          <w:color w:val="auto"/>
        </w:rPr>
        <w:t>, to perform business development and other related activities.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initial factory is located in the Pudong Region of Shanghai and has a total of 36,000 square feet of available floor space.</w:t>
      </w:r>
    </w:p>
    <w:p>
      <w:pPr>
        <w:spacing w:after="0" w:line="18" w:lineRule="exact"/>
        <w:rPr>
          <w:rFonts w:ascii="Arial" w:cs="Arial" w:eastAsia="Arial" w:hAnsi="Arial"/>
          <w:sz w:val="17"/>
          <w:szCs w:val="17"/>
          <w:color w:val="auto"/>
        </w:rPr>
      </w:pPr>
    </w:p>
    <w:p>
      <w:pPr>
        <w:jc w:val="both"/>
        <w:ind w:left="460" w:hanging="459"/>
        <w:spacing w:after="0" w:line="24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second production facility is located in the Chuansha district of Pudong, approximately 11 miles from our initial factory. In September 2018 we announced the opening of the first building of our second production facility. The first building initially had a total of 50,000 square feet of available floor space for production capacity, which was increased by 50,000 square feet in the second quarter of 2020. In February 2021 we leased a second building immediately adjacent to our second factory, which increased our available floor space for production by another 100,000 square feet, bringing to total available floor space for production capacity of second production facility to 200,000 square feet.</w:t>
      </w:r>
    </w:p>
    <w:p>
      <w:pPr>
        <w:ind w:left="460" w:hanging="459"/>
        <w:spacing w:after="0" w:line="24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w:t>
      </w:r>
    </w:p>
    <w:p>
      <w:pPr>
        <w:ind w:left="460" w:hanging="459"/>
        <w:spacing w:after="0" w:line="25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2022 ACM Shanghai completed the purchase of a housing facility in the Lingang region of Shanghai to assist in employee retention and recruitment in connection with its new research and development center and factory currently under construction.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COVID–19</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Following its initial outbreak in December 2019, COVID–19, or the coronavirus, spread across the PRC, the United States and globally. The COVID–19 pandemic has affected our business and operating results since the first quarter of 2020. Since that time, our personnel have been largely unable to travel between our offices in the United States and facilities of our company and some of our key customers in the PRC have been and will likely continue to be restricted, which has and may continue to impact our ability to effectively operate our company and to oversee our operations. The COVID–19 situation continues to evolve, and it is impossible for us to predict the effect and ultimate impact of the COVID–19 pandemic on our business operations and results. We continue to monitor the impact of the COVID-19 pandemic on all aspects of our business, including our operations, customers, suppliers and projects. While the ongoing regulatory measures instituted or recommended in response to COVID–19 are expected to be temporary, the duration of the business disruptions, and related financial impact, of the pandemic cannot be estimated at this time. For an explanation of some of the risks we potentially face, please read carefully the information provided under “Item 1A. Risk Factors— Risks Related to the COVID–19 Pandemic,” of part I of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reflects our expectations and estimates based on information known to us as of the date of this filing:</w:t>
      </w:r>
    </w:p>
    <w:p>
      <w:pPr>
        <w:spacing w:after="0" w:line="19" w:lineRule="exact"/>
        <w:rPr>
          <w:sz w:val="20"/>
          <w:szCs w:val="20"/>
          <w:color w:val="auto"/>
        </w:rPr>
      </w:pPr>
    </w:p>
    <w:p>
      <w:pPr>
        <w:ind w:left="460" w:hanging="459"/>
        <w:spacing w:after="0" w:line="256"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Operations</w:t>
      </w:r>
      <w:r>
        <w:rPr>
          <w:rFonts w:ascii="Arial" w:cs="Arial" w:eastAsia="Arial" w:hAnsi="Arial"/>
          <w:sz w:val="17"/>
          <w:szCs w:val="17"/>
          <w:color w:val="auto"/>
        </w:rPr>
        <w:t>: We conduct substantially all of our product development, manufacturing, support and services in the PRC, and those activities have been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the COVID–19 pandemic and related restrictions on transportation and public appearances.</w:t>
      </w:r>
    </w:p>
    <w:p>
      <w:pPr>
        <w:spacing w:after="0" w:line="177" w:lineRule="exact"/>
        <w:rPr>
          <w:rFonts w:ascii="Arial" w:cs="Arial" w:eastAsia="Arial" w:hAnsi="Arial"/>
          <w:sz w:val="17"/>
          <w:szCs w:val="17"/>
          <w:color w:val="auto"/>
        </w:rPr>
      </w:pPr>
    </w:p>
    <w:p>
      <w:pPr>
        <w:jc w:val="both"/>
        <w:ind w:left="460"/>
        <w:spacing w:after="0" w:line="284" w:lineRule="auto"/>
        <w:rPr>
          <w:rFonts w:ascii="Arial" w:cs="Arial" w:eastAsia="Arial" w:hAnsi="Arial"/>
          <w:sz w:val="17"/>
          <w:szCs w:val="17"/>
          <w:color w:val="auto"/>
        </w:rPr>
      </w:pPr>
      <w:r>
        <w:rPr>
          <w:rFonts w:ascii="Arial" w:cs="Arial" w:eastAsia="Arial" w:hAnsi="Arial"/>
          <w:sz w:val="15"/>
          <w:szCs w:val="15"/>
          <w:color w:val="auto"/>
        </w:rPr>
        <w:t>In March 2022, several regions in China began to experience elevated levels of COVID-19 infections, and the PRC government instituted policies to restrict the spread of the virus. The policies began with an increase of “spot lockdowns,” under which a positive polymerase chain reaction (PCR) or other test would result in the quarantining of individual buildings, groups of buildings, or even full neighborhoods. The policies were later expanded to full-city lockdowns,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during the first quarter of 2022, and therefore limited ACM Shanghai’s ability to ship finished products to customers and to produce new products. Spot lockdowns in mid-March 2022 began to impact a number of ACM Shanghai’s employees and led to a closure of ACM Shanghai’s administrative and R&amp;D offices in Zhangjiang in the Pudong district. A subsequent lockdown of the entire Pudong region of Shanghai was imposed in late March 2022 and impacted the operation of ACM Shanghai’s Chuansha production facility. Furthermore, a number of the Company’s customers have substantial operations based in operations areas of the PRC, including in the City of Shanghai, subject to the full-city lockdown restrictions, which have been limiting the operations of those customers since the first quarter of 2022, including inhibiting their ability to receive, implement and operate new tools for their manufacturing facilities. As a result, in some cases, ACM Shanghai has been required to defer shipments of finished products to these customers because of operational and logistics limitations affecting customers rather than, or in addition to, ACM Shanghai. The Company has begun to resume some operations using the “closed loop method,” in which a limited collection of workers remains together as a group between a single hotel, the ACM Shanghai facility, and a dedicated bus transportation route, also referred to as “two spots and one line.” The Company anticipates that the lockdowns and their effects will be temporary but may continue for several months, with a gradual return of PRC operations, production capacity, and global logistics as Shanghai and other areas in the PRC begin to reopen. The Company cannot assure that closures or reductions of PRC operations or production, whether of ACM Shanghai or of some of its key customers, may not be extended in upcoming months as the result of business interruptions arising from protective measures being taken by the PRC and other governmental agencies or of other consequences of COVID-19.</w:t>
      </w:r>
    </w:p>
    <w:p>
      <w:pPr>
        <w:spacing w:after="0" w:line="167" w:lineRule="exact"/>
        <w:rPr>
          <w:rFonts w:ascii="Arial" w:cs="Arial" w:eastAsia="Arial" w:hAnsi="Arial"/>
          <w:sz w:val="17"/>
          <w:szCs w:val="17"/>
          <w:color w:val="auto"/>
        </w:rPr>
      </w:pPr>
    </w:p>
    <w:p>
      <w:pPr>
        <w:jc w:val="both"/>
        <w:ind w:left="460"/>
        <w:spacing w:after="0" w:line="276" w:lineRule="auto"/>
        <w:rPr>
          <w:rFonts w:ascii="Arial" w:cs="Arial" w:eastAsia="Arial" w:hAnsi="Arial"/>
          <w:sz w:val="17"/>
          <w:szCs w:val="17"/>
          <w:color w:val="auto"/>
        </w:rPr>
      </w:pPr>
      <w:r>
        <w:rPr>
          <w:rFonts w:ascii="Arial" w:cs="Arial" w:eastAsia="Arial" w:hAnsi="Arial"/>
          <w:sz w:val="16"/>
          <w:szCs w:val="16"/>
          <w:color w:val="auto"/>
        </w:rPr>
        <w:t>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 To date we have not experienced absenteeism of management or other key employees, other than certain of our executive officers being delayed in traveling between the PRC, our California office, and other global locations.</w:t>
      </w:r>
    </w:p>
    <w:p>
      <w:pPr>
        <w:spacing w:after="0" w:line="164" w:lineRule="exact"/>
        <w:rPr>
          <w:rFonts w:ascii="Arial" w:cs="Arial" w:eastAsia="Arial" w:hAnsi="Arial"/>
          <w:sz w:val="17"/>
          <w:szCs w:val="17"/>
          <w:color w:val="auto"/>
        </w:rPr>
      </w:pPr>
    </w:p>
    <w:p>
      <w:pPr>
        <w:jc w:val="both"/>
        <w:ind w:left="460" w:hanging="459"/>
        <w:spacing w:after="0" w:line="26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Our customers’ business operations have been, and are continuing to be, subject to business interruptions arising from the COVID–19 pandemic.</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substantially all of our revenue has been derived from customers located in the PRC and surrounding areas that have been impacted by COVID–19. Two customers that accounted for 48.9% of our revenue in 2021 are based in the PRC, and three customers that accounted for 75.8% of our revenue in 2020, and 73.8% of our revenue in 2019 are based in the PRC and South Korea. One of those customers, Yangtze Memory Technologies Co., Ltd. — which accounted for 20.2% of our 2021 revenue, 26.8% of our 2020 revenue, and 27.5% of our 2019 revenue — is based in Wuhan. While Yangtze Memory Technologies Co., Ltd. and other key customers continued to operate their fabrication facilities without interruption during and after the first quarter of 2020, some customers have been forced to restrict access of service personnel and deliveries to and from their facilities. We have experienced longer and in some cases more costly shipping expenses in the delivery of tools to certain customers.</w:t>
      </w:r>
    </w:p>
    <w:p>
      <w:pPr>
        <w:spacing w:after="0" w:line="4" w:lineRule="exact"/>
        <w:rPr>
          <w:rFonts w:ascii="Arial" w:cs="Arial" w:eastAsia="Arial" w:hAnsi="Arial"/>
          <w:sz w:val="16"/>
          <w:szCs w:val="16"/>
          <w:color w:val="auto"/>
        </w:rPr>
      </w:pPr>
    </w:p>
    <w:p>
      <w:pPr>
        <w:jc w:val="both"/>
        <w:ind w:left="460" w:hanging="459"/>
        <w:spacing w:after="0" w:line="24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Suppliers</w:t>
      </w:r>
      <w:r>
        <w:rPr>
          <w:rFonts w:ascii="Arial" w:cs="Arial" w:eastAsia="Arial" w:hAnsi="Arial"/>
          <w:sz w:val="17"/>
          <w:szCs w:val="17"/>
          <w:color w:val="auto"/>
        </w:rPr>
        <w:t>: Our global supply chain includes components sourced from the PRC, Japan, Taiwan, the United States and Europe. While, to date, we have not</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material issues with our supply chain beyond the logistics to our Shanghai facilities,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jc w:val="both"/>
        <w:ind w:left="460" w:hanging="459"/>
        <w:spacing w:after="0" w:line="250"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Projects</w:t>
      </w:r>
      <w:r>
        <w:rPr>
          <w:rFonts w:ascii="Arial" w:cs="Arial" w:eastAsia="Arial" w:hAnsi="Arial"/>
          <w:sz w:val="17"/>
          <w:szCs w:val="17"/>
          <w:color w:val="auto"/>
        </w:rPr>
        <w:t>: Our strategy includes a number of plans to support the growth of our core business, including ACM Shanghai’s acquisition of a land use right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Lingang area of 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significantly disrupted by COVID–19 or related government measures.</w:t>
      </w:r>
    </w:p>
    <w:p>
      <w:pPr>
        <w:sectPr>
          <w:pgSz w:w="11900" w:h="16838" w:orient="portrait"/>
          <w:cols w:equalWidth="0" w:num="1">
            <w:col w:w="11240"/>
          </w:cols>
          <w:pgMar w:left="320" w:top="121"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PRC Government Research and Development Funding</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spacing w:after="0" w:line="176" w:lineRule="exact"/>
        <w:rPr>
          <w:sz w:val="20"/>
          <w:szCs w:val="20"/>
          <w:color w:val="auto"/>
        </w:rPr>
      </w:pPr>
    </w:p>
    <w:p>
      <w:pPr>
        <w:jc w:val="both"/>
        <w:ind w:left="460" w:hanging="459"/>
        <w:spacing w:after="0" w:line="253"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three months ended March 31, 2022 and 2021, related government subsidies recognized as reductions of relevant expenses in the consolidated statements of operations and comprehensive income were $0.1 million and $1.9 million, respectively.</w:t>
      </w:r>
    </w:p>
    <w:p>
      <w:pPr>
        <w:jc w:val="both"/>
        <w:ind w:left="460" w:hanging="459"/>
        <w:spacing w:after="0" w:line="252"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subsidies related to depreciable assets are credited to income over the useful lives of the related assets for which the grant was received. For the three months ended March 31, 2022 and 2021, related government subsidies recognized as other income in the consolidated statements of operations and comprehensive income were $79,000, and $39,000, respectively.</w:t>
      </w:r>
    </w:p>
    <w:p>
      <w:pPr>
        <w:spacing w:after="0" w:line="181"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Attributable to Non-Controlling Interests</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present information below with respect to four measures of financial performance:</w:t>
      </w:r>
    </w:p>
    <w:p>
      <w:pPr>
        <w:spacing w:after="0" w:line="209" w:lineRule="exact"/>
        <w:rPr>
          <w:sz w:val="20"/>
          <w:szCs w:val="20"/>
          <w:color w:val="auto"/>
        </w:rPr>
      </w:pPr>
    </w:p>
    <w:p>
      <w:pPr>
        <w:jc w:val="both"/>
        <w:ind w:left="460" w:hanging="459"/>
        <w:spacing w:after="0" w:line="253"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ind w:left="460" w:hanging="459"/>
        <w:spacing w:after="0" w:line="26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460" w:hanging="459"/>
        <w:spacing w:after="0" w:line="24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ind w:left="460" w:hanging="459"/>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Shipments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Shipments consist of two components:</w:t>
      </w:r>
    </w:p>
    <w:p>
      <w:pPr>
        <w:spacing w:after="0" w:line="209"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 accepted, for which we recognize revenue when the tool is delivered; and</w:t>
      </w:r>
    </w:p>
    <w:p>
      <w:pPr>
        <w:spacing w:after="0" w:line="30" w:lineRule="exact"/>
        <w:rPr>
          <w:rFonts w:ascii="Arial" w:cs="Arial" w:eastAsia="Arial" w:hAnsi="Arial"/>
          <w:sz w:val="16"/>
          <w:szCs w:val="16"/>
          <w:color w:val="auto"/>
        </w:rPr>
      </w:pPr>
    </w:p>
    <w:p>
      <w:pPr>
        <w:jc w:val="both"/>
        <w:ind w:left="460" w:hanging="459"/>
        <w:spacing w:after="0" w:line="25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Shipments in the three months ended March 31, 2022 totaled $67 million, as compared to $74 million in the three months ended March 31,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a number of limitations related to the use of adjusted EBITDA rather than net income (loss), which is the nearest GAAP equivalent. Some of these limitations are:</w:t>
      </w:r>
    </w:p>
    <w:p>
      <w:pPr>
        <w:spacing w:after="0" w:line="165" w:lineRule="exact"/>
        <w:rPr>
          <w:sz w:val="20"/>
          <w:szCs w:val="20"/>
          <w:color w:val="auto"/>
        </w:rPr>
      </w:pPr>
    </w:p>
    <w:p>
      <w:pPr>
        <w:ind w:left="460" w:hanging="459"/>
        <w:spacing w:after="0" w:line="255"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jc w:val="both"/>
        <w:ind w:left="460" w:hanging="459"/>
        <w:spacing w:after="0" w:line="24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ind w:left="460" w:hanging="459"/>
        <w:spacing w:after="0" w:line="24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460" w:hanging="459"/>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6" w:lineRule="exact"/>
        <w:rPr>
          <w:rFonts w:ascii="Arial" w:cs="Arial" w:eastAsia="Arial" w:hAnsi="Arial"/>
          <w:sz w:val="17"/>
          <w:szCs w:val="17"/>
          <w:color w:val="auto"/>
        </w:rPr>
      </w:pPr>
    </w:p>
    <w:p>
      <w:pPr>
        <w:ind w:left="460" w:hanging="459"/>
        <w:spacing w:after="0" w:line="24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60" w:hanging="459"/>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the most directly comparable GAAP financial measure, to adjusted EBITDA: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6"/>
          </w:tcPr>
          <w:p>
            <w:pPr>
              <w:jc w:val="right"/>
              <w:ind w:right="240"/>
              <w:spacing w:after="0"/>
              <w:rPr>
                <w:sz w:val="20"/>
                <w:szCs w:val="20"/>
                <w:color w:val="auto"/>
              </w:rPr>
            </w:pPr>
            <w:r>
              <w:rPr>
                <w:rFonts w:ascii="Arial" w:cs="Arial" w:eastAsia="Arial" w:hAnsi="Arial"/>
                <w:sz w:val="17"/>
                <w:szCs w:val="17"/>
                <w:b w:val="1"/>
                <w:bCs w:val="1"/>
                <w:color w:val="auto"/>
                <w:w w:val="91"/>
              </w:rPr>
              <w:t>Three Months Ended March 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restart"/>
          </w:tcPr>
          <w:p>
            <w:pPr>
              <w:ind w:left="560"/>
              <w:spacing w:after="0"/>
              <w:rPr>
                <w:sz w:val="20"/>
                <w:szCs w:val="20"/>
                <w:color w:val="auto"/>
              </w:rPr>
            </w:pPr>
            <w:r>
              <w:rPr>
                <w:rFonts w:ascii="Arial" w:cs="Arial" w:eastAsia="Arial" w:hAnsi="Arial"/>
                <w:sz w:val="17"/>
                <w:szCs w:val="17"/>
                <w:b w:val="1"/>
                <w:bCs w:val="1"/>
                <w:color w:val="auto"/>
              </w:rPr>
              <w:t>Adjusted EBITDA Data:</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60" w:type="dxa"/>
            <w:vAlign w:val="bottom"/>
            <w:gridSpan w:val="2"/>
            <w:vMerge w:val="continue"/>
          </w:tcPr>
          <w:p>
            <w:pPr>
              <w:spacing w:after="0"/>
              <w:rPr>
                <w:sz w:val="16"/>
                <w:szCs w:val="16"/>
                <w:color w:val="auto"/>
              </w:rPr>
            </w:pPr>
          </w:p>
        </w:tc>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48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5,822</w:t>
            </w:r>
          </w:p>
        </w:tc>
        <w:tc>
          <w:tcPr>
            <w:tcW w:w="12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Interest expense (income), net</w:t>
            </w: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benefit</w:t>
            </w: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(2,770)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based compensation</w:t>
            </w:r>
          </w:p>
        </w:tc>
        <w:tc>
          <w:tcPr>
            <w:tcW w:w="3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12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Unrealized loss on trading securities</w:t>
            </w:r>
          </w:p>
        </w:tc>
        <w:tc>
          <w:tcPr>
            <w:tcW w:w="3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5,995</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tcPr>
          <w:p>
            <w:pPr>
              <w:jc w:val="right"/>
              <w:ind w:right="2284"/>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$12.5 million decrease in adjusted EBITDA for the three-months ended March 31, 2022 as compared to the same period in 2021 reflected a $13.3 million decrease in net income and an $1.7 million decrease in interest expense, net, partly offset by a $2.8 million increase in unrealized loss on trading securities, an $1.2 million increase in income tax benefit, and a $0.7 million increase in depreciation and amortization.</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Free Cash Flow</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6"/>
          </w:tcPr>
          <w:p>
            <w:pPr>
              <w:jc w:val="right"/>
              <w:ind w:right="240"/>
              <w:spacing w:after="0"/>
              <w:rPr>
                <w:sz w:val="20"/>
                <w:szCs w:val="20"/>
                <w:color w:val="auto"/>
              </w:rPr>
            </w:pPr>
            <w:r>
              <w:rPr>
                <w:rFonts w:ascii="Arial" w:cs="Arial" w:eastAsia="Arial" w:hAnsi="Arial"/>
                <w:sz w:val="17"/>
                <w:szCs w:val="17"/>
                <w:b w:val="1"/>
                <w:bCs w:val="1"/>
                <w:color w:val="auto"/>
                <w:w w:val="91"/>
              </w:rPr>
              <w:t>Three Months Ended March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Free Cash Flow Data:</w:t>
            </w:r>
          </w:p>
        </w:tc>
        <w:tc>
          <w:tcPr>
            <w:tcW w:w="8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i w:val="1"/>
                <w:iCs w:val="1"/>
                <w:color w:val="auto"/>
                <w:w w:val="71"/>
              </w:rPr>
              <w:t>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(provided by)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(27,729)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7"/>
                <w:szCs w:val="17"/>
                <w:color w:val="auto"/>
              </w:rPr>
              <w:t>Purchase property and equipment</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(3,176)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Purchase of intangible assets</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4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7"/>
                <w:szCs w:val="17"/>
                <w:color w:val="auto"/>
              </w:rPr>
              <w:t>Free cash flow</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(31,313)</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9,164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$40.5 million decrease in free cash flow for the three-months ended March 31, 2022 as compared to the same period in 2021 reflected the factors driving net cash provided by operating activities, including increases in advances from customers, accounts payable, other payables and accrued expenses and net income, partly offset by increases in inventory, accounts receivables, and other liabilities. These were partly offset by an increase of purchases of property and equipment and intangible assets.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274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940" w:type="dxa"/>
            <w:vAlign w:val="bottom"/>
            <w:tcBorders>
              <w:top w:val="single" w:sz="8" w:color="0000EE"/>
            </w:tcBorders>
            <w:gridSpan w:val="2"/>
          </w:tcPr>
          <w:p>
            <w:pPr>
              <w:ind w:left="560"/>
              <w:spacing w:after="0"/>
              <w:rPr>
                <w:sz w:val="20"/>
                <w:szCs w:val="20"/>
                <w:color w:val="auto"/>
              </w:rPr>
            </w:pPr>
            <w:r>
              <w:rPr>
                <w:rFonts w:ascii="Arial" w:cs="Arial" w:eastAsia="Arial" w:hAnsi="Arial"/>
                <w:sz w:val="17"/>
                <w:szCs w:val="17"/>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7"/>
                <w:szCs w:val="17"/>
                <w:b w:val="1"/>
                <w:bCs w:val="1"/>
                <w:color w:val="auto"/>
                <w:w w:val="92"/>
              </w:rPr>
              <w:t>Three Months Ended March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40"/>
              <w:spacing w:after="0" w:line="186" w:lineRule="exact"/>
              <w:rPr>
                <w:sz w:val="20"/>
                <w:szCs w:val="20"/>
                <w:color w:val="auto"/>
              </w:rPr>
            </w:pPr>
            <w:r>
              <w:rPr>
                <w:rFonts w:ascii="Arial" w:cs="Arial" w:eastAsia="Arial" w:hAnsi="Arial"/>
                <w:sz w:val="17"/>
                <w:szCs w:val="17"/>
                <w:b w:val="1"/>
                <w:bCs w:val="1"/>
                <w:color w:val="auto"/>
              </w:rPr>
              <w:t>Actual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36"/>
              <w:spacing w:after="0" w:line="186" w:lineRule="exact"/>
              <w:rPr>
                <w:sz w:val="20"/>
                <w:szCs w:val="20"/>
                <w:color w:val="auto"/>
              </w:rPr>
            </w:pPr>
            <w:r>
              <w:rPr>
                <w:rFonts w:ascii="Arial" w:cs="Arial" w:eastAsia="Arial" w:hAnsi="Arial"/>
                <w:sz w:val="17"/>
                <w:szCs w:val="17"/>
                <w:b w:val="1"/>
                <w:bCs w:val="1"/>
                <w:color w:val="auto"/>
              </w:rPr>
              <w:t>Adjusted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40"/>
              <w:spacing w:after="0" w:line="186" w:lineRule="exact"/>
              <w:rPr>
                <w:sz w:val="20"/>
                <w:szCs w:val="20"/>
                <w:color w:val="auto"/>
              </w:rPr>
            </w:pPr>
            <w:r>
              <w:rPr>
                <w:rFonts w:ascii="Arial" w:cs="Arial" w:eastAsia="Arial" w:hAnsi="Arial"/>
                <w:sz w:val="17"/>
                <w:szCs w:val="17"/>
                <w:b w:val="1"/>
                <w:bCs w:val="1"/>
                <w:color w:val="auto"/>
              </w:rPr>
              <w:t>Actual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76"/>
              <w:spacing w:after="0" w:line="186" w:lineRule="exact"/>
              <w:rPr>
                <w:sz w:val="20"/>
                <w:szCs w:val="20"/>
                <w:color w:val="auto"/>
              </w:rPr>
            </w:pPr>
            <w:r>
              <w:rPr>
                <w:rFonts w:ascii="Arial" w:cs="Arial" w:eastAsia="Arial" w:hAnsi="Arial"/>
                <w:sz w:val="17"/>
                <w:szCs w:val="17"/>
                <w:b w:val="1"/>
                <w:bCs w:val="1"/>
                <w:color w:val="auto"/>
              </w:rPr>
              <w:t>Adjusted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(GAAP)</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SBC</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(Non-GAAP)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(GAAP)</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7"/>
                <w:szCs w:val="17"/>
                <w:b w:val="1"/>
                <w:bCs w:val="1"/>
                <w:color w:val="auto"/>
              </w:rPr>
              <w:t>SBC</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4"/>
              </w:rPr>
              <w:t>(Non-GAAP)</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i w:val="1"/>
                <w:iCs w:val="1"/>
                <w:color w:val="auto"/>
              </w:rPr>
              <w:t>(in</w:t>
            </w:r>
          </w:p>
        </w:tc>
        <w:tc>
          <w:tcPr>
            <w:tcW w:w="1440" w:type="dxa"/>
            <w:vAlign w:val="bottom"/>
            <w:gridSpan w:val="5"/>
          </w:tcPr>
          <w:p>
            <w:pPr>
              <w:jc w:val="right"/>
              <w:ind w:right="780"/>
              <w:spacing w:after="0"/>
              <w:rPr>
                <w:sz w:val="20"/>
                <w:szCs w:val="20"/>
                <w:color w:val="auto"/>
              </w:rPr>
            </w:pPr>
            <w:r>
              <w:rPr>
                <w:rFonts w:ascii="Arial" w:cs="Arial" w:eastAsia="Arial" w:hAnsi="Arial"/>
                <w:sz w:val="17"/>
                <w:szCs w:val="17"/>
                <w:i w:val="1"/>
                <w:iCs w:val="1"/>
                <w:color w:val="auto"/>
                <w:w w:val="76"/>
              </w:rPr>
              <w:t>thousands)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42,186</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(22,500)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(22,387)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(25,687)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(25,616)</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(6,697)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(4,803)</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tcPr>
          <w:p>
            <w:pPr>
              <w:ind w:left="160"/>
              <w:spacing w:after="0"/>
              <w:rPr>
                <w:sz w:val="20"/>
                <w:szCs w:val="20"/>
                <w:color w:val="auto"/>
              </w:rPr>
            </w:pPr>
            <w:r>
              <w:rPr>
                <w:rFonts w:ascii="Arial" w:cs="Arial" w:eastAsia="Arial" w:hAnsi="Arial"/>
                <w:sz w:val="17"/>
                <w:szCs w:val="17"/>
                <w:color w:val="auto"/>
                <w:w w:val="96"/>
              </w:rPr>
              <w:t>Research and development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(17,346)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(16,935)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(5,504)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(5,275)</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8"/>
              </w:rPr>
              <w:t>General and administrative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25"/>
        </w:trPr>
        <w:tc>
          <w:tcPr>
            <w:tcW w:w="560" w:type="dxa"/>
            <w:vAlign w:val="bottom"/>
            <w:vMerge w:val="restart"/>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0" w:type="dxa"/>
            <w:vAlign w:val="bottom"/>
            <w:vMerge w:val="continue"/>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auto"/>
                <w:w w:val="96"/>
              </w:rPr>
              <w:t>Income (loss) from operations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(9,306)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(7,932)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(1,210)</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operating income for the three months ended on March 31, 2022 decreased by $12.6 million, as compared with the same period in 2021, due to a $12.7 million decrease in income (loss) from operations, and a $0.1 million increase in stock-based compensation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There were no significant changes in our critical accounting policies or significant judgments or estimates during the three months ended March 31, 2022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For information regarding the impact of recently adopted accounting standards, refer to note 2 to the condensed consolidated financial statements included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discussion of recent accounting pronouncements is included in our Annual Report and is updated in note 2 to the condensed consolidated financial statements included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gridSpan w:val="2"/>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6"/>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380" w:type="dxa"/>
            <w:vAlign w:val="bottom"/>
          </w:tcPr>
          <w:p>
            <w:pPr>
              <w:jc w:val="right"/>
              <w:spacing w:after="0"/>
              <w:rPr>
                <w:sz w:val="20"/>
                <w:szCs w:val="20"/>
                <w:color w:val="auto"/>
              </w:rPr>
            </w:pPr>
            <w:r>
              <w:rPr>
                <w:rFonts w:ascii="Arial" w:cs="Arial" w:eastAsia="Arial" w:hAnsi="Arial"/>
                <w:sz w:val="17"/>
                <w:szCs w:val="17"/>
                <w:color w:val="auto"/>
              </w:rPr>
              <w:t>53.3</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Gross margin</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Sales and marketing</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380" w:type="dxa"/>
            <w:vAlign w:val="bottom"/>
          </w:tcPr>
          <w:p>
            <w:pPr>
              <w:jc w:val="right"/>
              <w:spacing w:after="0"/>
              <w:rPr>
                <w:sz w:val="20"/>
                <w:szCs w:val="20"/>
                <w:color w:val="auto"/>
              </w:rPr>
            </w:pPr>
            <w:r>
              <w:rPr>
                <w:rFonts w:ascii="Arial" w:cs="Arial" w:eastAsia="Arial" w:hAnsi="Arial"/>
                <w:sz w:val="17"/>
                <w:szCs w:val="17"/>
                <w:color w:val="auto"/>
              </w:rPr>
              <w:t>41.1</w:t>
            </w: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Pr>
          <w:p>
            <w:pPr>
              <w:ind w:left="440"/>
              <w:spacing w:after="0"/>
              <w:rPr>
                <w:sz w:val="20"/>
                <w:szCs w:val="20"/>
                <w:color w:val="auto"/>
              </w:rPr>
            </w:pPr>
            <w:r>
              <w:rPr>
                <w:rFonts w:ascii="Arial" w:cs="Arial" w:eastAsia="Arial" w:hAnsi="Arial"/>
                <w:sz w:val="17"/>
                <w:szCs w:val="17"/>
                <w:color w:val="auto"/>
              </w:rPr>
              <w:t>Total operating expenses, net</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Income (loss) from operations</w:t>
            </w:r>
          </w:p>
        </w:tc>
        <w:tc>
          <w:tcPr>
            <w:tcW w:w="7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4"/>
              </w:rPr>
              <w:t>(22.1)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tcPr>
          <w:p>
            <w:pPr>
              <w:spacing w:after="0"/>
              <w:rPr>
                <w:sz w:val="20"/>
                <w:szCs w:val="20"/>
                <w:color w:val="auto"/>
              </w:rPr>
            </w:pPr>
            <w:r>
              <w:rPr>
                <w:rFonts w:ascii="Arial" w:cs="Arial" w:eastAsia="Arial" w:hAnsi="Arial"/>
                <w:sz w:val="17"/>
                <w:szCs w:val="17"/>
                <w:color w:val="auto"/>
              </w:rPr>
              <w:t>Interest income (expense), net</w:t>
            </w:r>
          </w:p>
        </w:tc>
        <w:tc>
          <w:tcPr>
            <w:tcW w:w="380" w:type="dxa"/>
            <w:vAlign w:val="bottom"/>
          </w:tcPr>
          <w:p>
            <w:pPr>
              <w:jc w:val="right"/>
              <w:spacing w:after="0"/>
              <w:rPr>
                <w:sz w:val="20"/>
                <w:szCs w:val="20"/>
                <w:color w:val="auto"/>
              </w:rPr>
            </w:pPr>
            <w:r>
              <w:rPr>
                <w:rFonts w:ascii="Arial" w:cs="Arial" w:eastAsia="Arial" w:hAnsi="Arial"/>
                <w:sz w:val="17"/>
                <w:szCs w:val="17"/>
                <w:color w:val="auto"/>
              </w:rPr>
              <w:t>3.7</w:t>
            </w:r>
          </w:p>
        </w:tc>
        <w:tc>
          <w:tcPr>
            <w:tcW w:w="3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loss on trading securities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380" w:type="dxa"/>
            <w:vAlign w:val="bottom"/>
          </w:tcPr>
          <w:p>
            <w:pPr>
              <w:jc w:val="right"/>
              <w:spacing w:after="0"/>
              <w:rPr>
                <w:sz w:val="20"/>
                <w:szCs w:val="20"/>
                <w:color w:val="auto"/>
              </w:rPr>
            </w:pPr>
            <w:r>
              <w:rPr>
                <w:rFonts w:ascii="Arial" w:cs="Arial" w:eastAsia="Arial" w:hAnsi="Arial"/>
                <w:sz w:val="17"/>
                <w:szCs w:val="17"/>
                <w:color w:val="auto"/>
              </w:rPr>
              <w:t>0.6</w:t>
            </w: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Equity income (loss) in net income (loss) of affiliates</w:t>
            </w:r>
          </w:p>
        </w:tc>
        <w:tc>
          <w:tcPr>
            <w:tcW w:w="7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5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580"/>
              <w:spacing w:after="0"/>
              <w:rPr>
                <w:sz w:val="20"/>
                <w:szCs w:val="20"/>
                <w:color w:val="auto"/>
              </w:rPr>
            </w:pPr>
            <w:r>
              <w:rPr>
                <w:rFonts w:ascii="Arial" w:cs="Arial" w:eastAsia="Arial" w:hAnsi="Arial"/>
                <w:sz w:val="17"/>
                <w:szCs w:val="17"/>
                <w:color w:val="auto"/>
              </w:rPr>
              <w:t>Income (loss) before income taxes</w:t>
            </w:r>
          </w:p>
        </w:tc>
        <w:tc>
          <w:tcPr>
            <w:tcW w:w="7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(27.1)</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gridSpan w:val="2"/>
          </w:tcPr>
          <w:p>
            <w:pPr>
              <w:ind w:left="580"/>
              <w:spacing w:after="0"/>
              <w:rPr>
                <w:sz w:val="20"/>
                <w:szCs w:val="20"/>
                <w:color w:val="auto"/>
              </w:rPr>
            </w:pPr>
            <w:r>
              <w:rPr>
                <w:rFonts w:ascii="Arial" w:cs="Arial" w:eastAsia="Arial" w:hAnsi="Arial"/>
                <w:sz w:val="17"/>
                <w:szCs w:val="17"/>
                <w:color w:val="auto"/>
              </w:rPr>
              <w:t>Net income (loss)</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(17.6)</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7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5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7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(13.7%)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533"/>
        </w:trPr>
        <w:tc>
          <w:tcPr>
            <w:tcW w:w="8560" w:type="dxa"/>
            <w:vAlign w:val="bottom"/>
            <w:gridSpan w:val="2"/>
          </w:tcPr>
          <w:p>
            <w:pPr>
              <w:jc w:val="right"/>
              <w:ind w:right="2776"/>
              <w:spacing w:after="0"/>
              <w:rPr>
                <w:sz w:val="20"/>
                <w:szCs w:val="20"/>
                <w:color w:val="auto"/>
              </w:rPr>
            </w:pPr>
            <w:r>
              <w:rPr>
                <w:rFonts w:ascii="Arial" w:cs="Arial" w:eastAsia="Arial" w:hAnsi="Arial"/>
                <w:sz w:val="13"/>
                <w:szCs w:val="13"/>
                <w:color w:val="auto"/>
              </w:rPr>
              <w:t>34</w:t>
            </w: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59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Comparison of Three Months Ended March 31, 2022 and 2021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4"/>
        </w:trPr>
        <w:tc>
          <w:tcPr>
            <w:tcW w:w="5940" w:type="dxa"/>
            <w:vAlign w:val="bottom"/>
            <w:gridSpan w:val="3"/>
          </w:tcPr>
          <w:p>
            <w:pPr>
              <w:spacing w:after="0"/>
              <w:rPr>
                <w:sz w:val="20"/>
                <w:szCs w:val="20"/>
                <w:color w:val="auto"/>
              </w:rPr>
            </w:pPr>
            <w:r>
              <w:rPr>
                <w:rFonts w:ascii="Arial" w:cs="Arial" w:eastAsia="Arial" w:hAnsi="Arial"/>
                <w:sz w:val="17"/>
                <w:szCs w:val="17"/>
                <w:i w:val="1"/>
                <w:iCs w:val="1"/>
                <w:color w:val="auto"/>
              </w:rPr>
              <w:t>Revenue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7"/>
                <w:szCs w:val="17"/>
                <w:b w:val="1"/>
                <w:bCs w:val="1"/>
                <w:color w:val="auto"/>
                <w:w w:val="90"/>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20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42,186</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r>
      <w:tr>
        <w:trPr>
          <w:trHeight w:val="202"/>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gridSpan w:val="3"/>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Single wafer cleaning, Tahoe and semi-critical cleaning equipment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26,033</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32,413</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-19.7%</w:t>
            </w:r>
          </w:p>
        </w:tc>
      </w:tr>
      <w:tr>
        <w:trPr>
          <w:trHeight w:val="202"/>
        </w:trPr>
        <w:tc>
          <w:tcPr>
            <w:tcW w:w="560" w:type="dxa"/>
            <w:vAlign w:val="bottom"/>
          </w:tcPr>
          <w:p>
            <w:pPr>
              <w:spacing w:after="0"/>
              <w:rPr>
                <w:sz w:val="17"/>
                <w:szCs w:val="17"/>
                <w:color w:val="auto"/>
              </w:rPr>
            </w:pPr>
          </w:p>
        </w:tc>
        <w:tc>
          <w:tcPr>
            <w:tcW w:w="5380" w:type="dxa"/>
            <w:vAlign w:val="bottom"/>
            <w:gridSpan w:val="2"/>
          </w:tcPr>
          <w:p>
            <w:pPr>
              <w:ind w:left="160"/>
              <w:spacing w:after="0"/>
              <w:rPr>
                <w:sz w:val="20"/>
                <w:szCs w:val="20"/>
                <w:color w:val="auto"/>
              </w:rPr>
            </w:pPr>
            <w:r>
              <w:rPr>
                <w:rFonts w:ascii="Arial" w:cs="Arial" w:eastAsia="Arial" w:hAnsi="Arial"/>
                <w:sz w:val="17"/>
                <w:szCs w:val="17"/>
                <w:color w:val="auto"/>
              </w:rPr>
              <w:t>ECP (front-end and packaging), furnace and other technologies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12,248</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5,550</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color w:val="auto"/>
              </w:rPr>
              <w:t>120.7%</w:t>
            </w:r>
          </w:p>
        </w:tc>
      </w:tr>
      <w:tr>
        <w:trPr>
          <w:trHeight w:val="202"/>
        </w:trPr>
        <w:tc>
          <w:tcPr>
            <w:tcW w:w="560" w:type="dxa"/>
            <w:vAlign w:val="bottom"/>
          </w:tcPr>
          <w:p>
            <w:pPr>
              <w:spacing w:after="0"/>
              <w:rPr>
                <w:sz w:val="17"/>
                <w:szCs w:val="17"/>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Advanced packaging (excluding ECP), services &amp; spares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-32.3%</w:t>
            </w:r>
          </w:p>
        </w:tc>
      </w:tr>
      <w:tr>
        <w:trPr>
          <w:trHeight w:val="25"/>
        </w:trPr>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2"/>
        </w:trPr>
        <w:tc>
          <w:tcPr>
            <w:tcW w:w="560" w:type="dxa"/>
            <w:vAlign w:val="bottom"/>
          </w:tcPr>
          <w:p>
            <w:pPr>
              <w:spacing w:after="0"/>
              <w:rPr>
                <w:sz w:val="17"/>
                <w:szCs w:val="17"/>
                <w:color w:val="auto"/>
              </w:rPr>
            </w:pPr>
          </w:p>
        </w:tc>
        <w:tc>
          <w:tcPr>
            <w:tcW w:w="53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Revenue By Product Category</w:t>
            </w: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42,186</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43,732</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-3.5%</w:t>
            </w:r>
          </w:p>
        </w:tc>
      </w:tr>
      <w:tr>
        <w:trPr>
          <w:trHeight w:val="20"/>
        </w:trPr>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spacing w:after="0"/>
              <w:rPr>
                <w:sz w:val="16"/>
                <w:szCs w:val="16"/>
                <w:color w:val="auto"/>
              </w:rPr>
            </w:pPr>
          </w:p>
        </w:tc>
      </w:tr>
      <w:tr>
        <w:trPr>
          <w:trHeight w:val="202"/>
        </w:trPr>
        <w:tc>
          <w:tcPr>
            <w:tcW w:w="560" w:type="dxa"/>
            <w:vAlign w:val="bottom"/>
          </w:tcPr>
          <w:p>
            <w:pPr>
              <w:spacing w:after="0"/>
              <w:rPr>
                <w:sz w:val="17"/>
                <w:szCs w:val="17"/>
                <w:color w:val="auto"/>
              </w:rPr>
            </w:pPr>
          </w:p>
        </w:tc>
        <w:tc>
          <w:tcPr>
            <w:tcW w:w="5380" w:type="dxa"/>
            <w:vAlign w:val="bottom"/>
            <w:gridSpan w:val="2"/>
          </w:tcPr>
          <w:p>
            <w:pPr>
              <w:ind w:left="160"/>
              <w:spacing w:after="0"/>
              <w:rPr>
                <w:sz w:val="20"/>
                <w:szCs w:val="20"/>
                <w:color w:val="auto"/>
              </w:rPr>
            </w:pPr>
            <w:r>
              <w:rPr>
                <w:rFonts w:ascii="Arial" w:cs="Arial" w:eastAsia="Arial" w:hAnsi="Arial"/>
                <w:sz w:val="17"/>
                <w:szCs w:val="17"/>
                <w:color w:val="auto"/>
              </w:rPr>
              <w:t>Wet cleaning and other front-end processing tools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31,702</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31,900</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r>
      <w:tr>
        <w:trPr>
          <w:trHeight w:val="202"/>
        </w:trPr>
        <w:tc>
          <w:tcPr>
            <w:tcW w:w="560" w:type="dxa"/>
            <w:vAlign w:val="bottom"/>
          </w:tcPr>
          <w:p>
            <w:pPr>
              <w:spacing w:after="0"/>
              <w:rPr>
                <w:sz w:val="17"/>
                <w:szCs w:val="17"/>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Advanced packaging, other processing tools, services and spares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r>
      <w:tr>
        <w:trPr>
          <w:trHeight w:val="25"/>
        </w:trPr>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2"/>
        </w:trPr>
        <w:tc>
          <w:tcPr>
            <w:tcW w:w="560" w:type="dxa"/>
            <w:vAlign w:val="bottom"/>
          </w:tcPr>
          <w:p>
            <w:pPr>
              <w:spacing w:after="0"/>
              <w:rPr>
                <w:sz w:val="17"/>
                <w:szCs w:val="17"/>
                <w:color w:val="auto"/>
              </w:rPr>
            </w:pPr>
          </w:p>
        </w:tc>
        <w:tc>
          <w:tcPr>
            <w:tcW w:w="538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Revenue Front-end and Back-End</w:t>
            </w: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42,186</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43,732</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-3.5%</w:t>
            </w:r>
          </w:p>
        </w:tc>
      </w:tr>
      <w:tr>
        <w:trPr>
          <w:trHeight w:val="25"/>
        </w:trPr>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decreased by $1.5 million in the three months ended March 31, 2022 as compared to the same period in 2021. The decrease was due to a $0.2 million decrease in revenue from advanced packaging and other back-end processing tools, services and spares, and a $1.3 million decrease in revenue from wet cleaning and other front-end processing tools.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2"/>
          </w:tcPr>
          <w:p>
            <w:pPr>
              <w:spacing w:after="0"/>
              <w:rPr>
                <w:sz w:val="20"/>
                <w:szCs w:val="20"/>
                <w:color w:val="auto"/>
              </w:rPr>
            </w:pPr>
            <w:r>
              <w:rPr>
                <w:rFonts w:ascii="Arial" w:cs="Arial" w:eastAsia="Arial" w:hAnsi="Arial"/>
                <w:sz w:val="17"/>
                <w:szCs w:val="17"/>
                <w:i w:val="1"/>
                <w:iCs w:val="1"/>
                <w:color w:val="auto"/>
              </w:rPr>
              <w:t>Cost of Revenue and Gross Margin</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10"/>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w w:val="91"/>
              </w:rPr>
              <w:t>Three Months Ended March 31,</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5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9"/>
              </w:rPr>
              <w:t>2021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18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20" w:type="dxa"/>
            <w:vAlign w:val="bottom"/>
            <w:gridSpan w:val="3"/>
          </w:tcPr>
          <w:p>
            <w:pPr>
              <w:jc w:val="center"/>
              <w:spacing w:after="0"/>
              <w:rPr>
                <w:sz w:val="20"/>
                <w:szCs w:val="20"/>
                <w:color w:val="auto"/>
              </w:rPr>
            </w:pPr>
            <w:r>
              <w:rPr>
                <w:rFonts w:ascii="Arial" w:cs="Arial" w:eastAsia="Arial" w:hAnsi="Arial"/>
                <w:sz w:val="17"/>
                <w:szCs w:val="17"/>
                <w:i w:val="1"/>
                <w:iCs w:val="1"/>
                <w:color w:val="auto"/>
                <w:w w:val="73"/>
              </w:rPr>
              <w:t>thousands)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25,687</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w:t>
            </w:r>
          </w:p>
        </w:tc>
      </w:tr>
      <w:tr>
        <w:trPr>
          <w:trHeight w:val="202"/>
        </w:trPr>
        <w:tc>
          <w:tcPr>
            <w:tcW w:w="56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Gross profit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19,686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18,045</w:t>
            </w:r>
          </w:p>
        </w:tc>
        <w:tc>
          <w:tcPr>
            <w:tcW w:w="2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r>
      <w:tr>
        <w:trPr>
          <w:trHeight w:val="202"/>
        </w:trPr>
        <w:tc>
          <w:tcPr>
            <w:tcW w:w="56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540 bps</w:t>
            </w:r>
          </w:p>
        </w:tc>
      </w:tr>
    </w:tbl>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decreased $3.2 million and gross profit increased $1.6 million in the three months ended March 31, 2022 as compared to the corresponding period in 2021 due to the decreased sales volume, more than offset by a 540 basis point increase in gross margin, that reflected differences in product mix.</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gridSpan w:val="2"/>
          </w:tcPr>
          <w:p>
            <w:pPr>
              <w:spacing w:after="0"/>
              <w:rPr>
                <w:sz w:val="20"/>
                <w:szCs w:val="20"/>
                <w:color w:val="auto"/>
              </w:rPr>
            </w:pPr>
            <w:r>
              <w:rPr>
                <w:rFonts w:ascii="Arial" w:cs="Arial" w:eastAsia="Arial" w:hAnsi="Arial"/>
                <w:sz w:val="17"/>
                <w:szCs w:val="17"/>
                <w:i w:val="1"/>
                <w:iCs w:val="1"/>
                <w:color w:val="auto"/>
              </w:rPr>
              <w:t>Operating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10"/>
        </w:trPr>
        <w:tc>
          <w:tcPr>
            <w:tcW w:w="5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7"/>
                <w:szCs w:val="17"/>
                <w:b w:val="1"/>
                <w:bCs w:val="1"/>
                <w:color w:val="auto"/>
                <w:w w:val="90"/>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56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18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26.2%</w:t>
            </w:r>
          </w:p>
        </w:tc>
      </w:tr>
      <w:tr>
        <w:trPr>
          <w:trHeight w:val="202"/>
        </w:trPr>
        <w:tc>
          <w:tcPr>
            <w:tcW w:w="5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17,346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5,504</w:t>
            </w:r>
          </w:p>
        </w:tc>
        <w:tc>
          <w:tcPr>
            <w:tcW w:w="1540" w:type="dxa"/>
            <w:vAlign w:val="bottom"/>
            <w:gridSpan w:val="3"/>
          </w:tcPr>
          <w:p>
            <w:pPr>
              <w:jc w:val="right"/>
              <w:ind w:right="40"/>
              <w:spacing w:after="0"/>
              <w:rPr>
                <w:sz w:val="20"/>
                <w:szCs w:val="20"/>
                <w:color w:val="auto"/>
              </w:rPr>
            </w:pPr>
            <w:r>
              <w:rPr>
                <w:rFonts w:ascii="Arial" w:cs="Arial" w:eastAsia="Arial" w:hAnsi="Arial"/>
                <w:sz w:val="17"/>
                <w:szCs w:val="17"/>
                <w:color w:val="auto"/>
              </w:rPr>
              <w:t>215.2%</w:t>
            </w:r>
          </w:p>
        </w:tc>
      </w:tr>
      <w:tr>
        <w:trPr>
          <w:trHeight w:val="207"/>
        </w:trPr>
        <w:tc>
          <w:tcPr>
            <w:tcW w:w="560" w:type="dxa"/>
            <w:vAlign w:val="bottom"/>
          </w:tcPr>
          <w:p>
            <w:pPr>
              <w:spacing w:after="0"/>
              <w:rPr>
                <w:sz w:val="18"/>
                <w:szCs w:val="18"/>
                <w:color w:val="auto"/>
              </w:rPr>
            </w:pPr>
          </w:p>
        </w:tc>
        <w:tc>
          <w:tcPr>
            <w:tcW w:w="6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1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30.8%</w:t>
            </w:r>
          </w:p>
        </w:tc>
      </w:tr>
      <w:tr>
        <w:trPr>
          <w:trHeight w:val="202"/>
        </w:trPr>
        <w:tc>
          <w:tcPr>
            <w:tcW w:w="56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28,992</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14,595</w:t>
            </w:r>
          </w:p>
        </w:tc>
        <w:tc>
          <w:tcPr>
            <w:tcW w:w="1540" w:type="dxa"/>
            <w:vAlign w:val="bottom"/>
            <w:gridSpan w:val="3"/>
          </w:tcPr>
          <w:p>
            <w:pPr>
              <w:jc w:val="right"/>
              <w:ind w:right="40"/>
              <w:spacing w:after="0"/>
              <w:rPr>
                <w:sz w:val="20"/>
                <w:szCs w:val="20"/>
                <w:color w:val="auto"/>
              </w:rPr>
            </w:pPr>
            <w:r>
              <w:rPr>
                <w:rFonts w:ascii="Arial" w:cs="Arial" w:eastAsia="Arial" w:hAnsi="Arial"/>
                <w:sz w:val="17"/>
                <w:szCs w:val="17"/>
                <w:color w:val="auto"/>
              </w:rPr>
              <w:t>98.6%</w:t>
            </w:r>
          </w:p>
        </w:tc>
      </w:tr>
      <w:tr>
        <w:trPr>
          <w:trHeight w:val="25"/>
        </w:trPr>
        <w:tc>
          <w:tcPr>
            <w:tcW w:w="560" w:type="dxa"/>
            <w:vAlign w:val="bottom"/>
          </w:tcPr>
          <w:p>
            <w:pPr>
              <w:spacing w:after="0"/>
              <w:rPr>
                <w:sz w:val="2"/>
                <w:szCs w:val="2"/>
                <w:color w:val="auto"/>
              </w:rPr>
            </w:pPr>
          </w:p>
        </w:tc>
        <w:tc>
          <w:tcPr>
            <w:tcW w:w="6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by $1.4 million in the three months ended March 31, 2022 as compared to the corresponding period in 2021.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the addition of resources to our global sales and services teams to further scale our business in mainland China and other regions to support our longer term growth targets.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Sales and marketing expense consists primarily of:</w:t>
      </w:r>
    </w:p>
    <w:p>
      <w:pPr>
        <w:spacing w:after="0" w:line="209" w:lineRule="exact"/>
        <w:rPr>
          <w:sz w:val="20"/>
          <w:szCs w:val="20"/>
          <w:color w:val="auto"/>
        </w:rPr>
      </w:pPr>
    </w:p>
    <w:p>
      <w:pPr>
        <w:ind w:left="800" w:hanging="458"/>
        <w:spacing w:after="0" w:line="255"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compensation of personnel associated with pre- and after-sale services and support and other sales and marketing activities, including stock-based compensation;</w:t>
      </w:r>
    </w:p>
    <w:p>
      <w:pPr>
        <w:ind w:left="800" w:hanging="458"/>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by $11.8 million in the three months ended March 31, 2022 as compared to the corresponding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as a result of increases in new product development, testing fees and personnel costs related to the introduction of product line extensions and new product categories and the cost of tools built for product development purposes.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Research and development expense represented 41.1% and 12.6% of our revenue in the three months ended March 31, 2022 and 2021, respectively. Without reduction by grant amounts received from PRC governmental authorities (see “—Government Research and Development Funding”), gross research and development expense totaled $17.4 million, or 41.4% of total revenue, in the three months ended March 31, 2022 and $7.4 million, or 17.1% of revenue, in the corresponding period in 2021. Research and development expense relates to the development of new products and processes and encompasses our research, development and customer support activities. Research and development expense consists primarily of:</w:t>
      </w:r>
    </w:p>
    <w:p>
      <w:pPr>
        <w:spacing w:after="0" w:line="167" w:lineRule="exact"/>
        <w:rPr>
          <w:sz w:val="20"/>
          <w:szCs w:val="20"/>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 based compensation;</w:t>
      </w:r>
    </w:p>
    <w:p>
      <w:pPr>
        <w:spacing w:after="0" w:line="18" w:lineRule="exact"/>
        <w:rPr>
          <w:rFonts w:ascii="Arial" w:cs="Arial" w:eastAsia="Arial" w:hAnsi="Arial"/>
          <w:sz w:val="17"/>
          <w:szCs w:val="17"/>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costs of tools built for product development purposes;</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6" w:lineRule="exact"/>
        <w:rPr>
          <w:rFonts w:ascii="Arial" w:cs="Arial" w:eastAsia="Arial" w:hAnsi="Arial"/>
          <w:sz w:val="17"/>
          <w:szCs w:val="17"/>
          <w:color w:val="auto"/>
        </w:rPr>
      </w:pPr>
    </w:p>
    <w:p>
      <w:pPr>
        <w:ind w:left="800" w:hanging="458"/>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$1.2 million in the three months ended March 31, 2022 as compared to the corresponding period in 2021.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 consists primarily of: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ind w:left="760" w:right="180" w:hanging="456"/>
        <w:spacing w:after="0" w:line="255"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ind w:left="760" w:hanging="4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professional fees, including accounting and corporate legal and defense fees;</w:t>
      </w:r>
    </w:p>
    <w:p>
      <w:pPr>
        <w:spacing w:after="0" w:line="6" w:lineRule="exact"/>
        <w:rPr>
          <w:rFonts w:ascii="Arial" w:cs="Arial" w:eastAsia="Arial" w:hAnsi="Arial"/>
          <w:sz w:val="17"/>
          <w:szCs w:val="17"/>
          <w:color w:val="auto"/>
        </w:rPr>
      </w:pPr>
    </w:p>
    <w:p>
      <w:pPr>
        <w:ind w:left="760" w:hanging="4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corporate expenses including insurance; and</w:t>
      </w:r>
    </w:p>
    <w:p>
      <w:pPr>
        <w:spacing w:after="0" w:line="6" w:lineRule="exact"/>
        <w:rPr>
          <w:rFonts w:ascii="Arial" w:cs="Arial" w:eastAsia="Arial" w:hAnsi="Arial"/>
          <w:sz w:val="17"/>
          <w:szCs w:val="17"/>
          <w:color w:val="auto"/>
        </w:rPr>
      </w:pPr>
    </w:p>
    <w:p>
      <w:pPr>
        <w:ind w:left="760" w:hanging="456"/>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for the foreseeable future, general and administrative expenses will increase in dollars, as we incur additional costs associated with growing our business and operating public companies in the United States and the PRC.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20"/>
                <w:szCs w:val="20"/>
                <w:color w:val="auto"/>
              </w:rPr>
            </w:pPr>
            <w:r>
              <w:rPr>
                <w:rFonts w:ascii="Arial" w:cs="Arial" w:eastAsia="Arial" w:hAnsi="Arial"/>
                <w:sz w:val="17"/>
                <w:szCs w:val="17"/>
                <w:i w:val="1"/>
                <w:iCs w:val="1"/>
                <w:color w:val="auto"/>
              </w:rPr>
              <w:t>Unrealized loss from trading securities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10"/>
        </w:trPr>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w w:val="93"/>
              </w:rPr>
              <w:t>Three Months Ended March 31,</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3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18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3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w w:val="89"/>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180" w:type="dxa"/>
            <w:vAlign w:val="bottom"/>
          </w:tcPr>
          <w:p>
            <w:pPr>
              <w:spacing w:after="0"/>
              <w:rPr>
                <w:sz w:val="19"/>
                <w:szCs w:val="19"/>
                <w:color w:val="auto"/>
              </w:rPr>
            </w:pPr>
          </w:p>
        </w:tc>
      </w:tr>
      <w:tr>
        <w:trPr>
          <w:trHeight w:val="202"/>
        </w:trPr>
        <w:tc>
          <w:tcPr>
            <w:tcW w:w="3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4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w w:val="73"/>
              </w:rPr>
              <w:t>thousands)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2"/>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 on trading securities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(3,858)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268.5%</w:t>
            </w:r>
          </w:p>
        </w:tc>
      </w:tr>
    </w:tbl>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recorded an unrealized loss of $3.9 million for the three months ended March 31, 2022, as compared to an unrealized loss of $1.0 million for the same period in 2021, based on a change in market value of ACM Shanghai’s indirect investment in SMIC shares on the STAR Market as is described in note 15 to the condensed consolidated financial statements included in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40" w:type="dxa"/>
            <w:vAlign w:val="bottom"/>
            <w:gridSpan w:val="2"/>
          </w:tcPr>
          <w:p>
            <w:pPr>
              <w:spacing w:after="0"/>
              <w:rPr>
                <w:sz w:val="20"/>
                <w:szCs w:val="20"/>
                <w:color w:val="auto"/>
              </w:rPr>
            </w:pPr>
            <w:r>
              <w:rPr>
                <w:rFonts w:ascii="Arial" w:cs="Arial" w:eastAsia="Arial" w:hAnsi="Arial"/>
                <w:sz w:val="17"/>
                <w:szCs w:val="17"/>
                <w:i w:val="1"/>
                <w:iCs w:val="1"/>
                <w:color w:val="auto"/>
              </w:rPr>
              <w:t>Other Income and Expenses</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00" w:type="dxa"/>
            <w:vAlign w:val="bottom"/>
            <w:gridSpan w:val="7"/>
          </w:tcPr>
          <w:p>
            <w:pPr>
              <w:jc w:val="right"/>
              <w:ind w:right="320"/>
              <w:spacing w:after="0"/>
              <w:rPr>
                <w:sz w:val="20"/>
                <w:szCs w:val="20"/>
                <w:color w:val="auto"/>
              </w:rPr>
            </w:pPr>
            <w:r>
              <w:rPr>
                <w:rFonts w:ascii="Arial" w:cs="Arial" w:eastAsia="Arial" w:hAnsi="Arial"/>
                <w:sz w:val="17"/>
                <w:szCs w:val="17"/>
                <w:b w:val="1"/>
                <w:bCs w:val="1"/>
                <w:color w:val="auto"/>
                <w:w w:val="93"/>
              </w:rPr>
              <w:t>Three Months Ended March 31,</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760" w:type="dxa"/>
            <w:vAlign w:val="bottom"/>
            <w:gridSpan w:val="2"/>
            <w:shd w:val="clear" w:color="auto" w:fill="CCEEFF"/>
          </w:tcPr>
          <w:p>
            <w:pPr>
              <w:jc w:val="right"/>
              <w:ind w:right="55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1,805</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6"/>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3583.7%</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Interest Expense</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
              <w:spacing w:after="0"/>
              <w:rPr>
                <w:sz w:val="20"/>
                <w:szCs w:val="20"/>
                <w:color w:val="auto"/>
              </w:rPr>
            </w:pPr>
            <w:r>
              <w:rPr>
                <w:rFonts w:ascii="Arial" w:cs="Arial" w:eastAsia="Arial" w:hAnsi="Arial"/>
                <w:sz w:val="17"/>
                <w:szCs w:val="17"/>
                <w:color w:val="auto"/>
              </w:rPr>
              <w:t>(261)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20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-1202.9%</w:t>
            </w:r>
          </w:p>
        </w:tc>
        <w:tc>
          <w:tcPr>
            <w:tcW w:w="0" w:type="dxa"/>
            <w:vAlign w:val="bottom"/>
          </w:tcPr>
          <w:p>
            <w:pPr>
              <w:spacing w:after="0"/>
              <w:rPr>
                <w:sz w:val="1"/>
                <w:szCs w:val="1"/>
                <w:color w:val="auto"/>
              </w:rPr>
            </w:pPr>
          </w:p>
        </w:tc>
      </w:tr>
      <w:tr>
        <w:trPr>
          <w:trHeight w:val="193"/>
        </w:trPr>
        <w:tc>
          <w:tcPr>
            <w:tcW w:w="560" w:type="dxa"/>
            <w:vAlign w:val="bottom"/>
            <w:vMerge w:val="restart"/>
          </w:tcPr>
          <w:p>
            <w:pPr>
              <w:spacing w:after="0"/>
              <w:rPr>
                <w:sz w:val="16"/>
                <w:szCs w:val="16"/>
                <w:color w:val="auto"/>
              </w:rPr>
            </w:pPr>
          </w:p>
        </w:tc>
        <w:tc>
          <w:tcPr>
            <w:tcW w:w="4080" w:type="dxa"/>
            <w:vAlign w:val="bottom"/>
          </w:tcPr>
          <w:p>
            <w:pPr>
              <w:spacing w:after="0"/>
              <w:rPr>
                <w:sz w:val="16"/>
                <w:szCs w:val="16"/>
                <w:color w:val="auto"/>
              </w:rPr>
            </w:pPr>
          </w:p>
        </w:tc>
        <w:tc>
          <w:tcPr>
            <w:tcW w:w="276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760" w:type="dxa"/>
            <w:vAlign w:val="bottom"/>
            <w:gridSpan w:val="2"/>
            <w:shd w:val="clear" w:color="auto" w:fill="CCEEFF"/>
          </w:tcPr>
          <w:p>
            <w:pPr>
              <w:jc w:val="right"/>
              <w:ind w:right="559"/>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6"/>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Interest income consists of interest earned on our cash and equivalents and restricted cash accounts, offset by interest expense incurred from outstanding short-term borrowings. We realized $1.5 million of interest income (expense), net in the three months ended March 31, 2022 as compared to ($140,000) of interest income (expense), net in the corresponding period in 2021. This was a result of a higher balance of cash and equivalents and higher interest rates on these balances, and a lower combined balance of short-term and long-term bank loans.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Other income,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Other income (expense), declined by $232,000 in the three months ended March 31, 2022 as compared to Other income (expense) in the corresponding period in 2021, due primarily to a realized loss of $22,000 resulting from changes in the RMB-to-U.S. dollar exchange rate, compared to a realized gain of $411,000 in the prior year period, offset by other items.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 (Expense)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7"/>
                <w:szCs w:val="17"/>
                <w:b w:val="1"/>
                <w:bCs w:val="1"/>
                <w:color w:val="auto"/>
                <w:w w:val="93"/>
              </w:rPr>
              <w:t>Three Months Ended March 31,</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income tax benefit</w:t>
            </w:r>
          </w:p>
        </w:tc>
        <w:tc>
          <w:tcPr>
            <w:tcW w:w="2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53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80" w:type="dxa"/>
            <w:vAlign w:val="bottom"/>
          </w:tcPr>
          <w:p>
            <w:pPr>
              <w:jc w:val="right"/>
              <w:ind w:right="433"/>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recognized a tax benefit of $4.0 million for the three months ended March 31, 2022 as compared to a tax benefit of $2.8 million for prior year period. The benefit in 2022 primarily resulted from the tax effect of the operating loss generated. The increase in our effective income tax rate for the three months ended March 31, 2022 compared to the same period of the prior year was primarily due to a new requirement to capitalize and amortize previously deductible research and experimental expenses resulting from a change in Section 174 made by the Tax Cuts and Jobs Act of 2017 (the “TCJA”) which became effective on January 1, 2022, and a decrease in discrete tax benefits associated with stock-based compensation deductions.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Congress is considering legislation, but legislation has not passed, that would defer the capitalization requirement to later years.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12.5% to 25% for Chinese income tax purposes due to the treatment of stock-based compensation including the impact from stock option exercises and non-US research expenses. Our two PRC subsidiaries, ACM Shanghai and ACM Research (Wuxi), Inc., are liable for PRC corporate income taxes at the rates of 12.5%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12.5%. ACM Shanghai was certified as an “advanced and new technology enterprise” in 2012 and again in 2016 and 2018, with an effective period of three years.</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1999 through 2021.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gridSpan w:val="2"/>
          </w:tcPr>
          <w:p>
            <w:pPr>
              <w:spacing w:after="0"/>
              <w:rPr>
                <w:sz w:val="20"/>
                <w:szCs w:val="20"/>
                <w:color w:val="auto"/>
              </w:rPr>
            </w:pPr>
            <w:r>
              <w:rPr>
                <w:rFonts w:ascii="Arial" w:cs="Arial" w:eastAsia="Arial" w:hAnsi="Arial"/>
                <w:sz w:val="17"/>
                <w:szCs w:val="17"/>
                <w:i w:val="1"/>
                <w:iCs w:val="1"/>
                <w:color w:val="auto"/>
              </w:rPr>
              <w:t>Net Income Attributable to Non-Controlling Interests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10"/>
        </w:trPr>
        <w:tc>
          <w:tcPr>
            <w:tcW w:w="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7"/>
                <w:szCs w:val="17"/>
                <w:b w:val="1"/>
                <w:bCs w:val="1"/>
                <w:color w:val="auto"/>
                <w:w w:val="90"/>
              </w:rPr>
              <w:t>Three Months Ended March 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6"/>
        </w:trPr>
        <w:tc>
          <w:tcPr>
            <w:tcW w:w="5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60"/>
              <w:spacing w:after="0" w:line="186" w:lineRule="exact"/>
              <w:rPr>
                <w:sz w:val="20"/>
                <w:szCs w:val="20"/>
                <w:color w:val="auto"/>
              </w:rPr>
            </w:pPr>
            <w:r>
              <w:rPr>
                <w:rFonts w:ascii="Arial" w:cs="Arial" w:eastAsia="Arial" w:hAnsi="Arial"/>
                <w:sz w:val="17"/>
                <w:szCs w:val="17"/>
                <w:b w:val="1"/>
                <w:bCs w:val="1"/>
                <w:color w:val="auto"/>
                <w:w w:val="92"/>
              </w:rPr>
              <w:t>% Change</w:t>
            </w:r>
          </w:p>
        </w:tc>
      </w:tr>
      <w:tr>
        <w:trPr>
          <w:trHeight w:val="224"/>
        </w:trPr>
        <w:tc>
          <w:tcPr>
            <w:tcW w:w="5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2022 v 2021</w:t>
            </w:r>
          </w:p>
        </w:tc>
        <w:tc>
          <w:tcPr>
            <w:tcW w:w="180" w:type="dxa"/>
            <w:vAlign w:val="bottom"/>
          </w:tcPr>
          <w:p>
            <w:pPr>
              <w:spacing w:after="0"/>
              <w:rPr>
                <w:sz w:val="19"/>
                <w:szCs w:val="19"/>
                <w:color w:val="auto"/>
              </w:rPr>
            </w:pPr>
          </w:p>
        </w:tc>
      </w:tr>
      <w:tr>
        <w:trPr>
          <w:trHeight w:val="202"/>
        </w:trPr>
        <w:tc>
          <w:tcPr>
            <w:tcW w:w="5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7"/>
                <w:szCs w:val="17"/>
                <w:i w:val="1"/>
                <w:iCs w:val="1"/>
                <w:color w:val="auto"/>
              </w:rPr>
              <w:t>(in</w:t>
            </w:r>
          </w:p>
        </w:tc>
        <w:tc>
          <w:tcPr>
            <w:tcW w:w="600" w:type="dxa"/>
            <w:vAlign w:val="bottom"/>
            <w:gridSpan w:val="3"/>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0"/>
        </w:trPr>
        <w:tc>
          <w:tcPr>
            <w:tcW w:w="560" w:type="dxa"/>
            <w:vAlign w:val="bottom"/>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Net income (loss) attributable to non-controlling interests and redeemable non-</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5"/>
        </w:trPr>
        <w:tc>
          <w:tcPr>
            <w:tcW w:w="56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controlling interests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(1,657)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-570.7%</w:t>
            </w:r>
          </w:p>
        </w:tc>
      </w:tr>
    </w:tbl>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March 31, 2022, this amount totaled ($1.7 million) as compared to $352,000 in the corresponding period in 2021.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three months of 2022, we funded our technology development and operations principally through our beginning cash balance and short-term borrowings by ACM Shanghai from local financial institutions.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believe our existing cash and cash equivalents, including proceeds from the STAR IPO,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In exchange for its land use rights, Shengwei Research (Shanghai), Inc. paid aggregate grant fees of RMB 61.7 million ($9.5 million), and a performance deposit of</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RMB 12.3 million ($1.9 million), which is equal to 20% of the aggregate grant fees, to secure its achievement of the following performance milestones:</w:t>
      </w:r>
    </w:p>
    <w:p>
      <w:pPr>
        <w:spacing w:after="0" w:line="208" w:lineRule="exact"/>
        <w:rPr>
          <w:sz w:val="20"/>
          <w:szCs w:val="20"/>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start of construction within 6 months after the Delivery Date (60% of the performance deposit);</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completion of construction within 30 months after the Delivery Date (20% of the performance deposit); and</w:t>
      </w:r>
    </w:p>
    <w:p>
      <w:pPr>
        <w:spacing w:after="0" w:line="6" w:lineRule="exact"/>
        <w:rPr>
          <w:rFonts w:ascii="Arial" w:cs="Arial" w:eastAsia="Arial" w:hAnsi="Arial"/>
          <w:sz w:val="17"/>
          <w:szCs w:val="17"/>
          <w:color w:val="auto"/>
        </w:rPr>
      </w:pPr>
    </w:p>
    <w:p>
      <w:pPr>
        <w:ind w:left="460" w:hanging="459"/>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start of production within 42 months after the Delivery Date (20% of the performance deposit).</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Covenants in the Grant Agreement require that, among other things, Shengwei Research (Shanghai), Inc. will be required to pay liquidated damages in the event that</w:t>
      </w:r>
    </w:p>
    <w:p>
      <w:pPr>
        <w:spacing w:after="0" w:line="42" w:lineRule="exact"/>
        <w:rPr>
          <w:sz w:val="20"/>
          <w:szCs w:val="20"/>
          <w:color w:val="auto"/>
        </w:rPr>
      </w:pPr>
    </w:p>
    <w:p>
      <w:pPr>
        <w:jc w:val="both"/>
        <w:ind w:firstLine="1"/>
        <w:spacing w:after="0" w:line="295"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Equity and Equity-related Securities. </w:t>
      </w:r>
      <w:r>
        <w:rPr>
          <w:rFonts w:ascii="Arial" w:cs="Arial" w:eastAsia="Arial" w:hAnsi="Arial"/>
          <w:sz w:val="17"/>
          <w:szCs w:val="17"/>
          <w:color w:val="auto"/>
        </w:rPr>
        <w:t>During the three months ended March 31, 2022, we received proceeds of $0.7 million from sales of Class A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option exercises.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Short-Term and Long-Term Loan Facilities. </w:t>
      </w:r>
      <w:r>
        <w:rPr>
          <w:rFonts w:ascii="Arial" w:cs="Arial" w:eastAsia="Arial" w:hAnsi="Arial"/>
          <w:sz w:val="17"/>
          <w:szCs w:val="17"/>
          <w:color w:val="auto"/>
        </w:rPr>
        <w:t>We have short-term and long-term borrowings with five banks,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Amount</w:t>
            </w: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Maximum</w:t>
            </w:r>
          </w:p>
        </w:tc>
        <w:tc>
          <w:tcPr>
            <w:tcW w:w="104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9"/>
              </w:rPr>
              <w:t>Outstanding</w:t>
            </w: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306"/>
              <w:spacing w:after="0"/>
              <w:rPr>
                <w:sz w:val="20"/>
                <w:szCs w:val="20"/>
                <w:color w:val="auto"/>
              </w:rPr>
            </w:pPr>
            <w:r>
              <w:rPr>
                <w:rFonts w:ascii="Arial" w:cs="Arial" w:eastAsia="Arial" w:hAnsi="Arial"/>
                <w:sz w:val="17"/>
                <w:szCs w:val="17"/>
                <w:b w:val="1"/>
                <w:bCs w:val="1"/>
                <w:color w:val="auto"/>
                <w:w w:val="93"/>
              </w:rPr>
              <w:t>Annual</w:t>
            </w: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Borrowing</w:t>
            </w:r>
          </w:p>
        </w:tc>
        <w:tc>
          <w:tcPr>
            <w:tcW w:w="10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3"/>
              </w:rPr>
              <w:t>at March 31,</w:t>
            </w:r>
          </w:p>
        </w:tc>
      </w:tr>
      <w:tr>
        <w:trPr>
          <w:trHeight w:val="224"/>
        </w:trPr>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Lender</w:t>
            </w:r>
          </w:p>
        </w:tc>
        <w:tc>
          <w:tcPr>
            <w:tcW w:w="120" w:type="dxa"/>
            <w:vAlign w:val="bottom"/>
          </w:tcPr>
          <w:p>
            <w:pPr>
              <w:spacing w:after="0"/>
              <w:rPr>
                <w:sz w:val="19"/>
                <w:szCs w:val="19"/>
                <w:color w:val="auto"/>
              </w:rPr>
            </w:pPr>
          </w:p>
        </w:tc>
        <w:tc>
          <w:tcPr>
            <w:tcW w:w="240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Agreement Date</w:t>
            </w:r>
          </w:p>
        </w:tc>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Maturity Date</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Interest Rate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Amount(1)</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2022</w:t>
            </w:r>
          </w:p>
        </w:tc>
        <w:tc>
          <w:tcPr>
            <w:tcW w:w="40" w:type="dxa"/>
            <w:vAlign w:val="bottom"/>
          </w:tcPr>
          <w:p>
            <w:pPr>
              <w:spacing w:after="0"/>
              <w:rPr>
                <w:sz w:val="19"/>
                <w:szCs w:val="19"/>
                <w:color w:val="auto"/>
              </w:rPr>
            </w:pP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ind w:left="560"/>
              <w:spacing w:after="0"/>
              <w:rPr>
                <w:sz w:val="20"/>
                <w:szCs w:val="20"/>
                <w:color w:val="auto"/>
              </w:rPr>
            </w:pPr>
            <w:r>
              <w:rPr>
                <w:rFonts w:ascii="Arial" w:cs="Arial" w:eastAsia="Arial" w:hAnsi="Arial"/>
                <w:sz w:val="17"/>
                <w:szCs w:val="17"/>
                <w:i w:val="1"/>
                <w:iCs w:val="1"/>
                <w:color w:val="auto"/>
              </w:rPr>
              <w:t>(in thousands)</w:t>
            </w:r>
          </w:p>
        </w:tc>
      </w:tr>
      <w:tr>
        <w:trPr>
          <w:trHeight w:val="202"/>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0D0D0D"/>
                <w:w w:val="92"/>
              </w:rPr>
              <w:t>Bank of Shanghai Pudong Branch</w:t>
            </w:r>
          </w:p>
        </w:tc>
        <w:tc>
          <w:tcPr>
            <w:tcW w:w="2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0D0D0D"/>
              </w:rPr>
              <w:t>June 2021</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June 2022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2.70%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0D0D0D"/>
                <w:w w:val="98"/>
              </w:rPr>
              <w:t>RMB100,000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RMB29,313</w:t>
            </w: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0D0D0D"/>
              </w:rPr>
              <w:t>15,750</w:t>
            </w: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4,617</w:t>
            </w:r>
          </w:p>
        </w:tc>
      </w:tr>
      <w:tr>
        <w:trPr>
          <w:trHeight w:val="202"/>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0D0D0D"/>
              </w:rPr>
              <w:t>China Everbright Bank</w:t>
            </w:r>
          </w:p>
        </w:tc>
        <w:tc>
          <w:tcPr>
            <w:tcW w:w="2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0D0D0D"/>
              </w:rPr>
              <w:t>July 2021</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October 2022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1.95%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0D0D0D"/>
                <w:w w:val="98"/>
              </w:rPr>
              <w:t>RMB150,000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RMB21,637</w:t>
            </w: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0D0D0D"/>
              </w:rPr>
              <w:t>23,625</w:t>
            </w: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3,408</w:t>
            </w:r>
          </w:p>
        </w:tc>
      </w:tr>
      <w:tr>
        <w:trPr>
          <w:trHeight w:val="202"/>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0D0D0D"/>
              </w:rPr>
              <w:t>Bank of Communications</w:t>
            </w:r>
          </w:p>
        </w:tc>
        <w:tc>
          <w:tcPr>
            <w:tcW w:w="2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0D0D0D"/>
              </w:rPr>
              <w:t>October 2021</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October 2022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3.85%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0D0D0D"/>
              </w:rPr>
              <w:t>RMB60,000</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D0D0D"/>
              </w:rPr>
              <w:t>RMB10,000</w:t>
            </w: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000" w:type="dxa"/>
            <w:vAlign w:val="bottom"/>
          </w:tcPr>
          <w:p>
            <w:pPr>
              <w:jc w:val="right"/>
              <w:spacing w:after="0"/>
              <w:rPr>
                <w:sz w:val="20"/>
                <w:szCs w:val="20"/>
                <w:color w:val="auto"/>
              </w:rPr>
            </w:pPr>
            <w:r>
              <w:rPr>
                <w:rFonts w:ascii="Arial" w:cs="Arial" w:eastAsia="Arial" w:hAnsi="Arial"/>
                <w:sz w:val="17"/>
                <w:szCs w:val="17"/>
                <w:color w:val="0D0D0D"/>
              </w:rPr>
              <w:t>9,450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1,575</w:t>
            </w:r>
          </w:p>
        </w:tc>
      </w:tr>
      <w:tr>
        <w:trPr>
          <w:trHeight w:val="190"/>
        </w:trPr>
        <w:tc>
          <w:tcPr>
            <w:tcW w:w="240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rPr>
              <w:t>China Merchants Bank</w:t>
            </w:r>
          </w:p>
        </w:tc>
        <w:tc>
          <w:tcPr>
            <w:tcW w:w="25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0D0D0D"/>
              </w:rPr>
              <w:t>November 2020</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w w:val="90"/>
              </w:rPr>
              <w:t>Repayable by installments and the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0D0D0D"/>
                <w:w w:val="98"/>
              </w:rPr>
              <w:t>RMB128,500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0D0D0D"/>
                <w:w w:val="90"/>
              </w:rPr>
              <w:t>RMB114,611</w:t>
            </w:r>
          </w:p>
        </w:tc>
      </w:tr>
      <w:tr>
        <w:trPr>
          <w:trHeight w:val="202"/>
        </w:trPr>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last installments repayble 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November 2030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4.65%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0D0D0D"/>
              </w:rPr>
              <w:t>20,239</w:t>
            </w: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18,051</w:t>
            </w:r>
          </w:p>
        </w:tc>
      </w:tr>
      <w:tr>
        <w:trPr>
          <w:trHeight w:val="190"/>
        </w:trPr>
        <w:tc>
          <w:tcPr>
            <w:tcW w:w="240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rPr>
              <w:t>Bank of China</w:t>
            </w:r>
          </w:p>
        </w:tc>
        <w:tc>
          <w:tcPr>
            <w:tcW w:w="25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0D0D0D"/>
              </w:rPr>
              <w:t>June 2021</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w w:val="90"/>
              </w:rPr>
              <w:t>Repayable by installments and the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0D0D0D"/>
              </w:rPr>
              <w:t>RMB10,000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0D0D0D"/>
              </w:rPr>
              <w:t>RMB9,500</w:t>
            </w:r>
          </w:p>
        </w:tc>
      </w:tr>
      <w:tr>
        <w:trPr>
          <w:trHeight w:val="202"/>
        </w:trPr>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w w:val="94"/>
              </w:rPr>
              <w:t>last installments repayble in June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0D0D0D"/>
              </w:rPr>
              <w:t>2024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2.60%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000" w:type="dxa"/>
            <w:vAlign w:val="bottom"/>
          </w:tcPr>
          <w:p>
            <w:pPr>
              <w:jc w:val="right"/>
              <w:spacing w:after="0"/>
              <w:rPr>
                <w:sz w:val="20"/>
                <w:szCs w:val="20"/>
                <w:color w:val="auto"/>
              </w:rPr>
            </w:pPr>
            <w:r>
              <w:rPr>
                <w:rFonts w:ascii="Arial" w:cs="Arial" w:eastAsia="Arial" w:hAnsi="Arial"/>
                <w:sz w:val="17"/>
                <w:szCs w:val="17"/>
                <w:color w:val="0D0D0D"/>
              </w:rPr>
              <w:t>1,575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1,497</w:t>
            </w:r>
          </w:p>
        </w:tc>
      </w:tr>
      <w:tr>
        <w:trPr>
          <w:trHeight w:val="190"/>
        </w:trPr>
        <w:tc>
          <w:tcPr>
            <w:tcW w:w="240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rPr>
              <w:t>Bank of China</w:t>
            </w:r>
          </w:p>
        </w:tc>
        <w:tc>
          <w:tcPr>
            <w:tcW w:w="25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0D0D0D"/>
              </w:rPr>
              <w:t>September, 2021</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0D0D0D"/>
                <w:w w:val="90"/>
              </w:rPr>
              <w:t>Repayable by installments and the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0D0D0D"/>
              </w:rPr>
              <w:t>RMB35,000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0D0D0D"/>
              </w:rPr>
              <w:t>RMB33,250</w:t>
            </w:r>
          </w:p>
        </w:tc>
      </w:tr>
      <w:tr>
        <w:trPr>
          <w:trHeight w:val="202"/>
        </w:trPr>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last installments repayble 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0D0D0D"/>
              </w:rPr>
              <w:t>September 2021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D0D0D"/>
              </w:rPr>
              <w:t>2.60%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7"/>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color w:val="0D0D0D"/>
              </w:rPr>
              <w:t>$</w:t>
            </w:r>
          </w:p>
        </w:tc>
        <w:tc>
          <w:tcPr>
            <w:tcW w:w="1000" w:type="dxa"/>
            <w:vAlign w:val="bottom"/>
          </w:tcPr>
          <w:p>
            <w:pPr>
              <w:jc w:val="right"/>
              <w:spacing w:after="0"/>
              <w:rPr>
                <w:sz w:val="20"/>
                <w:szCs w:val="20"/>
                <w:color w:val="auto"/>
              </w:rPr>
            </w:pPr>
            <w:r>
              <w:rPr>
                <w:rFonts w:ascii="Arial" w:cs="Arial" w:eastAsia="Arial" w:hAnsi="Arial"/>
                <w:sz w:val="17"/>
                <w:szCs w:val="17"/>
                <w:color w:val="0D0D0D"/>
              </w:rPr>
              <w:t>5,512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0D0D0D"/>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0D0D0D"/>
              </w:rPr>
              <w:t>5,237</w:t>
            </w:r>
          </w:p>
        </w:tc>
      </w:tr>
      <w:tr>
        <w:trPr>
          <w:trHeight w:val="207"/>
        </w:trPr>
        <w:tc>
          <w:tcPr>
            <w:tcW w:w="2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76,151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533"/>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00" w:type="dxa"/>
            <w:vAlign w:val="bottom"/>
            <w:gridSpan w:val="2"/>
          </w:tcPr>
          <w:p>
            <w:pPr>
              <w:jc w:val="right"/>
              <w:ind w:right="1636"/>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
        </w:trPr>
        <w:tc>
          <w:tcPr>
            <w:tcW w:w="2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ind w:left="600" w:hanging="599"/>
        <w:spacing w:after="0" w:line="25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Converted from RMB to dollars as of March 31, 2022. All of the amounts owing under the line of credit with Bank of Shanghai Pudong Branch are guaranteed CleanChip Technologies LTD, a wholly owned subsidiary of ACM Shanghai. The loan from China Merchant’s bank is pledged by the property of Shengwei and guaranteed by ACM Shanghai.</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Government Research and Development Grants. </w:t>
      </w:r>
      <w:r>
        <w:rPr>
          <w:rFonts w:ascii="Arial" w:cs="Arial" w:eastAsia="Arial" w:hAnsi="Arial"/>
          <w:sz w:val="16"/>
          <w:szCs w:val="16"/>
          <w:color w:val="auto"/>
        </w:rPr>
        <w:t>As described under “—Key Components of Results of Operations—PRC Government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ACM Shanghai has received research and development grants from local and central PRC governmental authorities. ACM Shanghai received no cash payments related to such grants in the first three months of 2022, as compared to cash receipts of $0.6 million in the same period of 2021.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40" w:type="dxa"/>
            <w:vAlign w:val="bottom"/>
            <w:gridSpan w:val="2"/>
          </w:tcPr>
          <w:p>
            <w:pPr>
              <w:spacing w:after="0"/>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The following table sets forth selected working capital information: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0"/>
        </w:trPr>
        <w:tc>
          <w:tcPr>
            <w:tcW w:w="5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2"/>
              </w:rPr>
              <w:t>March 31, 2022</w:t>
            </w:r>
          </w:p>
        </w:tc>
        <w:tc>
          <w:tcPr>
            <w:tcW w:w="120" w:type="dxa"/>
            <w:vAlign w:val="bottom"/>
          </w:tcPr>
          <w:p>
            <w:pPr>
              <w:spacing w:after="0"/>
              <w:rPr>
                <w:sz w:val="24"/>
                <w:szCs w:val="24"/>
                <w:color w:val="auto"/>
              </w:rPr>
            </w:pPr>
          </w:p>
        </w:tc>
      </w:tr>
      <w:tr>
        <w:trPr>
          <w:trHeight w:val="202"/>
        </w:trPr>
        <w:tc>
          <w:tcPr>
            <w:tcW w:w="56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i w:val="1"/>
                <w:iCs w:val="1"/>
                <w:color w:val="auto"/>
                <w:w w:val="87"/>
              </w:rPr>
              <w:t>(in thousands)</w:t>
            </w:r>
          </w:p>
        </w:tc>
        <w:tc>
          <w:tcPr>
            <w:tcW w:w="12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380,311</w:t>
            </w:r>
          </w:p>
        </w:tc>
        <w:tc>
          <w:tcPr>
            <w:tcW w:w="120" w:type="dxa"/>
            <w:vAlign w:val="bottom"/>
            <w:shd w:val="clear" w:color="auto" w:fill="CCEEFF"/>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106,351</w:t>
            </w:r>
          </w:p>
        </w:tc>
        <w:tc>
          <w:tcPr>
            <w:tcW w:w="120" w:type="dxa"/>
            <w:vAlign w:val="bottom"/>
          </w:tcPr>
          <w:p>
            <w:pPr>
              <w:spacing w:after="0"/>
              <w:rPr>
                <w:sz w:val="17"/>
                <w:szCs w:val="17"/>
                <w:color w:val="auto"/>
              </w:rPr>
            </w:pPr>
          </w:p>
        </w:tc>
      </w:tr>
      <w:tr>
        <w:trPr>
          <w:trHeight w:val="207"/>
        </w:trPr>
        <w:tc>
          <w:tcPr>
            <w:tcW w:w="560" w:type="dxa"/>
            <w:vAlign w:val="bottom"/>
          </w:tcPr>
          <w:p>
            <w:pPr>
              <w:spacing w:after="0"/>
              <w:rPr>
                <w:sz w:val="18"/>
                <w:szCs w:val="18"/>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Inventory</w:t>
            </w: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271,538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7"/>
        </w:trPr>
        <w:tc>
          <w:tcPr>
            <w:tcW w:w="56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Working capital</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758,200</w:t>
            </w:r>
          </w:p>
        </w:tc>
        <w:tc>
          <w:tcPr>
            <w:tcW w:w="120" w:type="dxa"/>
            <w:vAlign w:val="bottom"/>
          </w:tcPr>
          <w:p>
            <w:pPr>
              <w:spacing w:after="0"/>
              <w:rPr>
                <w:sz w:val="18"/>
                <w:szCs w:val="18"/>
                <w:color w:val="auto"/>
              </w:rPr>
            </w:pPr>
          </w:p>
        </w:tc>
      </w:tr>
    </w:tbl>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cash and cash equivalents at March 31, 2022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Cash Flow from Operating Activities. </w:t>
      </w:r>
      <w:r>
        <w:rPr>
          <w:rFonts w:ascii="Arial" w:cs="Arial" w:eastAsia="Arial" w:hAnsi="Arial"/>
          <w:sz w:val="16"/>
          <w:szCs w:val="16"/>
          <w:color w:val="auto"/>
        </w:rPr>
        <w:t>Our operations used cash flow of $27.7 million in the first three months of 2022.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We incurred $3.6 million in capital expenditures during the three months ended March 31, 2022, versus $1.6 million capital expenditures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2021. Capital expenditures in the three months ended March 31, 2021 were incurred principally for the addition of production capacity and general maintenance and improvements to our global facilities.</w:t>
      </w:r>
    </w:p>
    <w:p>
      <w:pPr>
        <w:spacing w:after="0" w:line="17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Risks</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Our market risks and the ways we manage them are summarized in the section captioned “Part II, Item 7A. Quantitative and Qualitative Disclosures About Market Risk” in our Annual Report . There have been no material changes in the first three months of 2022 to our market risks or to our management of such risks.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09" w:lineRule="exact"/>
        <w:rPr>
          <w:sz w:val="20"/>
          <w:szCs w:val="20"/>
          <w:color w:val="auto"/>
        </w:rPr>
      </w:pPr>
    </w:p>
    <w:p>
      <w:pPr>
        <w:jc w:val="both"/>
        <w:spacing w:after="0" w:line="204" w:lineRule="exact"/>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March 31, 2022.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beginning in 2020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COVID</w:t>
      </w:r>
      <w:r>
        <w:rPr>
          <w:rFonts w:ascii="MS PGothic" w:cs="MS PGothic" w:eastAsia="MS PGothic" w:hAnsi="MS PGothic"/>
          <w:sz w:val="16"/>
          <w:szCs w:val="16"/>
          <w:color w:val="auto"/>
        </w:rPr>
        <w:t>‑</w:t>
      </w:r>
      <w:r>
        <w:rPr>
          <w:rFonts w:ascii="Arial" w:cs="Arial" w:eastAsia="Arial" w:hAnsi="Arial"/>
          <w:sz w:val="16"/>
          <w:szCs w:val="16"/>
          <w:color w:val="auto"/>
        </w:rPr>
        <w:t>19 increases.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March 31, 2022,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 and Remediation Efforts</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There were no changes in our internal control over financial reporting during the three months ended March 31, 2022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165" w:lineRule="exact"/>
        <w:rPr>
          <w:sz w:val="20"/>
          <w:szCs w:val="20"/>
          <w:color w:val="auto"/>
        </w:rPr>
      </w:pPr>
    </w:p>
    <w:p>
      <w:pPr>
        <w:jc w:val="both"/>
        <w:spacing w:after="0" w:line="208" w:lineRule="exact"/>
        <w:rPr>
          <w:sz w:val="20"/>
          <w:szCs w:val="20"/>
          <w:color w:val="auto"/>
        </w:rPr>
      </w:pPr>
      <w:r>
        <w:rPr>
          <w:rFonts w:ascii="Arial" w:cs="Arial" w:eastAsia="Arial" w:hAnsi="Arial"/>
          <w:sz w:val="14"/>
          <w:szCs w:val="14"/>
          <w:b w:val="1"/>
          <w:bCs w:val="1"/>
          <w:i w:val="1"/>
          <w:iCs w:val="1"/>
          <w:color w:val="auto"/>
        </w:rPr>
        <w:t>Substantially all of our operations, as well as significant operations of a number of our key customers, are located in areas of the PRC impacted by the COVID</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19 pandemic, and our operations have been, and may continue to be, adversely affected by the effects of PRC restrictions imposed as the result of COVID</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19.</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conduct substantially all of our product development, manufacturing, support and services in the PRC, and those activities have been directly impacted by COVID-19 and related restrictions on transportation and public appearances. In March 2022 several regions in China began to experience elevated levels of COVID-19 infections, and the PRC government instituted policies to restrict the spread of the virus. The policies began with an increase of “spot lockdowns,” under which a positive polymerase chain reaction, or PCR, or other tests would result in the quarantining of individual buildings, groups of buildings, or even full neighborhoods. The policies were later expanded to full-city lockdowns, including in the City of Shanghai, where substantially all of our operations are located. COVID-19 related restrictions in Shanghai began to limit employee access to, and logistics activities of, our offices and production facilities in the Pudong district of Shanghai during in the first quarter of 2022, and therefore limited our ability to ship finished products to customers and to produce new products. Spot lockdowns in mid-March 2022 began to impact a number of our employees and led to a closure of our administrative and R&amp;D offices in Zhangjiang in the Pudong district. A subsequent lockdown of the entire Pudong region of Shanghai was imposed in late March 2022 and impacted the operation of our Chuansha production facility.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Furthermore, a number of our key customers have substantial operations based in operations areas of the PRC, including in the City of Shanghai, subject to the full-city lockdown restrictions, which have been limiting the operations of those customers since the first quarter of 2022, including inhibiting their ability to receive, implement, operate and evaluate new tools for their manufacturing facilities. As a result, in some cases, we have been required to defer shipments of finished products to these customers because of operational and logistics limitations affecting our customers rather than, or in addition to, us.</w:t>
      </w:r>
    </w:p>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anticipate that the lockdowns and their effects will be temporary but may continue for several months, with a gradual return of PRC operations and global logistics as Shanghai and other areas in the PRC begin to reopen. We cannot assure that closures or reductions of PRC operations or production, whether of our company or of some of our key customers, will not be extended in upcoming months as the result of business interruptions arising from protective measures being taken by the PRC and other governmental agencies or of other consequences of COVID-19, which would continue to affect our operations adversely.</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We could be adversely affected if we are unable to comply with recent and proposed legislation and regulations regarding improved access to audit and other information and audit inspections of accounting firms, including registered public accounting firms, such as our audit firm since our initial public offering in 2017, operating in the PRC.</w:t>
      </w:r>
    </w:p>
    <w:p>
      <w:pPr>
        <w:spacing w:after="0" w:line="17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BDO China Shu Lun Pan Certified Public Accountants LLP, or BDO China, our independent registered public accounting firm in recent years, is not inspected by the Public Company Accounting Oversight Board, or PCAOB, as described in the preceding risk factor. We are one of 283 companies named in PCAOB’s list of “Public Companies that are Audit Clients of PCAOB-Registered Firms from Non-U.S. Jurisdictions where the PCAOB is Denied Access to Conduct Inspections.”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U.S. Holding Foreign Companies Accountable Act, or HFCA Act, which became law in December 2020, includes requirements for the SEC to identify issuers whose audit work is performed by auditors that the PCAOB is unable to inspect or investigate completely because of a restriction imposed by a non-U.S. authority in the auditor’s local jurisdiction. The HFCA Act also requires that, to the extent that the PCAOB has been unable to inspect an issuer’s auditor for three consecutive years since 2021, the SEC shall prohibit the issuer’s securities registered in the United States from being traded on any national securities exchange or over-the-counter market in the United States.</w:t>
      </w:r>
    </w:p>
    <w:p>
      <w:pPr>
        <w:spacing w:after="0" w:line="183" w:lineRule="exact"/>
        <w:rPr>
          <w:sz w:val="20"/>
          <w:szCs w:val="20"/>
          <w:color w:val="auto"/>
        </w:rPr>
      </w:pPr>
    </w:p>
    <w:p>
      <w:pPr>
        <w:jc w:val="both"/>
        <w:ind w:left="640" w:hanging="298"/>
        <w:spacing w:after="0" w:line="262" w:lineRule="auto"/>
        <w:tabs>
          <w:tab w:leader="none" w:pos="640" w:val="left"/>
        </w:tabs>
        <w:numPr>
          <w:ilvl w:val="1"/>
          <w:numId w:val="22"/>
        </w:numPr>
        <w:rPr>
          <w:rFonts w:ascii="Arial" w:cs="Arial" w:eastAsia="Arial" w:hAnsi="Arial"/>
          <w:sz w:val="19"/>
          <w:szCs w:val="19"/>
          <w:color w:val="auto"/>
        </w:rPr>
      </w:pPr>
      <w:r>
        <w:rPr>
          <w:rFonts w:ascii="Arial" w:cs="Arial" w:eastAsia="Arial" w:hAnsi="Arial"/>
          <w:sz w:val="16"/>
          <w:szCs w:val="16"/>
          <w:color w:val="auto"/>
        </w:rPr>
        <w:t>On March 24, 2021, the SEC adopted interim final amendments to implement congressionally mandated submission and disclosure required of the HFCA Act, and on December 2, 2021, the SEC adopted final amendments to finalize rules implementing the submission and disclosures in the HFCA Act. These final amendments apply to registrants that the SEC identifies as having filed an Annual Report on Form 10-K (or certain other forms) with an audit report issued by a registered public accounting firm that is located in a foreign jurisdiction and that the PCAOB has determined it is unable to inspect or investigate completely because of a position taken by an authority in that jurisdiction.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73" w:lineRule="exact"/>
        <w:rPr>
          <w:rFonts w:ascii="Arial" w:cs="Arial" w:eastAsia="Arial" w:hAnsi="Arial"/>
          <w:sz w:val="19"/>
          <w:szCs w:val="19"/>
          <w:color w:val="auto"/>
        </w:rPr>
      </w:pPr>
    </w:p>
    <w:p>
      <w:pPr>
        <w:jc w:val="both"/>
        <w:ind w:left="600" w:hanging="296"/>
        <w:spacing w:after="0" w:line="244" w:lineRule="auto"/>
        <w:tabs>
          <w:tab w:leader="none" w:pos="6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Furthermore, on June 22, 2021, the U.S. Senate passed the Accelerating Holding Foreign Companies Accountable Act, which, if enacted, would amend the HFCA Act to require the SEC to prohibit an issuer’s securities from trading on any national securities exchange or over-the-counter market in the United States if the PCAOB has been unable to inspect an issuer’s auditor for two, rather than three, consecutive years.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87" w:lineRule="exact"/>
        <w:rPr>
          <w:rFonts w:ascii="Arial" w:cs="Arial" w:eastAsia="Arial" w:hAnsi="Arial"/>
          <w:sz w:val="20"/>
          <w:szCs w:val="20"/>
          <w:color w:val="auto"/>
        </w:rPr>
      </w:pPr>
    </w:p>
    <w:p>
      <w:pPr>
        <w:jc w:val="both"/>
        <w:ind w:left="600" w:hanging="296"/>
        <w:spacing w:after="0" w:line="259"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December 16, 2021, the PCAOB designated China and Hong Kong as jurisdictions where the PCAOB is not allowed to conduct full and complete audit inspections and has identified firms registered in such jurisdictions, including BDO China. Pursuant to each annual determination by the PCAOB, the SEC will, on an annual basis, identify issuers that have used non-inspected audit firms.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9" w:lineRule="exact"/>
        <w:rPr>
          <w:sz w:val="20"/>
          <w:szCs w:val="20"/>
          <w:color w:val="auto"/>
        </w:rPr>
      </w:pPr>
    </w:p>
    <w:p>
      <w:pPr>
        <w:jc w:val="both"/>
        <w:ind w:left="600" w:hanging="296"/>
        <w:spacing w:after="0" w:line="255"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March 8, 2022, the SEC published its first “Provisional list of issuers identified under the HFCAA.” Our company was identified on the SEC’s provisional list after we filed the Annual Report, which included an audit report issued by BDO China. According to current SEC guidelines, a trading prohibition on our Class A common stock could be invoked as early as 2024. On March 30, 2022, our company was transferred to the SEC’s “Conclusive list of issuers identified under the HFCA.”</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It remains unclear what further actions the SEC, the PCAOB or Nasdaq may take to address these issues and what impact those actions will have on U.S. companies, such as ours,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supply chain may be materially adversely impacted due to global events, including continuing COVID 19 outbreaks, transportation delays and the armed conflict in Ukraine.</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rely upon the facilities of our global suppliers with operations in the PRC, Japan, Taiwan and the United States to support our business. We source the substantial majority of our components from Asia, and as a result, our supply chain can be adversely affected by global events such as COVID-19 lockdowns (See “Substantially all of our operations are located in areas impacted by the COVID 19 pandemic, and those operations have been, and may continue to be, adversely affected by the effects of COVID 19” above), transportation delays and the armed conflict in Ukraine. As a result of these types of global events and resulting governmental and business reactions,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Supply chain constraints have intensified due to COVID-19 and may further intensify due to other global events, contributing to existing global shortages coupled with increased demand in the supply of semiconductors.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disruptions and governmental restrictions, as well as related general limitations on movement around the world,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spacing w:after="0" w:line="16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the three months ended March 31, 2022, we issued, pursuant to the exercise of stock options at a per share exercise price of $0.75 per share, an aggregate of 134,085 shares of 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145" w:lineRule="exact"/>
        <w:rPr>
          <w:sz w:val="20"/>
          <w:szCs w:val="20"/>
          <w:color w:val="auto"/>
        </w:rPr>
      </w:pPr>
    </w:p>
    <w:tbl>
      <w:tblPr>
        <w:tblLayout w:type="fixed"/>
        <w:tblInd w:w="2820" w:type="dxa"/>
        <w:tblCellMar>
          <w:top w:w="0" w:type="dxa"/>
          <w:left w:w="0" w:type="dxa"/>
          <w:bottom w:w="0" w:type="dxa"/>
          <w:right w:w="0" w:type="dxa"/>
        </w:tblCellMar>
      </w:tblPr>
      <w:tr>
        <w:trPr>
          <w:trHeight w:val="211"/>
        </w:trPr>
        <w:tc>
          <w:tcPr>
            <w:tcW w:w="34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Exercised Shares</w:t>
            </w:r>
          </w:p>
        </w:tc>
        <w:tc>
          <w:tcPr>
            <w:tcW w:w="120" w:type="dxa"/>
            <w:vAlign w:val="bottom"/>
          </w:tcPr>
          <w:p>
            <w:pPr>
              <w:spacing w:after="0"/>
              <w:rPr>
                <w:sz w:val="18"/>
                <w:szCs w:val="18"/>
                <w:color w:val="auto"/>
              </w:rPr>
            </w:pPr>
          </w:p>
        </w:tc>
      </w:tr>
      <w:tr>
        <w:trPr>
          <w:trHeight w:val="224"/>
        </w:trPr>
        <w:tc>
          <w:tcPr>
            <w:tcW w:w="3440" w:type="dxa"/>
            <w:vAlign w:val="bottom"/>
            <w:tcBorders>
              <w:bottom w:val="single" w:sz="8" w:color="auto"/>
            </w:tcBorders>
          </w:tcPr>
          <w:p>
            <w:pPr>
              <w:jc w:val="center"/>
              <w:ind w:left="636"/>
              <w:spacing w:after="0"/>
              <w:rPr>
                <w:sz w:val="20"/>
                <w:szCs w:val="20"/>
                <w:color w:val="auto"/>
              </w:rPr>
            </w:pPr>
            <w:r>
              <w:rPr>
                <w:rFonts w:ascii="Arial" w:cs="Arial" w:eastAsia="Arial" w:hAnsi="Arial"/>
                <w:sz w:val="17"/>
                <w:szCs w:val="17"/>
                <w:b w:val="1"/>
                <w:bCs w:val="1"/>
                <w:color w:val="auto"/>
                <w:w w:val="88"/>
              </w:rPr>
              <w:t>Sale Date</w:t>
            </w:r>
          </w:p>
        </w:tc>
        <w:tc>
          <w:tcPr>
            <w:tcW w:w="20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(Net)</w:t>
            </w:r>
          </w:p>
        </w:tc>
        <w:tc>
          <w:tcPr>
            <w:tcW w:w="120" w:type="dxa"/>
            <w:vAlign w:val="bottom"/>
          </w:tcPr>
          <w:p>
            <w:pPr>
              <w:spacing w:after="0"/>
              <w:rPr>
                <w:sz w:val="19"/>
                <w:szCs w:val="19"/>
                <w:color w:val="auto"/>
              </w:rPr>
            </w:pPr>
          </w:p>
        </w:tc>
      </w:tr>
      <w:tr>
        <w:trPr>
          <w:trHeight w:val="202"/>
        </w:trPr>
        <w:tc>
          <w:tcPr>
            <w:tcW w:w="3440" w:type="dxa"/>
            <w:vAlign w:val="bottom"/>
            <w:shd w:val="clear" w:color="auto" w:fill="CCEEFF"/>
          </w:tcPr>
          <w:p>
            <w:pPr>
              <w:jc w:val="center"/>
              <w:ind w:left="636"/>
              <w:spacing w:after="0"/>
              <w:rPr>
                <w:sz w:val="20"/>
                <w:szCs w:val="20"/>
                <w:color w:val="auto"/>
              </w:rPr>
            </w:pPr>
            <w:r>
              <w:rPr>
                <w:rFonts w:ascii="Arial" w:cs="Arial" w:eastAsia="Arial" w:hAnsi="Arial"/>
                <w:sz w:val="17"/>
                <w:szCs w:val="17"/>
                <w:color w:val="auto"/>
                <w:w w:val="88"/>
              </w:rPr>
              <w:t>January 3, 2022</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39,645</w:t>
            </w:r>
          </w:p>
        </w:tc>
        <w:tc>
          <w:tcPr>
            <w:tcW w:w="120" w:type="dxa"/>
            <w:vAlign w:val="bottom"/>
            <w:shd w:val="clear" w:color="auto" w:fill="CCEEFF"/>
          </w:tcPr>
          <w:p>
            <w:pPr>
              <w:spacing w:after="0"/>
              <w:rPr>
                <w:sz w:val="17"/>
                <w:szCs w:val="17"/>
                <w:color w:val="auto"/>
              </w:rPr>
            </w:pPr>
          </w:p>
        </w:tc>
      </w:tr>
      <w:tr>
        <w:trPr>
          <w:trHeight w:val="202"/>
        </w:trPr>
        <w:tc>
          <w:tcPr>
            <w:tcW w:w="3440" w:type="dxa"/>
            <w:vAlign w:val="bottom"/>
          </w:tcPr>
          <w:p>
            <w:pPr>
              <w:jc w:val="center"/>
              <w:ind w:left="636"/>
              <w:spacing w:after="0"/>
              <w:rPr>
                <w:sz w:val="20"/>
                <w:szCs w:val="20"/>
                <w:color w:val="auto"/>
              </w:rPr>
            </w:pPr>
            <w:r>
              <w:rPr>
                <w:rFonts w:ascii="Arial" w:cs="Arial" w:eastAsia="Arial" w:hAnsi="Arial"/>
                <w:sz w:val="17"/>
                <w:szCs w:val="17"/>
                <w:color w:val="auto"/>
                <w:w w:val="91"/>
              </w:rPr>
              <w:t>March 2, 2022</w:t>
            </w:r>
          </w:p>
        </w:tc>
        <w:tc>
          <w:tcPr>
            <w:tcW w:w="2060" w:type="dxa"/>
            <w:vAlign w:val="bottom"/>
          </w:tcPr>
          <w:p>
            <w:pPr>
              <w:jc w:val="right"/>
              <w:spacing w:after="0"/>
              <w:rPr>
                <w:sz w:val="20"/>
                <w:szCs w:val="20"/>
                <w:color w:val="auto"/>
              </w:rPr>
            </w:pPr>
            <w:r>
              <w:rPr>
                <w:rFonts w:ascii="Arial" w:cs="Arial" w:eastAsia="Arial" w:hAnsi="Arial"/>
                <w:sz w:val="17"/>
                <w:szCs w:val="17"/>
                <w:color w:val="auto"/>
              </w:rPr>
              <w:t>36,807</w:t>
            </w:r>
          </w:p>
        </w:tc>
        <w:tc>
          <w:tcPr>
            <w:tcW w:w="120" w:type="dxa"/>
            <w:vAlign w:val="bottom"/>
          </w:tcPr>
          <w:p>
            <w:pPr>
              <w:spacing w:after="0"/>
              <w:rPr>
                <w:sz w:val="17"/>
                <w:szCs w:val="17"/>
                <w:color w:val="auto"/>
              </w:rPr>
            </w:pPr>
          </w:p>
        </w:tc>
      </w:tr>
      <w:tr>
        <w:trPr>
          <w:trHeight w:val="202"/>
        </w:trPr>
        <w:tc>
          <w:tcPr>
            <w:tcW w:w="3440" w:type="dxa"/>
            <w:vAlign w:val="bottom"/>
            <w:shd w:val="clear" w:color="auto" w:fill="CCEEFF"/>
          </w:tcPr>
          <w:p>
            <w:pPr>
              <w:jc w:val="center"/>
              <w:ind w:left="636"/>
              <w:spacing w:after="0"/>
              <w:rPr>
                <w:sz w:val="20"/>
                <w:szCs w:val="20"/>
                <w:color w:val="auto"/>
              </w:rPr>
            </w:pPr>
            <w:r>
              <w:rPr>
                <w:rFonts w:ascii="Arial" w:cs="Arial" w:eastAsia="Arial" w:hAnsi="Arial"/>
                <w:sz w:val="17"/>
                <w:szCs w:val="17"/>
                <w:color w:val="auto"/>
                <w:w w:val="91"/>
              </w:rPr>
              <w:t>March 3, 2022</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39,633</w:t>
            </w:r>
          </w:p>
        </w:tc>
        <w:tc>
          <w:tcPr>
            <w:tcW w:w="120" w:type="dxa"/>
            <w:vAlign w:val="bottom"/>
            <w:shd w:val="clear" w:color="auto" w:fill="CCEEFF"/>
          </w:tcPr>
          <w:p>
            <w:pPr>
              <w:spacing w:after="0"/>
              <w:rPr>
                <w:sz w:val="17"/>
                <w:szCs w:val="17"/>
                <w:color w:val="auto"/>
              </w:rPr>
            </w:pPr>
          </w:p>
        </w:tc>
      </w:tr>
      <w:tr>
        <w:trPr>
          <w:trHeight w:val="207"/>
        </w:trPr>
        <w:tc>
          <w:tcPr>
            <w:tcW w:w="3440" w:type="dxa"/>
            <w:vAlign w:val="bottom"/>
            <w:tcBorders>
              <w:bottom w:val="single" w:sz="8" w:color="auto"/>
            </w:tcBorders>
          </w:tcPr>
          <w:p>
            <w:pPr>
              <w:jc w:val="center"/>
              <w:ind w:left="636"/>
              <w:spacing w:after="0"/>
              <w:rPr>
                <w:sz w:val="20"/>
                <w:szCs w:val="20"/>
                <w:color w:val="auto"/>
              </w:rPr>
            </w:pPr>
            <w:r>
              <w:rPr>
                <w:rFonts w:ascii="Arial" w:cs="Arial" w:eastAsia="Arial" w:hAnsi="Arial"/>
                <w:sz w:val="17"/>
                <w:szCs w:val="17"/>
                <w:color w:val="auto"/>
                <w:w w:val="91"/>
              </w:rPr>
              <w:t>March 14, 2021</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18,000</w:t>
            </w:r>
          </w:p>
        </w:tc>
        <w:tc>
          <w:tcPr>
            <w:tcW w:w="120" w:type="dxa"/>
            <w:vAlign w:val="bottom"/>
          </w:tcPr>
          <w:p>
            <w:pPr>
              <w:spacing w:after="0"/>
              <w:rPr>
                <w:sz w:val="18"/>
                <w:szCs w:val="18"/>
                <w:color w:val="auto"/>
              </w:rPr>
            </w:pPr>
          </w:p>
        </w:tc>
      </w:tr>
      <w:tr>
        <w:trPr>
          <w:trHeight w:val="207"/>
        </w:trPr>
        <w:tc>
          <w:tcPr>
            <w:tcW w:w="34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134,085</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report: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1140" w:type="dxa"/>
            <w:vAlign w:val="bottom"/>
            <w:gridSpan w:val="4"/>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8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920" w:type="dxa"/>
            <w:vAlign w:val="bottom"/>
            <w:tcBorders>
              <w:top w:val="single" w:sz="8" w:color="0000EE"/>
            </w:tcBorders>
            <w:gridSpan w:val="2"/>
          </w:tcPr>
          <w:p>
            <w:pPr>
              <w:jc w:val="center"/>
              <w:ind w:left="96"/>
              <w:spacing w:after="0"/>
              <w:rPr>
                <w:sz w:val="20"/>
                <w:szCs w:val="20"/>
                <w:color w:val="auto"/>
              </w:rPr>
            </w:pPr>
            <w:r>
              <w:rPr>
                <w:rFonts w:ascii="Arial" w:cs="Arial" w:eastAsia="Arial" w:hAnsi="Arial"/>
                <w:sz w:val="17"/>
                <w:szCs w:val="17"/>
                <w:b w:val="1"/>
                <w:bCs w:val="1"/>
                <w:color w:val="auto"/>
                <w:w w:val="95"/>
              </w:rPr>
              <w:t>Exhibit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b w:val="1"/>
                <w:bCs w:val="1"/>
                <w:color w:val="auto"/>
                <w:w w:val="94"/>
              </w:rPr>
              <w:t>No.</w:t>
            </w:r>
          </w:p>
        </w:tc>
        <w:tc>
          <w:tcPr>
            <w:tcW w:w="180" w:type="dxa"/>
            <w:vAlign w:val="bottom"/>
          </w:tcPr>
          <w:p>
            <w:pPr>
              <w:spacing w:after="0"/>
              <w:rPr>
                <w:sz w:val="19"/>
                <w:szCs w:val="19"/>
                <w:color w:val="auto"/>
              </w:rPr>
            </w:pPr>
          </w:p>
        </w:tc>
        <w:tc>
          <w:tcPr>
            <w:tcW w:w="9920" w:type="dxa"/>
            <w:vAlign w:val="bottom"/>
            <w:tcBorders>
              <w:bottom w:val="single" w:sz="8" w:color="auto"/>
            </w:tcBorders>
          </w:tcPr>
          <w:p>
            <w:pPr>
              <w:jc w:val="right"/>
              <w:ind w:right="4456"/>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gridSpan w:val="2"/>
            <w:shd w:val="clear" w:color="auto" w:fill="CCEEFF"/>
          </w:tcPr>
          <w:p>
            <w:pPr>
              <w:spacing w:after="0" w:line="164" w:lineRule="exact"/>
              <w:rPr>
                <w:rFonts w:ascii="Arial" w:cs="Arial" w:eastAsia="Arial" w:hAnsi="Arial"/>
                <w:sz w:val="17"/>
                <w:szCs w:val="17"/>
                <w:color w:val="0000EE"/>
              </w:rPr>
            </w:pPr>
            <w:hyperlink w:anchor="page46">
              <w:r>
                <w:rPr>
                  <w:rFonts w:ascii="Arial" w:cs="Arial" w:eastAsia="Arial" w:hAnsi="Arial"/>
                  <w:sz w:val="17"/>
                  <w:szCs w:val="17"/>
                  <w:color w:val="0000EE"/>
                </w:rPr>
                <w:t>31.</w:t>
              </w:r>
              <w:r>
                <w:rPr>
                  <w:rFonts w:ascii="Arial" w:cs="Arial" w:eastAsia="Arial" w:hAnsi="Arial"/>
                  <w:sz w:val="17"/>
                  <w:szCs w:val="17"/>
                  <w:u w:val="single" w:color="auto"/>
                  <w:color w:val="0000EE"/>
                </w:rPr>
                <w:t>01</w:t>
              </w:r>
            </w:hyperlink>
          </w:p>
        </w:tc>
        <w:tc>
          <w:tcPr>
            <w:tcW w:w="20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180"/>
              <w:spacing w:after="0" w:line="164" w:lineRule="exact"/>
              <w:rPr>
                <w:sz w:val="20"/>
                <w:szCs w:val="20"/>
                <w:color w:val="auto"/>
              </w:rPr>
            </w:pPr>
            <w:r>
              <w:rPr>
                <w:rFonts w:ascii="Arial" w:cs="Arial" w:eastAsia="Arial" w:hAnsi="Arial"/>
                <w:sz w:val="17"/>
                <w:szCs w:val="17"/>
                <w:color w:val="auto"/>
                <w:w w:val="93"/>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gridSpan w:val="2"/>
          </w:tcPr>
          <w:p>
            <w:pPr>
              <w:spacing w:after="0" w:line="164" w:lineRule="exact"/>
              <w:rPr>
                <w:rFonts w:ascii="Arial" w:cs="Arial" w:eastAsia="Arial" w:hAnsi="Arial"/>
                <w:sz w:val="17"/>
                <w:szCs w:val="17"/>
                <w:color w:val="0000EE"/>
              </w:rPr>
            </w:pPr>
            <w:hyperlink w:anchor="page47">
              <w:r>
                <w:rPr>
                  <w:rFonts w:ascii="Arial" w:cs="Arial" w:eastAsia="Arial" w:hAnsi="Arial"/>
                  <w:sz w:val="17"/>
                  <w:szCs w:val="17"/>
                  <w:color w:val="0000EE"/>
                </w:rPr>
                <w:t>31.</w:t>
              </w:r>
              <w:r>
                <w:rPr>
                  <w:rFonts w:ascii="Arial" w:cs="Arial" w:eastAsia="Arial" w:hAnsi="Arial"/>
                  <w:sz w:val="17"/>
                  <w:szCs w:val="17"/>
                  <w:u w:val="single" w:color="auto"/>
                  <w:color w:val="0000EE"/>
                </w:rPr>
                <w:t>02</w:t>
              </w:r>
            </w:hyperlink>
          </w:p>
        </w:tc>
        <w:tc>
          <w:tcPr>
            <w:tcW w:w="200" w:type="dxa"/>
            <w:vAlign w:val="bottom"/>
          </w:tcPr>
          <w:p>
            <w:pPr>
              <w:spacing w:after="0"/>
              <w:rPr>
                <w:sz w:val="14"/>
                <w:szCs w:val="14"/>
                <w:color w:val="auto"/>
              </w:rPr>
            </w:pPr>
          </w:p>
        </w:tc>
        <w:tc>
          <w:tcPr>
            <w:tcW w:w="10100" w:type="dxa"/>
            <w:vAlign w:val="bottom"/>
            <w:gridSpan w:val="2"/>
          </w:tcPr>
          <w:p>
            <w:pPr>
              <w:ind w:left="180"/>
              <w:spacing w:after="0" w:line="164" w:lineRule="exact"/>
              <w:rPr>
                <w:sz w:val="20"/>
                <w:szCs w:val="20"/>
                <w:color w:val="auto"/>
              </w:rPr>
            </w:pPr>
            <w:r>
              <w:rPr>
                <w:rFonts w:ascii="Arial" w:cs="Arial" w:eastAsia="Arial" w:hAnsi="Arial"/>
                <w:sz w:val="17"/>
                <w:szCs w:val="17"/>
                <w:color w:val="auto"/>
                <w:w w:val="93"/>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100" w:type="dxa"/>
            <w:vAlign w:val="bottom"/>
            <w:gridSpan w:val="2"/>
          </w:tcPr>
          <w:p>
            <w:pPr>
              <w:ind w:left="18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20" w:type="dxa"/>
            <w:vAlign w:val="bottom"/>
            <w:gridSpan w:val="2"/>
            <w:shd w:val="clear" w:color="auto" w:fill="CCEEFF"/>
          </w:tcPr>
          <w:p>
            <w:pPr>
              <w:spacing w:after="0" w:line="165" w:lineRule="exact"/>
              <w:rPr>
                <w:rFonts w:ascii="Arial" w:cs="Arial" w:eastAsia="Arial" w:hAnsi="Arial"/>
                <w:sz w:val="17"/>
                <w:szCs w:val="17"/>
                <w:color w:val="0000EE"/>
              </w:rPr>
            </w:pPr>
            <w:hyperlink w:anchor="page48">
              <w:r>
                <w:rPr>
                  <w:rFonts w:ascii="Arial" w:cs="Arial" w:eastAsia="Arial" w:hAnsi="Arial"/>
                  <w:sz w:val="17"/>
                  <w:szCs w:val="17"/>
                  <w:color w:val="0000EE"/>
                </w:rPr>
                <w:t>32.</w:t>
              </w:r>
              <w:r>
                <w:rPr>
                  <w:rFonts w:ascii="Arial" w:cs="Arial" w:eastAsia="Arial" w:hAnsi="Arial"/>
                  <w:sz w:val="17"/>
                  <w:szCs w:val="17"/>
                  <w:u w:val="single" w:color="auto"/>
                  <w:color w:val="0000EE"/>
                </w:rPr>
                <w:t>01</w:t>
              </w:r>
            </w:hyperlink>
          </w:p>
        </w:tc>
        <w:tc>
          <w:tcPr>
            <w:tcW w:w="20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180"/>
              <w:spacing w:after="0" w:line="165" w:lineRule="exact"/>
              <w:rPr>
                <w:sz w:val="20"/>
                <w:szCs w:val="20"/>
                <w:color w:val="auto"/>
              </w:rPr>
            </w:pPr>
            <w:r>
              <w:rPr>
                <w:rFonts w:ascii="Arial" w:cs="Arial" w:eastAsia="Arial" w:hAnsi="Arial"/>
                <w:sz w:val="17"/>
                <w:szCs w:val="17"/>
                <w:color w:val="auto"/>
                <w:w w:val="92"/>
              </w:rPr>
              <w:t>Certification of Principal Executive Officer and Principal Financial Officer Pursuant to 18 U.S.C. Section 1350, as Adopted Pursuant to Section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906 of the Sarbanes-Oxley Act of 2002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7"/>
                <w:szCs w:val="17"/>
                <w:color w:val="auto"/>
              </w:rPr>
              <w:t>101.INS</w:t>
            </w:r>
          </w:p>
        </w:tc>
        <w:tc>
          <w:tcPr>
            <w:tcW w:w="10100" w:type="dxa"/>
            <w:vAlign w:val="bottom"/>
            <w:gridSpan w:val="2"/>
          </w:tcPr>
          <w:p>
            <w:pPr>
              <w:ind w:left="180"/>
              <w:spacing w:after="0" w:line="189" w:lineRule="exact"/>
              <w:rPr>
                <w:sz w:val="20"/>
                <w:szCs w:val="20"/>
                <w:color w:val="auto"/>
              </w:rPr>
            </w:pPr>
            <w:r>
              <w:rPr>
                <w:rFonts w:ascii="Arial" w:cs="Arial" w:eastAsia="Arial" w:hAnsi="Arial"/>
                <w:sz w:val="17"/>
                <w:szCs w:val="17"/>
                <w:color w:val="auto"/>
                <w:w w:val="90"/>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101.SCH</w:t>
            </w:r>
          </w:p>
        </w:tc>
        <w:tc>
          <w:tcPr>
            <w:tcW w:w="10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7"/>
                <w:szCs w:val="17"/>
                <w:color w:val="auto"/>
              </w:rPr>
              <w:t>101.CAL</w:t>
            </w:r>
          </w:p>
        </w:tc>
        <w:tc>
          <w:tcPr>
            <w:tcW w:w="10100" w:type="dxa"/>
            <w:vAlign w:val="bottom"/>
            <w:gridSpan w:val="2"/>
          </w:tcPr>
          <w:p>
            <w:pPr>
              <w:ind w:left="180"/>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101.DEF</w:t>
            </w:r>
          </w:p>
        </w:tc>
        <w:tc>
          <w:tcPr>
            <w:tcW w:w="10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7"/>
                <w:szCs w:val="17"/>
                <w:color w:val="auto"/>
              </w:rPr>
              <w:t>101.LAB</w:t>
            </w:r>
          </w:p>
        </w:tc>
        <w:tc>
          <w:tcPr>
            <w:tcW w:w="10100" w:type="dxa"/>
            <w:vAlign w:val="bottom"/>
            <w:gridSpan w:val="2"/>
          </w:tcPr>
          <w:p>
            <w:pPr>
              <w:ind w:left="180"/>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101.PRE</w:t>
            </w:r>
          </w:p>
        </w:tc>
        <w:tc>
          <w:tcPr>
            <w:tcW w:w="10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
          </w:tcPr>
          <w:p>
            <w:pPr>
              <w:jc w:val="right"/>
              <w:ind w:right="5456"/>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20" w:type="dxa"/>
            <w:vAlign w:val="bottom"/>
          </w:tcPr>
          <w:p>
            <w:pPr>
              <w:spacing w:after="0"/>
              <w:rPr>
                <w:sz w:val="17"/>
                <w:szCs w:val="17"/>
                <w:color w:val="auto"/>
              </w:rPr>
            </w:pPr>
          </w:p>
        </w:tc>
        <w:tc>
          <w:tcPr>
            <w:tcW w:w="7820" w:type="dxa"/>
            <w:vAlign w:val="bottom"/>
            <w:gridSpan w:val="3"/>
          </w:tcPr>
          <w:p>
            <w:pPr>
              <w:ind w:left="2220"/>
              <w:spacing w:after="0"/>
              <w:rPr>
                <w:sz w:val="20"/>
                <w:szCs w:val="20"/>
                <w:color w:val="auto"/>
              </w:rPr>
            </w:pPr>
            <w:r>
              <w:rPr>
                <w:rFonts w:ascii="Arial" w:cs="Arial" w:eastAsia="Arial" w:hAnsi="Arial"/>
                <w:sz w:val="17"/>
                <w:szCs w:val="17"/>
                <w:color w:val="auto"/>
              </w:rPr>
              <w:t>ACM RESEARCH, INC.</w:t>
            </w:r>
          </w:p>
        </w:tc>
      </w:tr>
      <w:tr>
        <w:trPr>
          <w:trHeight w:val="220"/>
        </w:trPr>
        <w:tc>
          <w:tcPr>
            <w:tcW w:w="3420" w:type="dxa"/>
            <w:vAlign w:val="bottom"/>
          </w:tcPr>
          <w:p>
            <w:pPr>
              <w:spacing w:after="0"/>
              <w:rPr>
                <w:sz w:val="20"/>
                <w:szCs w:val="20"/>
                <w:color w:val="auto"/>
              </w:rPr>
            </w:pPr>
            <w:r>
              <w:rPr>
                <w:rFonts w:ascii="Arial" w:cs="Arial" w:eastAsia="Arial" w:hAnsi="Arial"/>
                <w:sz w:val="17"/>
                <w:szCs w:val="17"/>
                <w:color w:val="auto"/>
              </w:rPr>
              <w:t>Date: May 9, 2022</w:t>
            </w:r>
          </w:p>
        </w:tc>
        <w:tc>
          <w:tcPr>
            <w:tcW w:w="7820" w:type="dxa"/>
            <w:vAlign w:val="bottom"/>
            <w:gridSpan w:val="3"/>
          </w:tcPr>
          <w:p>
            <w:pPr>
              <w:ind w:left="2220"/>
              <w:spacing w:after="0"/>
              <w:rPr>
                <w:sz w:val="20"/>
                <w:szCs w:val="20"/>
                <w:color w:val="auto"/>
              </w:rPr>
            </w:pPr>
            <w:r>
              <w:rPr>
                <w:rFonts w:ascii="Arial" w:cs="Arial" w:eastAsia="Arial" w:hAnsi="Arial"/>
                <w:sz w:val="17"/>
                <w:szCs w:val="17"/>
                <w:color w:val="auto"/>
              </w:rPr>
              <w:t>By: /s/ Mark McKechnie</w:t>
            </w:r>
          </w:p>
        </w:tc>
      </w:tr>
      <w:tr>
        <w:trPr>
          <w:trHeight w:val="190"/>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92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Mark McKechnie</w:t>
            </w:r>
          </w:p>
        </w:tc>
        <w:tc>
          <w:tcPr>
            <w:tcW w:w="1340" w:type="dxa"/>
            <w:vAlign w:val="bottom"/>
          </w:tcPr>
          <w:p>
            <w:pPr>
              <w:spacing w:after="0"/>
              <w:rPr>
                <w:sz w:val="16"/>
                <w:szCs w:val="16"/>
                <w:color w:val="auto"/>
              </w:rPr>
            </w:pPr>
          </w:p>
        </w:tc>
      </w:tr>
      <w:tr>
        <w:trPr>
          <w:trHeight w:val="202"/>
        </w:trPr>
        <w:tc>
          <w:tcPr>
            <w:tcW w:w="3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Arial" w:cs="Arial" w:eastAsia="Arial" w:hAnsi="Arial"/>
                <w:sz w:val="17"/>
                <w:szCs w:val="17"/>
                <w:color w:val="auto"/>
              </w:rPr>
              <w:t>Chief Financial Officer, Executive Vice President and Treasurer</w:t>
            </w:r>
          </w:p>
        </w:tc>
      </w:tr>
      <w:tr>
        <w:trPr>
          <w:trHeight w:val="214"/>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r>
        <w:trPr>
          <w:trHeight w:val="559"/>
        </w:trPr>
        <w:tc>
          <w:tcPr>
            <w:tcW w:w="3420" w:type="dxa"/>
            <w:vAlign w:val="bottom"/>
          </w:tcPr>
          <w:p>
            <w:pPr>
              <w:spacing w:after="0"/>
              <w:rPr>
                <w:sz w:val="24"/>
                <w:szCs w:val="24"/>
                <w:color w:val="auto"/>
              </w:rPr>
            </w:pPr>
          </w:p>
        </w:tc>
        <w:tc>
          <w:tcPr>
            <w:tcW w:w="2560" w:type="dxa"/>
            <w:vAlign w:val="bottom"/>
          </w:tcPr>
          <w:p>
            <w:pPr>
              <w:jc w:val="right"/>
              <w:ind w:right="201"/>
              <w:spacing w:after="0"/>
              <w:rPr>
                <w:sz w:val="20"/>
                <w:szCs w:val="20"/>
                <w:color w:val="auto"/>
              </w:rPr>
            </w:pPr>
            <w:r>
              <w:rPr>
                <w:rFonts w:ascii="Arial" w:cs="Arial" w:eastAsia="Arial" w:hAnsi="Arial"/>
                <w:sz w:val="13"/>
                <w:szCs w:val="13"/>
                <w:color w:val="auto"/>
              </w:rPr>
              <w:t>45</w:t>
            </w: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9"/>
        </w:trPr>
        <w:tc>
          <w:tcPr>
            <w:tcW w:w="342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31.01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EXECUTIVE OFFICER</w:t>
      </w: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 David H. Wang, certify that:</w:t>
      </w:r>
    </w:p>
    <w:p>
      <w:pPr>
        <w:spacing w:after="0" w:line="225" w:lineRule="exact"/>
        <w:rPr>
          <w:sz w:val="20"/>
          <w:szCs w:val="20"/>
          <w:color w:val="auto"/>
        </w:rPr>
      </w:pPr>
    </w:p>
    <w:p>
      <w:pPr>
        <w:ind w:left="200" w:hanging="199"/>
        <w:spacing w:after="0"/>
        <w:tabs>
          <w:tab w:leader="none" w:pos="2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ACM Research, Inc.</w:t>
      </w:r>
    </w:p>
    <w:p>
      <w:pPr>
        <w:spacing w:after="0" w:line="224" w:lineRule="exact"/>
        <w:rPr>
          <w:rFonts w:ascii="Arial" w:cs="Arial" w:eastAsia="Arial" w:hAnsi="Arial"/>
          <w:sz w:val="20"/>
          <w:szCs w:val="20"/>
          <w:color w:val="auto"/>
        </w:rPr>
      </w:pPr>
    </w:p>
    <w:p>
      <w:pPr>
        <w:jc w:val="both"/>
        <w:ind w:firstLine="1"/>
        <w:spacing w:after="0" w:line="252" w:lineRule="auto"/>
        <w:tabs>
          <w:tab w:leader="none" w:pos="205"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Arial" w:cs="Arial" w:eastAsia="Arial" w:hAnsi="Arial"/>
          <w:sz w:val="20"/>
          <w:szCs w:val="20"/>
          <w:color w:val="auto"/>
        </w:rPr>
      </w:pPr>
    </w:p>
    <w:p>
      <w:pPr>
        <w:ind w:firstLine="1"/>
        <w:spacing w:after="0" w:line="323" w:lineRule="auto"/>
        <w:tabs>
          <w:tab w:leader="none" w:pos="2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8"/>
          <w:szCs w:val="18"/>
          <w:color w:val="auto"/>
        </w:rPr>
      </w:pPr>
    </w:p>
    <w:p>
      <w:pPr>
        <w:jc w:val="both"/>
        <w:ind w:firstLine="1"/>
        <w:spacing w:after="0" w:line="274" w:lineRule="auto"/>
        <w:tabs>
          <w:tab w:leader="none" w:pos="2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06" w:lineRule="exact"/>
        <w:rPr>
          <w:rFonts w:ascii="Arial" w:cs="Arial" w:eastAsia="Arial" w:hAnsi="Arial"/>
          <w:sz w:val="18"/>
          <w:szCs w:val="18"/>
          <w:color w:val="auto"/>
        </w:rPr>
      </w:pPr>
    </w:p>
    <w:p>
      <w:pPr>
        <w:jc w:val="both"/>
        <w:ind w:left="600" w:firstLine="8"/>
        <w:spacing w:after="0" w:line="271" w:lineRule="auto"/>
        <w:tabs>
          <w:tab w:leader="none" w:pos="885"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9"/>
          <w:szCs w:val="19"/>
          <w:color w:val="auto"/>
        </w:rPr>
      </w:pPr>
    </w:p>
    <w:p>
      <w:pPr>
        <w:jc w:val="both"/>
        <w:ind w:left="600" w:firstLine="8"/>
        <w:spacing w:after="0" w:line="252" w:lineRule="auto"/>
        <w:tabs>
          <w:tab w:leader="none" w:pos="898"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0"/>
          <w:szCs w:val="20"/>
          <w:color w:val="auto"/>
        </w:rPr>
      </w:pPr>
    </w:p>
    <w:p>
      <w:pPr>
        <w:jc w:val="both"/>
        <w:ind w:left="600" w:firstLine="8"/>
        <w:spacing w:after="0" w:line="252" w:lineRule="auto"/>
        <w:tabs>
          <w:tab w:leader="none" w:pos="892"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600" w:firstLine="8"/>
        <w:spacing w:after="0" w:line="252" w:lineRule="auto"/>
        <w:tabs>
          <w:tab w:leader="none" w:pos="934"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rFonts w:ascii="Arial" w:cs="Arial" w:eastAsia="Arial" w:hAnsi="Arial"/>
          <w:sz w:val="20"/>
          <w:szCs w:val="20"/>
          <w:color w:val="auto"/>
        </w:rPr>
      </w:pPr>
    </w:p>
    <w:p>
      <w:pPr>
        <w:jc w:val="both"/>
        <w:ind w:firstLine="1"/>
        <w:spacing w:after="0" w:line="252" w:lineRule="auto"/>
        <w:tabs>
          <w:tab w:leader="none" w:pos="227"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600" w:firstLine="8"/>
        <w:spacing w:after="0" w:line="323" w:lineRule="auto"/>
        <w:tabs>
          <w:tab w:leader="none" w:pos="8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8"/>
          <w:szCs w:val="18"/>
          <w:color w:val="auto"/>
        </w:rPr>
      </w:pPr>
    </w:p>
    <w:p>
      <w:pPr>
        <w:ind w:left="600" w:firstLine="8"/>
        <w:spacing w:after="0" w:line="266" w:lineRule="auto"/>
        <w:tabs>
          <w:tab w:leader="none" w:pos="889"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May 9, 2022</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David H. Wang</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 and President</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31.02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FINANCIAL OFFICER</w:t>
      </w:r>
    </w:p>
    <w:p>
      <w:pPr>
        <w:jc w:val="center"/>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I, Mark McKechnie, certify that:</w:t>
      </w:r>
    </w:p>
    <w:p>
      <w:pPr>
        <w:spacing w:after="0" w:line="225" w:lineRule="exact"/>
        <w:rPr>
          <w:sz w:val="20"/>
          <w:szCs w:val="20"/>
          <w:color w:val="auto"/>
        </w:rPr>
      </w:pPr>
    </w:p>
    <w:p>
      <w:pPr>
        <w:ind w:left="200" w:hanging="199"/>
        <w:spacing w:after="0"/>
        <w:tabs>
          <w:tab w:leader="none" w:pos="2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ACM Research, Inc.</w:t>
      </w:r>
    </w:p>
    <w:p>
      <w:pPr>
        <w:spacing w:after="0" w:line="224" w:lineRule="exact"/>
        <w:rPr>
          <w:rFonts w:ascii="Arial" w:cs="Arial" w:eastAsia="Arial" w:hAnsi="Arial"/>
          <w:sz w:val="20"/>
          <w:szCs w:val="20"/>
          <w:color w:val="auto"/>
        </w:rPr>
      </w:pPr>
    </w:p>
    <w:p>
      <w:pPr>
        <w:jc w:val="both"/>
        <w:ind w:firstLine="1"/>
        <w:spacing w:after="0" w:line="252" w:lineRule="auto"/>
        <w:tabs>
          <w:tab w:leader="none" w:pos="205"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Arial" w:cs="Arial" w:eastAsia="Arial" w:hAnsi="Arial"/>
          <w:sz w:val="20"/>
          <w:szCs w:val="20"/>
          <w:color w:val="auto"/>
        </w:rPr>
      </w:pPr>
    </w:p>
    <w:p>
      <w:pPr>
        <w:ind w:firstLine="1"/>
        <w:spacing w:after="0" w:line="323" w:lineRule="auto"/>
        <w:tabs>
          <w:tab w:leader="none" w:pos="2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8"/>
          <w:szCs w:val="18"/>
          <w:color w:val="auto"/>
        </w:rPr>
      </w:pPr>
    </w:p>
    <w:p>
      <w:pPr>
        <w:jc w:val="both"/>
        <w:ind w:firstLine="1"/>
        <w:spacing w:after="0" w:line="274" w:lineRule="auto"/>
        <w:tabs>
          <w:tab w:leader="none" w:pos="2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06" w:lineRule="exact"/>
        <w:rPr>
          <w:rFonts w:ascii="Arial" w:cs="Arial" w:eastAsia="Arial" w:hAnsi="Arial"/>
          <w:sz w:val="18"/>
          <w:szCs w:val="18"/>
          <w:color w:val="auto"/>
        </w:rPr>
      </w:pPr>
    </w:p>
    <w:p>
      <w:pPr>
        <w:jc w:val="both"/>
        <w:ind w:left="600" w:firstLine="8"/>
        <w:spacing w:after="0" w:line="271" w:lineRule="auto"/>
        <w:tabs>
          <w:tab w:leader="none" w:pos="885" w:val="left"/>
        </w:tabs>
        <w:numPr>
          <w:ilvl w:val="1"/>
          <w:numId w:val="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9"/>
          <w:szCs w:val="19"/>
          <w:color w:val="auto"/>
        </w:rPr>
      </w:pPr>
    </w:p>
    <w:p>
      <w:pPr>
        <w:jc w:val="both"/>
        <w:ind w:left="600" w:firstLine="8"/>
        <w:spacing w:after="0" w:line="252" w:lineRule="auto"/>
        <w:tabs>
          <w:tab w:leader="none" w:pos="898"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0"/>
          <w:szCs w:val="20"/>
          <w:color w:val="auto"/>
        </w:rPr>
      </w:pPr>
    </w:p>
    <w:p>
      <w:pPr>
        <w:jc w:val="both"/>
        <w:ind w:left="600" w:firstLine="8"/>
        <w:spacing w:after="0" w:line="252" w:lineRule="auto"/>
        <w:tabs>
          <w:tab w:leader="none" w:pos="892"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600" w:firstLine="8"/>
        <w:spacing w:after="0" w:line="252" w:lineRule="auto"/>
        <w:tabs>
          <w:tab w:leader="none" w:pos="934"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rFonts w:ascii="Arial" w:cs="Arial" w:eastAsia="Arial" w:hAnsi="Arial"/>
          <w:sz w:val="20"/>
          <w:szCs w:val="20"/>
          <w:color w:val="auto"/>
        </w:rPr>
      </w:pPr>
    </w:p>
    <w:p>
      <w:pPr>
        <w:jc w:val="both"/>
        <w:ind w:firstLine="1"/>
        <w:spacing w:after="0" w:line="252" w:lineRule="auto"/>
        <w:tabs>
          <w:tab w:leader="none" w:pos="22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20"/>
          <w:szCs w:val="20"/>
          <w:color w:val="auto"/>
        </w:rPr>
      </w:pPr>
    </w:p>
    <w:p>
      <w:pPr>
        <w:ind w:left="600" w:firstLine="8"/>
        <w:spacing w:after="0" w:line="323" w:lineRule="auto"/>
        <w:tabs>
          <w:tab w:leader="none" w:pos="8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8"/>
          <w:szCs w:val="18"/>
          <w:color w:val="auto"/>
        </w:rPr>
      </w:pPr>
    </w:p>
    <w:p>
      <w:pPr>
        <w:ind w:left="600" w:firstLine="8"/>
        <w:spacing w:after="0" w:line="266" w:lineRule="auto"/>
        <w:tabs>
          <w:tab w:leader="none" w:pos="889"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May 9, 2022</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Mark McKechnie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32.01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1350,</w:t>
      </w: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March 31, 2022,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52" w:lineRule="exact"/>
        <w:rPr>
          <w:sz w:val="20"/>
          <w:szCs w:val="20"/>
          <w:color w:val="auto"/>
        </w:rPr>
      </w:pPr>
    </w:p>
    <w:p>
      <w:pPr>
        <w:ind w:left="200" w:hanging="199"/>
        <w:spacing w:after="0"/>
        <w:tabs>
          <w:tab w:leader="none" w:pos="2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4" w:lineRule="exact"/>
        <w:rPr>
          <w:rFonts w:ascii="Arial" w:cs="Arial" w:eastAsia="Arial" w:hAnsi="Arial"/>
          <w:sz w:val="20"/>
          <w:szCs w:val="20"/>
          <w:color w:val="auto"/>
        </w:rPr>
      </w:pPr>
    </w:p>
    <w:p>
      <w:pPr>
        <w:ind w:firstLine="1"/>
        <w:spacing w:after="0" w:line="266" w:lineRule="auto"/>
        <w:tabs>
          <w:tab w:leader="none" w:pos="22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ACM Research, Inc. for the period presented therein.</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May 9, 2022</w:t>
      </w:r>
      <w:r>
        <w:rPr>
          <w:sz w:val="20"/>
          <w:szCs w:val="20"/>
          <w:color w:val="auto"/>
        </w:rPr>
        <w:tab/>
      </w: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David H. Wang</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 and President</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Executive Officer)</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 May 9, 2022</w:t>
      </w:r>
      <w:r>
        <w:rPr>
          <w:sz w:val="20"/>
          <w:szCs w:val="20"/>
          <w:color w:val="auto"/>
        </w:rPr>
        <w:tab/>
      </w:r>
      <w:r>
        <w:rPr>
          <w:rFonts w:ascii="Arial" w:cs="Arial" w:eastAsia="Arial" w:hAnsi="Arial"/>
          <w:sz w:val="15"/>
          <w:szCs w:val="15"/>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70605" cy="1587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Mark McKechnie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(Principal Financial Officer)</w:t>
      </w:r>
    </w:p>
    <w:p>
      <w:pPr>
        <w:spacing w:after="0" w:line="213"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331470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2022-05-09T17:14:35Z</dcterms:created>
  <dcterms:modified xsi:type="dcterms:W3CDTF">2022-05-09T17:14:35Z</dcterms:modified>
</cp:coreProperties>
</file>