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203200</wp:posOffset>
            </wp:positionH>
            <wp:positionV relativeFrom="page">
              <wp:posOffset>160020</wp:posOffset>
            </wp:positionV>
            <wp:extent cx="714311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115" cy="31750"/>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270510</wp:posOffset>
            </wp:positionV>
            <wp:extent cx="71431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115" cy="7620"/>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10-Q</w:t>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 One)</w:t>
      </w:r>
    </w:p>
    <w:p>
      <w:pPr>
        <w:ind w:left="440" w:right="2360" w:hanging="440"/>
        <w:spacing w:after="0" w:line="247" w:lineRule="auto"/>
        <w:tabs>
          <w:tab w:leader="none" w:pos="4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June 30, 2022</w:t>
      </w:r>
    </w:p>
    <w:p>
      <w:pPr>
        <w:jc w:val="center"/>
        <w:spacing w:after="0"/>
        <w:rPr>
          <w:sz w:val="20"/>
          <w:szCs w:val="20"/>
          <w:color w:val="auto"/>
        </w:rPr>
      </w:pPr>
      <w:r>
        <w:rPr>
          <w:rFonts w:ascii="Times New Roman" w:cs="Times New Roman" w:eastAsia="Times New Roman" w:hAnsi="Times New Roman"/>
          <w:sz w:val="17"/>
          <w:szCs w:val="17"/>
          <w:color w:val="auto"/>
        </w:rPr>
        <w:t>or</w:t>
      </w:r>
    </w:p>
    <w:p>
      <w:pPr>
        <w:ind w:left="440" w:right="2360" w:hanging="440"/>
        <w:spacing w:after="0" w:line="254" w:lineRule="auto"/>
        <w:tabs>
          <w:tab w:leader="none" w:pos="4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 to _____________</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001-38273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3334385</wp:posOffset>
            </wp:positionH>
            <wp:positionV relativeFrom="paragraph">
              <wp:posOffset>141605</wp:posOffset>
            </wp:positionV>
            <wp:extent cx="481965" cy="300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1965" cy="3003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ACM Research, Inc.</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pacing w:after="0" w:line="181" w:lineRule="exact"/>
        <w:rPr>
          <w:sz w:val="24"/>
          <w:szCs w:val="24"/>
          <w:color w:val="auto"/>
        </w:rPr>
      </w:pPr>
    </w:p>
    <w:tbl>
      <w:tblPr>
        <w:tblLayout w:type="fixed"/>
        <w:tblInd w:w="680" w:type="dxa"/>
        <w:tblCellMar>
          <w:top w:w="0" w:type="dxa"/>
          <w:left w:w="0" w:type="dxa"/>
          <w:bottom w:w="0" w:type="dxa"/>
          <w:right w:w="0" w:type="dxa"/>
        </w:tblCellMar>
      </w:tblPr>
      <w:tr>
        <w:trPr>
          <w:trHeight w:val="201"/>
        </w:trPr>
        <w:tc>
          <w:tcPr>
            <w:tcW w:w="5400" w:type="dxa"/>
            <w:vAlign w:val="bottom"/>
          </w:tcPr>
          <w:p>
            <w:pPr>
              <w:jc w:val="center"/>
              <w:ind w:right="1157"/>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3600" w:type="dxa"/>
            <w:vAlign w:val="bottom"/>
          </w:tcPr>
          <w:p>
            <w:pPr>
              <w:jc w:val="right"/>
              <w:ind w:right="697"/>
              <w:spacing w:after="0"/>
              <w:rPr>
                <w:sz w:val="20"/>
                <w:szCs w:val="20"/>
                <w:color w:val="auto"/>
              </w:rPr>
            </w:pPr>
            <w:r>
              <w:rPr>
                <w:rFonts w:ascii="Times New Roman" w:cs="Times New Roman" w:eastAsia="Times New Roman" w:hAnsi="Times New Roman"/>
                <w:sz w:val="17"/>
                <w:szCs w:val="17"/>
                <w:b w:val="1"/>
                <w:bCs w:val="1"/>
                <w:color w:val="auto"/>
              </w:rPr>
              <w:t>94-3290283</w:t>
            </w:r>
          </w:p>
        </w:tc>
      </w:tr>
      <w:tr>
        <w:trPr>
          <w:trHeight w:val="218"/>
        </w:trPr>
        <w:tc>
          <w:tcPr>
            <w:tcW w:w="5400" w:type="dxa"/>
            <w:vAlign w:val="bottom"/>
          </w:tcPr>
          <w:p>
            <w:pPr>
              <w:jc w:val="center"/>
              <w:ind w:right="1177"/>
              <w:spacing w:after="0"/>
              <w:rPr>
                <w:sz w:val="20"/>
                <w:szCs w:val="20"/>
                <w:color w:val="auto"/>
              </w:rPr>
            </w:pPr>
            <w:r>
              <w:rPr>
                <w:rFonts w:ascii="Times New Roman" w:cs="Times New Roman" w:eastAsia="Times New Roman" w:hAnsi="Times New Roman"/>
                <w:sz w:val="17"/>
                <w:szCs w:val="17"/>
                <w:i w:val="1"/>
                <w:iCs w:val="1"/>
                <w:color w:val="auto"/>
                <w:w w:val="97"/>
              </w:rPr>
              <w:t>(State or Other Jurisdiction of Incorporation or Organization)</w:t>
            </w:r>
          </w:p>
        </w:tc>
        <w:tc>
          <w:tcPr>
            <w:tcW w:w="3600" w:type="dxa"/>
            <w:vAlign w:val="bottom"/>
          </w:tcPr>
          <w:p>
            <w:pPr>
              <w:jc w:val="center"/>
              <w:ind w:left="1157"/>
              <w:spacing w:after="0"/>
              <w:rPr>
                <w:sz w:val="20"/>
                <w:szCs w:val="20"/>
                <w:color w:val="auto"/>
              </w:rPr>
            </w:pPr>
            <w:r>
              <w:rPr>
                <w:rFonts w:ascii="Times New Roman" w:cs="Times New Roman" w:eastAsia="Times New Roman" w:hAnsi="Times New Roman"/>
                <w:sz w:val="17"/>
                <w:szCs w:val="17"/>
                <w:i w:val="1"/>
                <w:iCs w:val="1"/>
                <w:color w:val="auto"/>
                <w:w w:val="97"/>
              </w:rPr>
              <w:t>(I.R.S. Employer Identification No.)</w:t>
            </w:r>
          </w:p>
        </w:tc>
      </w:tr>
      <w:tr>
        <w:trPr>
          <w:trHeight w:val="377"/>
        </w:trPr>
        <w:tc>
          <w:tcPr>
            <w:tcW w:w="5400" w:type="dxa"/>
            <w:vAlign w:val="bottom"/>
          </w:tcPr>
          <w:p>
            <w:pPr>
              <w:jc w:val="center"/>
              <w:ind w:right="1157"/>
              <w:spacing w:after="0"/>
              <w:rPr>
                <w:sz w:val="20"/>
                <w:szCs w:val="20"/>
                <w:color w:val="auto"/>
              </w:rPr>
            </w:pPr>
            <w:r>
              <w:rPr>
                <w:rFonts w:ascii="Times New Roman" w:cs="Times New Roman" w:eastAsia="Times New Roman" w:hAnsi="Times New Roman"/>
                <w:sz w:val="17"/>
                <w:szCs w:val="17"/>
                <w:b w:val="1"/>
                <w:bCs w:val="1"/>
                <w:color w:val="auto"/>
                <w:w w:val="97"/>
              </w:rPr>
              <w:t>42307 Osgood Road, Suite I</w:t>
            </w:r>
          </w:p>
        </w:tc>
        <w:tc>
          <w:tcPr>
            <w:tcW w:w="3600" w:type="dxa"/>
            <w:vAlign w:val="bottom"/>
          </w:tcPr>
          <w:p>
            <w:pPr>
              <w:spacing w:after="0"/>
              <w:rPr>
                <w:sz w:val="24"/>
                <w:szCs w:val="24"/>
                <w:color w:val="auto"/>
              </w:rPr>
            </w:pPr>
          </w:p>
        </w:tc>
      </w:tr>
      <w:tr>
        <w:trPr>
          <w:trHeight w:val="201"/>
        </w:trPr>
        <w:tc>
          <w:tcPr>
            <w:tcW w:w="5400" w:type="dxa"/>
            <w:vAlign w:val="bottom"/>
          </w:tcPr>
          <w:p>
            <w:pPr>
              <w:jc w:val="center"/>
              <w:ind w:right="1177"/>
              <w:spacing w:after="0"/>
              <w:rPr>
                <w:sz w:val="20"/>
                <w:szCs w:val="20"/>
                <w:color w:val="auto"/>
              </w:rPr>
            </w:pPr>
            <w:r>
              <w:rPr>
                <w:rFonts w:ascii="Times New Roman" w:cs="Times New Roman" w:eastAsia="Times New Roman" w:hAnsi="Times New Roman"/>
                <w:sz w:val="17"/>
                <w:szCs w:val="17"/>
                <w:b w:val="1"/>
                <w:bCs w:val="1"/>
                <w:color w:val="auto"/>
                <w:w w:val="96"/>
              </w:rPr>
              <w:t>Fremont, California</w:t>
            </w:r>
          </w:p>
        </w:tc>
        <w:tc>
          <w:tcPr>
            <w:tcW w:w="3600" w:type="dxa"/>
            <w:vAlign w:val="bottom"/>
          </w:tcPr>
          <w:p>
            <w:pPr>
              <w:jc w:val="right"/>
              <w:ind w:right="897"/>
              <w:spacing w:after="0"/>
              <w:rPr>
                <w:sz w:val="20"/>
                <w:szCs w:val="20"/>
                <w:color w:val="auto"/>
              </w:rPr>
            </w:pPr>
            <w:r>
              <w:rPr>
                <w:rFonts w:ascii="Times New Roman" w:cs="Times New Roman" w:eastAsia="Times New Roman" w:hAnsi="Times New Roman"/>
                <w:sz w:val="17"/>
                <w:szCs w:val="17"/>
                <w:b w:val="1"/>
                <w:bCs w:val="1"/>
                <w:color w:val="auto"/>
              </w:rPr>
              <w:t>94539</w:t>
            </w:r>
          </w:p>
        </w:tc>
      </w:tr>
      <w:tr>
        <w:trPr>
          <w:trHeight w:val="218"/>
        </w:trPr>
        <w:tc>
          <w:tcPr>
            <w:tcW w:w="5400" w:type="dxa"/>
            <w:vAlign w:val="bottom"/>
          </w:tcPr>
          <w:p>
            <w:pPr>
              <w:jc w:val="center"/>
              <w:ind w:right="1157"/>
              <w:spacing w:after="0"/>
              <w:rPr>
                <w:sz w:val="20"/>
                <w:szCs w:val="20"/>
                <w:color w:val="auto"/>
              </w:rPr>
            </w:pPr>
            <w:r>
              <w:rPr>
                <w:rFonts w:ascii="Times New Roman" w:cs="Times New Roman" w:eastAsia="Times New Roman" w:hAnsi="Times New Roman"/>
                <w:sz w:val="17"/>
                <w:szCs w:val="17"/>
                <w:i w:val="1"/>
                <w:iCs w:val="1"/>
                <w:color w:val="auto"/>
                <w:w w:val="97"/>
              </w:rPr>
              <w:t>(Address of Principal Executive Offices)</w:t>
            </w:r>
          </w:p>
        </w:tc>
        <w:tc>
          <w:tcPr>
            <w:tcW w:w="3600" w:type="dxa"/>
            <w:vAlign w:val="bottom"/>
          </w:tcPr>
          <w:p>
            <w:pPr>
              <w:jc w:val="center"/>
              <w:ind w:left="1157"/>
              <w:spacing w:after="0"/>
              <w:rPr>
                <w:sz w:val="20"/>
                <w:szCs w:val="20"/>
                <w:color w:val="auto"/>
              </w:rPr>
            </w:pPr>
            <w:r>
              <w:rPr>
                <w:rFonts w:ascii="Times New Roman" w:cs="Times New Roman" w:eastAsia="Times New Roman" w:hAnsi="Times New Roman"/>
                <w:sz w:val="17"/>
                <w:szCs w:val="17"/>
                <w:i w:val="1"/>
                <w:iCs w:val="1"/>
                <w:color w:val="auto"/>
                <w:w w:val="97"/>
              </w:rPr>
              <w:t>(Zip Code)</w:t>
            </w:r>
          </w:p>
        </w:tc>
      </w:tr>
    </w:tbl>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xml:space="preserve">Registrant’s telephone number, including area code: </w:t>
      </w:r>
      <w:r>
        <w:rPr>
          <w:rFonts w:ascii="Times New Roman" w:cs="Times New Roman" w:eastAsia="Times New Roman" w:hAnsi="Times New Roman"/>
          <w:sz w:val="17"/>
          <w:szCs w:val="17"/>
          <w:b w:val="1"/>
          <w:bCs w:val="1"/>
          <w:color w:val="auto"/>
        </w:rPr>
        <w:t>(510) 445-3700</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w w:val="97"/>
              </w:rPr>
              <w:t>Securities registered pursuant to Section 12(b) of the Act:</w:t>
            </w:r>
          </w:p>
        </w:tc>
        <w:tc>
          <w:tcPr>
            <w:tcW w:w="3660" w:type="dxa"/>
            <w:vAlign w:val="bottom"/>
          </w:tcPr>
          <w:p>
            <w:pPr>
              <w:spacing w:after="0"/>
              <w:rPr>
                <w:sz w:val="18"/>
                <w:szCs w:val="18"/>
                <w:color w:val="auto"/>
              </w:rPr>
            </w:pPr>
          </w:p>
        </w:tc>
      </w:tr>
      <w:tr>
        <w:trPr>
          <w:trHeight w:val="403"/>
        </w:trPr>
        <w:tc>
          <w:tcPr>
            <w:tcW w:w="35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6"/>
              </w:rPr>
              <w:t>Title of Each Class</w:t>
            </w:r>
          </w:p>
        </w:tc>
        <w:tc>
          <w:tcPr>
            <w:tcW w:w="4060" w:type="dxa"/>
            <w:vAlign w:val="bottom"/>
            <w:gridSpan w:val="3"/>
          </w:tcPr>
          <w:p>
            <w:pPr>
              <w:jc w:val="center"/>
              <w:ind w:right="660"/>
              <w:spacing w:after="0"/>
              <w:rPr>
                <w:sz w:val="20"/>
                <w:szCs w:val="20"/>
                <w:color w:val="auto"/>
              </w:rPr>
            </w:pPr>
            <w:r>
              <w:rPr>
                <w:rFonts w:ascii="Times New Roman" w:cs="Times New Roman" w:eastAsia="Times New Roman" w:hAnsi="Times New Roman"/>
                <w:sz w:val="17"/>
                <w:szCs w:val="17"/>
                <w:color w:val="auto"/>
                <w:w w:val="97"/>
              </w:rPr>
              <w:t>Trading Symbol</w:t>
            </w:r>
          </w:p>
        </w:tc>
        <w:tc>
          <w:tcPr>
            <w:tcW w:w="3660" w:type="dxa"/>
            <w:vAlign w:val="bottom"/>
          </w:tcPr>
          <w:p>
            <w:pPr>
              <w:jc w:val="center"/>
              <w:ind w:right="477"/>
              <w:spacing w:after="0"/>
              <w:rPr>
                <w:sz w:val="20"/>
                <w:szCs w:val="20"/>
                <w:color w:val="auto"/>
              </w:rPr>
            </w:pPr>
            <w:r>
              <w:rPr>
                <w:rFonts w:ascii="Times New Roman" w:cs="Times New Roman" w:eastAsia="Times New Roman" w:hAnsi="Times New Roman"/>
                <w:sz w:val="17"/>
                <w:szCs w:val="17"/>
                <w:color w:val="auto"/>
                <w:w w:val="97"/>
              </w:rPr>
              <w:t>Name of Each Exchange on which Registered</w:t>
            </w:r>
          </w:p>
        </w:tc>
      </w:tr>
      <w:tr>
        <w:trPr>
          <w:trHeight w:val="220"/>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Class A Common Stock, $0.0001 par value</w:t>
            </w: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ACMR</w:t>
            </w: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60" w:type="dxa"/>
            <w:vAlign w:val="bottom"/>
            <w:tcBorders>
              <w:top w:val="single" w:sz="8" w:color="auto"/>
            </w:tcBorders>
          </w:tcPr>
          <w:p>
            <w:pPr>
              <w:jc w:val="center"/>
              <w:ind w:right="477"/>
              <w:spacing w:after="0"/>
              <w:rPr>
                <w:sz w:val="20"/>
                <w:szCs w:val="20"/>
                <w:color w:val="auto"/>
              </w:rPr>
            </w:pPr>
            <w:r>
              <w:rPr>
                <w:rFonts w:ascii="Times New Roman" w:cs="Times New Roman" w:eastAsia="Times New Roman" w:hAnsi="Times New Roman"/>
                <w:sz w:val="17"/>
                <w:szCs w:val="17"/>
                <w:b w:val="1"/>
                <w:bCs w:val="1"/>
                <w:color w:val="auto"/>
                <w:w w:val="97"/>
              </w:rPr>
              <w:t>The NASDAQ Stock Market LLC</w:t>
            </w:r>
          </w:p>
        </w:tc>
      </w:tr>
    </w:tbl>
    <w:p>
      <w:pPr>
        <w:spacing w:after="0" w:line="162" w:lineRule="exact"/>
        <w:rPr>
          <w:sz w:val="24"/>
          <w:szCs w:val="24"/>
          <w:color w:val="auto"/>
        </w:rPr>
      </w:pPr>
    </w:p>
    <w:p>
      <w:pPr>
        <w:jc w:val="both"/>
        <w:spacing w:after="0" w:line="21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6"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6"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5" w:lineRule="exact"/>
        <w:rPr>
          <w:sz w:val="24"/>
          <w:szCs w:val="24"/>
          <w:color w:val="auto"/>
        </w:rPr>
      </w:pPr>
    </w:p>
    <w:tbl>
      <w:tblPr>
        <w:tblLayout w:type="fixed"/>
        <w:tblInd w:w="580" w:type="dxa"/>
        <w:tblCellMar>
          <w:top w:w="0" w:type="dxa"/>
          <w:left w:w="0" w:type="dxa"/>
          <w:bottom w:w="0" w:type="dxa"/>
          <w:right w:w="0" w:type="dxa"/>
        </w:tblCellMar>
      </w:tblPr>
      <w:tr>
        <w:trPr>
          <w:trHeight w:val="199"/>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w w:val="98"/>
              </w:rPr>
              <w:t>Large accelerated filer</w:t>
            </w:r>
          </w:p>
        </w:tc>
        <w:tc>
          <w:tcPr>
            <w:tcW w:w="3000" w:type="dxa"/>
            <w:vAlign w:val="bottom"/>
          </w:tcPr>
          <w:p>
            <w:pPr>
              <w:ind w:left="40"/>
              <w:spacing w:after="0" w:line="171" w:lineRule="exact"/>
              <w:rPr>
                <w:sz w:val="20"/>
                <w:szCs w:val="20"/>
                <w:color w:val="auto"/>
              </w:rPr>
            </w:pPr>
            <w:r>
              <w:rPr>
                <w:rFonts w:ascii="MS PGothic" w:cs="MS PGothic" w:eastAsia="MS PGothic" w:hAnsi="MS PGothic"/>
                <w:sz w:val="17"/>
                <w:szCs w:val="17"/>
                <w:color w:val="auto"/>
              </w:rPr>
              <w:t>☑</w:t>
            </w:r>
          </w:p>
        </w:tc>
        <w:tc>
          <w:tcPr>
            <w:tcW w:w="5060" w:type="dxa"/>
            <w:vAlign w:val="bottom"/>
          </w:tcPr>
          <w:p>
            <w:pPr>
              <w:ind w:left="2780"/>
              <w:spacing w:after="0"/>
              <w:rPr>
                <w:sz w:val="20"/>
                <w:szCs w:val="20"/>
                <w:color w:val="auto"/>
              </w:rPr>
            </w:pPr>
            <w:r>
              <w:rPr>
                <w:rFonts w:ascii="Times New Roman" w:cs="Times New Roman" w:eastAsia="Times New Roman" w:hAnsi="Times New Roman"/>
                <w:sz w:val="17"/>
                <w:szCs w:val="17"/>
                <w:color w:val="auto"/>
              </w:rPr>
              <w:t>Accelerated filer</w:t>
            </w:r>
          </w:p>
        </w:tc>
        <w:tc>
          <w:tcPr>
            <w:tcW w:w="60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199"/>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000" w:type="dxa"/>
            <w:vAlign w:val="bottom"/>
          </w:tcPr>
          <w:p>
            <w:pPr>
              <w:ind w:left="40"/>
              <w:spacing w:after="0" w:line="171" w:lineRule="exact"/>
              <w:rPr>
                <w:sz w:val="20"/>
                <w:szCs w:val="20"/>
                <w:color w:val="auto"/>
              </w:rPr>
            </w:pPr>
            <w:r>
              <w:rPr>
                <w:rFonts w:ascii="MS PGothic" w:cs="MS PGothic" w:eastAsia="MS PGothic" w:hAnsi="MS PGothic"/>
                <w:sz w:val="17"/>
                <w:szCs w:val="17"/>
                <w:color w:val="auto"/>
              </w:rPr>
              <w:t>☐</w:t>
            </w:r>
          </w:p>
        </w:tc>
        <w:tc>
          <w:tcPr>
            <w:tcW w:w="5060" w:type="dxa"/>
            <w:vAlign w:val="bottom"/>
          </w:tcPr>
          <w:p>
            <w:pPr>
              <w:ind w:left="27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60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0"/>
        </w:trPr>
        <w:tc>
          <w:tcPr>
            <w:tcW w:w="152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5060" w:type="dxa"/>
            <w:vAlign w:val="bottom"/>
          </w:tcPr>
          <w:p>
            <w:pPr>
              <w:ind w:left="2780"/>
              <w:spacing w:after="0"/>
              <w:rPr>
                <w:sz w:val="20"/>
                <w:szCs w:val="20"/>
                <w:color w:val="auto"/>
              </w:rPr>
            </w:pPr>
            <w:r>
              <w:rPr>
                <w:rFonts w:ascii="Times New Roman" w:cs="Times New Roman" w:eastAsia="Times New Roman" w:hAnsi="Times New Roman"/>
                <w:sz w:val="17"/>
                <w:szCs w:val="17"/>
                <w:color w:val="auto"/>
              </w:rPr>
              <w:t>Emerging growth company</w:t>
            </w:r>
          </w:p>
        </w:tc>
        <w:tc>
          <w:tcPr>
            <w:tcW w:w="60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64" w:lineRule="exact"/>
        <w:rPr>
          <w:sz w:val="24"/>
          <w:szCs w:val="24"/>
          <w:color w:val="auto"/>
        </w:rPr>
      </w:pPr>
    </w:p>
    <w:p>
      <w:pPr>
        <w:spacing w:after="0" w:line="21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3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registrant’s classes of common stock, as of the latest practicable date.</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2620" w:type="dxa"/>
            <w:vAlign w:val="bottom"/>
          </w:tcPr>
          <w:p>
            <w:pPr>
              <w:spacing w:after="0"/>
              <w:rPr>
                <w:sz w:val="17"/>
                <w:szCs w:val="17"/>
                <w:color w:val="auto"/>
              </w:rPr>
            </w:pPr>
          </w:p>
        </w:tc>
        <w:tc>
          <w:tcPr>
            <w:tcW w:w="2860" w:type="dxa"/>
            <w:vAlign w:val="bottom"/>
            <w:gridSpan w:val="2"/>
          </w:tcPr>
          <w:p>
            <w:pPr>
              <w:jc w:val="center"/>
              <w:ind w:right="2480"/>
              <w:spacing w:after="0"/>
              <w:rPr>
                <w:sz w:val="20"/>
                <w:szCs w:val="20"/>
                <w:color w:val="auto"/>
              </w:rPr>
            </w:pPr>
            <w:r>
              <w:rPr>
                <w:rFonts w:ascii="Times New Roman" w:cs="Times New Roman" w:eastAsia="Times New Roman" w:hAnsi="Times New Roman"/>
                <w:sz w:val="17"/>
                <w:szCs w:val="17"/>
                <w:b w:val="1"/>
                <w:bCs w:val="1"/>
                <w:color w:val="auto"/>
                <w:w w:val="97"/>
              </w:rPr>
              <w:t>Class</w:t>
            </w:r>
          </w:p>
        </w:tc>
        <w:tc>
          <w:tcPr>
            <w:tcW w:w="1840" w:type="dxa"/>
            <w:vAlign w:val="bottom"/>
          </w:tcPr>
          <w:p>
            <w:pPr>
              <w:spacing w:after="0"/>
              <w:rPr>
                <w:sz w:val="17"/>
                <w:szCs w:val="17"/>
                <w:color w:val="auto"/>
              </w:rPr>
            </w:pPr>
          </w:p>
        </w:tc>
        <w:tc>
          <w:tcPr>
            <w:tcW w:w="3920" w:type="dxa"/>
            <w:vAlign w:val="bottom"/>
            <w:gridSpan w:val="2"/>
          </w:tcPr>
          <w:p>
            <w:pPr>
              <w:jc w:val="center"/>
              <w:ind w:right="1700"/>
              <w:spacing w:after="0"/>
              <w:rPr>
                <w:sz w:val="20"/>
                <w:szCs w:val="20"/>
                <w:color w:val="auto"/>
              </w:rPr>
            </w:pPr>
            <w:r>
              <w:rPr>
                <w:rFonts w:ascii="Times New Roman" w:cs="Times New Roman" w:eastAsia="Times New Roman" w:hAnsi="Times New Roman"/>
                <w:sz w:val="17"/>
                <w:szCs w:val="17"/>
                <w:b w:val="1"/>
                <w:bCs w:val="1"/>
                <w:color w:val="auto"/>
                <w:w w:val="97"/>
              </w:rPr>
              <w:t>Number of Shares Outstanding</w:t>
            </w:r>
          </w:p>
        </w:tc>
      </w:tr>
      <w:tr>
        <w:trPr>
          <w:trHeight w:val="20"/>
        </w:trPr>
        <w:tc>
          <w:tcPr>
            <w:tcW w:w="2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00"/>
        </w:trPr>
        <w:tc>
          <w:tcPr>
            <w:tcW w:w="5480" w:type="dxa"/>
            <w:vAlign w:val="bottom"/>
            <w:gridSpan w:val="3"/>
          </w:tcPr>
          <w:p>
            <w:pPr>
              <w:jc w:val="center"/>
              <w:ind w:left="57"/>
              <w:spacing w:after="0"/>
              <w:rPr>
                <w:sz w:val="20"/>
                <w:szCs w:val="20"/>
                <w:color w:val="auto"/>
              </w:rPr>
            </w:pPr>
            <w:r>
              <w:rPr>
                <w:rFonts w:ascii="Times New Roman" w:cs="Times New Roman" w:eastAsia="Times New Roman" w:hAnsi="Times New Roman"/>
                <w:sz w:val="17"/>
                <w:szCs w:val="17"/>
                <w:color w:val="auto"/>
                <w:w w:val="97"/>
              </w:rPr>
              <w:t>Class A Common Stock, $0.0001 par value</w:t>
            </w:r>
          </w:p>
        </w:tc>
        <w:tc>
          <w:tcPr>
            <w:tcW w:w="5760" w:type="dxa"/>
            <w:vAlign w:val="bottom"/>
            <w:gridSpan w:val="3"/>
          </w:tcPr>
          <w:p>
            <w:pPr>
              <w:jc w:val="center"/>
              <w:ind w:left="77"/>
              <w:spacing w:after="0"/>
              <w:rPr>
                <w:sz w:val="20"/>
                <w:szCs w:val="20"/>
                <w:color w:val="auto"/>
              </w:rPr>
            </w:pPr>
            <w:r>
              <w:rPr>
                <w:rFonts w:ascii="Times New Roman" w:cs="Times New Roman" w:eastAsia="Times New Roman" w:hAnsi="Times New Roman"/>
                <w:sz w:val="17"/>
                <w:szCs w:val="17"/>
                <w:color w:val="auto"/>
                <w:w w:val="97"/>
              </w:rPr>
              <w:t>54,181,212 shares outstanding as of August 3, 2022</w:t>
            </w:r>
          </w:p>
        </w:tc>
      </w:tr>
      <w:tr>
        <w:trPr>
          <w:trHeight w:val="216"/>
        </w:trPr>
        <w:tc>
          <w:tcPr>
            <w:tcW w:w="5480" w:type="dxa"/>
            <w:vAlign w:val="bottom"/>
            <w:gridSpan w:val="3"/>
          </w:tcPr>
          <w:p>
            <w:pPr>
              <w:jc w:val="center"/>
              <w:ind w:left="57"/>
              <w:spacing w:after="0"/>
              <w:rPr>
                <w:sz w:val="20"/>
                <w:szCs w:val="20"/>
                <w:color w:val="auto"/>
              </w:rPr>
            </w:pPr>
            <w:r>
              <w:rPr>
                <w:rFonts w:ascii="Times New Roman" w:cs="Times New Roman" w:eastAsia="Times New Roman" w:hAnsi="Times New Roman"/>
                <w:sz w:val="17"/>
                <w:szCs w:val="17"/>
                <w:color w:val="auto"/>
                <w:w w:val="97"/>
              </w:rPr>
              <w:t>Class B Common Stock, $0.0001 par value</w:t>
            </w:r>
          </w:p>
        </w:tc>
        <w:tc>
          <w:tcPr>
            <w:tcW w:w="5760" w:type="dxa"/>
            <w:vAlign w:val="bottom"/>
            <w:gridSpan w:val="3"/>
          </w:tcPr>
          <w:p>
            <w:pPr>
              <w:jc w:val="center"/>
              <w:ind w:left="77"/>
              <w:spacing w:after="0"/>
              <w:rPr>
                <w:sz w:val="20"/>
                <w:szCs w:val="20"/>
                <w:color w:val="auto"/>
              </w:rPr>
            </w:pPr>
            <w:r>
              <w:rPr>
                <w:rFonts w:ascii="Times New Roman" w:cs="Times New Roman" w:eastAsia="Times New Roman" w:hAnsi="Times New Roman"/>
                <w:sz w:val="17"/>
                <w:szCs w:val="17"/>
                <w:color w:val="auto"/>
                <w:w w:val="97"/>
              </w:rPr>
              <w:t>5,086,812 shares outstanding as of August 3, 2022</w:t>
            </w:r>
          </w:p>
        </w:tc>
      </w:tr>
      <w:tr>
        <w:trPr>
          <w:trHeight w:val="274"/>
        </w:trPr>
        <w:tc>
          <w:tcPr>
            <w:tcW w:w="26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spacing w:after="0"/>
              <w:rPr>
                <w:sz w:val="23"/>
                <w:szCs w:val="23"/>
                <w:color w:val="auto"/>
              </w:rPr>
            </w:pPr>
          </w:p>
        </w:tc>
        <w:tc>
          <w:tcPr>
            <w:tcW w:w="22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spacing w:after="0"/>
              <w:rPr>
                <w:sz w:val="23"/>
                <w:szCs w:val="23"/>
                <w:color w:val="auto"/>
              </w:rPr>
            </w:pPr>
          </w:p>
        </w:tc>
      </w:tr>
      <w:tr>
        <w:trPr>
          <w:trHeight w:val="147"/>
        </w:trPr>
        <w:tc>
          <w:tcPr>
            <w:tcW w:w="26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r>
      <w:tr>
        <w:trPr>
          <w:trHeight w:val="179"/>
        </w:trPr>
        <w:tc>
          <w:tcPr>
            <w:tcW w:w="26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537"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60" w:type="dxa"/>
            <w:vAlign w:val="bottom"/>
            <w:gridSpan w:val="9"/>
          </w:tcPr>
          <w:p>
            <w:pPr>
              <w:ind w:left="14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PART I.</w:t>
            </w:r>
          </w:p>
        </w:tc>
        <w:tc>
          <w:tcPr>
            <w:tcW w:w="9640" w:type="dxa"/>
            <w:vAlign w:val="bottom"/>
            <w:gridSpan w:val="16"/>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0000EE"/>
              </w:rPr>
              <w:t>FINANCIAL INFORMATION</w:t>
            </w:r>
          </w:p>
        </w:tc>
        <w:tc>
          <w:tcPr>
            <w:tcW w:w="4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7"/>
                <w:szCs w:val="17"/>
                <w:color w:val="auto"/>
              </w:rPr>
              <w:t>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7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0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gridSpan w:val="2"/>
          </w:tcPr>
          <w:p>
            <w:pPr>
              <w:ind w:left="260"/>
              <w:spacing w:after="0" w:line="162" w:lineRule="exact"/>
              <w:rPr>
                <w:sz w:val="20"/>
                <w:szCs w:val="20"/>
                <w:color w:val="auto"/>
              </w:rPr>
            </w:pPr>
            <w:r>
              <w:rPr>
                <w:rFonts w:ascii="Times New Roman" w:cs="Times New Roman" w:eastAsia="Times New Roman" w:hAnsi="Times New Roman"/>
                <w:sz w:val="17"/>
                <w:szCs w:val="17"/>
                <w:color w:val="auto"/>
              </w:rPr>
              <w:t>Item 1.</w:t>
            </w:r>
          </w:p>
        </w:tc>
        <w:tc>
          <w:tcPr>
            <w:tcW w:w="9640" w:type="dxa"/>
            <w:vAlign w:val="bottom"/>
            <w:gridSpan w:val="16"/>
          </w:tcPr>
          <w:p>
            <w:pPr>
              <w:spacing w:after="0" w:line="162" w:lineRule="exact"/>
              <w:rPr>
                <w:sz w:val="20"/>
                <w:szCs w:val="20"/>
                <w:color w:val="auto"/>
              </w:rPr>
            </w:pPr>
            <w:r>
              <w:rPr>
                <w:rFonts w:ascii="Times New Roman" w:cs="Times New Roman" w:eastAsia="Times New Roman" w:hAnsi="Times New Roman"/>
                <w:sz w:val="17"/>
                <w:szCs w:val="17"/>
                <w:color w:val="0000EE"/>
              </w:rPr>
              <w:t>Financial Statements (unaudited)</w:t>
            </w:r>
          </w:p>
        </w:tc>
        <w:tc>
          <w:tcPr>
            <w:tcW w:w="460" w:type="dxa"/>
            <w:vAlign w:val="bottom"/>
          </w:tcPr>
          <w:p>
            <w:pPr>
              <w:jc w:val="right"/>
              <w:spacing w:after="0" w:line="162" w:lineRule="exact"/>
              <w:rPr>
                <w:sz w:val="20"/>
                <w:szCs w:val="20"/>
                <w:color w:val="auto"/>
              </w:rPr>
            </w:pPr>
            <w:r>
              <w:rPr>
                <w:rFonts w:ascii="Times New Roman" w:cs="Times New Roman" w:eastAsia="Times New Roman" w:hAnsi="Times New Roman"/>
                <w:sz w:val="17"/>
                <w:szCs w:val="17"/>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40" w:type="dxa"/>
            <w:vAlign w:val="bottom"/>
            <w:gridSpan w:val="16"/>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Condensed Consolidated Balance Sheets as of June 30, 2022 and December 31, 2021</w:t>
            </w:r>
          </w:p>
        </w:tc>
        <w:tc>
          <w:tcPr>
            <w:tcW w:w="46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0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50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20" w:type="dxa"/>
            <w:vAlign w:val="bottom"/>
            <w:shd w:val="clear" w:color="auto" w:fill="0000EE"/>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340" w:type="dxa"/>
            <w:vAlign w:val="bottom"/>
            <w:tcBorders>
              <w:bottom w:val="single" w:sz="8" w:color="0000EE"/>
            </w:tcBorders>
            <w:gridSpan w:val="15"/>
          </w:tcPr>
          <w:p>
            <w:pPr>
              <w:spacing w:after="0" w:line="162" w:lineRule="exact"/>
              <w:rPr>
                <w:sz w:val="20"/>
                <w:szCs w:val="20"/>
                <w:color w:val="auto"/>
              </w:rPr>
            </w:pPr>
            <w:r>
              <w:rPr>
                <w:rFonts w:ascii="Times New Roman" w:cs="Times New Roman" w:eastAsia="Times New Roman" w:hAnsi="Times New Roman"/>
                <w:sz w:val="17"/>
                <w:szCs w:val="17"/>
                <w:color w:val="0000EE"/>
                <w:w w:val="99"/>
              </w:rPr>
              <w:t>Condensed Consolidated Statements of Operations and Comprehensive Income (Loss) for the Three and Six Months Ended June 30, 2022</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40" w:type="dxa"/>
            <w:vAlign w:val="bottom"/>
            <w:gridSpan w:val="16"/>
          </w:tcPr>
          <w:p>
            <w:pPr>
              <w:spacing w:after="0" w:line="179" w:lineRule="exact"/>
              <w:rPr>
                <w:sz w:val="20"/>
                <w:szCs w:val="20"/>
                <w:color w:val="auto"/>
              </w:rPr>
            </w:pPr>
            <w:r>
              <w:rPr>
                <w:rFonts w:ascii="Times New Roman" w:cs="Times New Roman" w:eastAsia="Times New Roman" w:hAnsi="Times New Roman"/>
                <w:sz w:val="17"/>
                <w:szCs w:val="17"/>
                <w:color w:val="0000EE"/>
              </w:rPr>
              <w:t>and 2021</w:t>
            </w:r>
          </w:p>
        </w:tc>
        <w:tc>
          <w:tcPr>
            <w:tcW w:w="480" w:type="dxa"/>
            <w:vAlign w:val="bottom"/>
            <w:gridSpan w:val="2"/>
          </w:tcPr>
          <w:p>
            <w:pPr>
              <w:jc w:val="right"/>
              <w:ind w:right="20"/>
              <w:spacing w:after="0" w:line="179" w:lineRule="exact"/>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40" w:type="dxa"/>
            <w:vAlign w:val="bottom"/>
            <w:gridSpan w:val="16"/>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Condensed Consolidated Statements of Changes in Equity for the Three and Six Months Ended June 30, 2022 and 2021</w:t>
            </w:r>
          </w:p>
        </w:tc>
        <w:tc>
          <w:tcPr>
            <w:tcW w:w="46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70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7940" w:type="dxa"/>
            <w:vAlign w:val="bottom"/>
            <w:tcBorders>
              <w:top w:val="single" w:sz="8" w:color="0000EE"/>
            </w:tcBorders>
            <w:gridSpan w:val="14"/>
          </w:tcPr>
          <w:p>
            <w:pPr>
              <w:spacing w:after="0" w:line="162" w:lineRule="exact"/>
              <w:rPr>
                <w:sz w:val="20"/>
                <w:szCs w:val="20"/>
                <w:color w:val="auto"/>
              </w:rPr>
            </w:pPr>
            <w:r>
              <w:rPr>
                <w:rFonts w:ascii="Times New Roman" w:cs="Times New Roman" w:eastAsia="Times New Roman" w:hAnsi="Times New Roman"/>
                <w:sz w:val="17"/>
                <w:szCs w:val="17"/>
                <w:color w:val="0000EE"/>
              </w:rPr>
              <w:t>Condensed Consolidated Statements of Cash Flows for the Three and Six Months Ended June 30, 2022 and 2021</w:t>
            </w:r>
          </w:p>
        </w:tc>
        <w:tc>
          <w:tcPr>
            <w:tcW w:w="1700" w:type="dxa"/>
            <w:vAlign w:val="bottom"/>
            <w:tcBorders>
              <w:top w:val="single" w:sz="8" w:color="CCEEFF"/>
            </w:tcBorders>
            <w:gridSpan w:val="2"/>
          </w:tcPr>
          <w:p>
            <w:pPr>
              <w:spacing w:after="0"/>
              <w:rPr>
                <w:sz w:val="14"/>
                <w:szCs w:val="14"/>
                <w:color w:val="auto"/>
              </w:rPr>
            </w:pPr>
          </w:p>
        </w:tc>
        <w:tc>
          <w:tcPr>
            <w:tcW w:w="460" w:type="dxa"/>
            <w:vAlign w:val="bottom"/>
            <w:tcBorders>
              <w:top w:val="single" w:sz="8" w:color="CCEEFF"/>
            </w:tcBorders>
          </w:tcPr>
          <w:p>
            <w:pPr>
              <w:jc w:val="right"/>
              <w:spacing w:after="0" w:line="162" w:lineRule="exact"/>
              <w:rPr>
                <w:sz w:val="20"/>
                <w:szCs w:val="20"/>
                <w:color w:val="auto"/>
              </w:rPr>
            </w:pPr>
            <w:r>
              <w:rPr>
                <w:rFonts w:ascii="Times New Roman" w:cs="Times New Roman" w:eastAsia="Times New Roman" w:hAnsi="Times New Roman"/>
                <w:sz w:val="17"/>
                <w:szCs w:val="17"/>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3680" w:type="dxa"/>
            <w:vAlign w:val="bottom"/>
            <w:tcBorders>
              <w:top w:val="single" w:sz="8" w:color="0000EE"/>
              <w:bottom w:val="single" w:sz="8" w:color="0000EE"/>
            </w:tcBorders>
            <w:gridSpan w:val="8"/>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w w:val="96"/>
              </w:rPr>
              <w:t>Notes to Condensed Consolidated Financial Statements</w:t>
            </w:r>
          </w:p>
        </w:tc>
        <w:tc>
          <w:tcPr>
            <w:tcW w:w="3820" w:type="dxa"/>
            <w:vAlign w:val="bottom"/>
            <w:tcBorders>
              <w:top w:val="single" w:sz="8" w:color="0000EE"/>
              <w:bottom w:val="single" w:sz="8" w:color="CCEEFF"/>
            </w:tcBorders>
            <w:gridSpan w:val="5"/>
            <w:shd w:val="clear" w:color="auto" w:fill="CCEEFF"/>
          </w:tcPr>
          <w:p>
            <w:pPr>
              <w:spacing w:after="0"/>
              <w:rPr>
                <w:sz w:val="16"/>
                <w:szCs w:val="16"/>
                <w:color w:val="auto"/>
              </w:rPr>
            </w:pPr>
          </w:p>
        </w:tc>
        <w:tc>
          <w:tcPr>
            <w:tcW w:w="2140" w:type="dxa"/>
            <w:vAlign w:val="bottom"/>
            <w:tcBorders>
              <w:bottom w:val="single" w:sz="8" w:color="CCEEFF"/>
            </w:tcBorders>
            <w:gridSpan w:val="3"/>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140" w:type="dxa"/>
            <w:vAlign w:val="bottom"/>
            <w:gridSpan w:val="2"/>
          </w:tcPr>
          <w:p>
            <w:pPr>
              <w:ind w:left="260"/>
              <w:spacing w:after="0" w:line="162" w:lineRule="exact"/>
              <w:rPr>
                <w:sz w:val="20"/>
                <w:szCs w:val="20"/>
                <w:color w:val="auto"/>
              </w:rPr>
            </w:pPr>
            <w:r>
              <w:rPr>
                <w:rFonts w:ascii="Times New Roman" w:cs="Times New Roman" w:eastAsia="Times New Roman" w:hAnsi="Times New Roman"/>
                <w:sz w:val="17"/>
                <w:szCs w:val="17"/>
                <w:color w:val="auto"/>
              </w:rPr>
              <w:t>Item 2.</w:t>
            </w:r>
          </w:p>
        </w:tc>
        <w:tc>
          <w:tcPr>
            <w:tcW w:w="9640" w:type="dxa"/>
            <w:vAlign w:val="bottom"/>
            <w:gridSpan w:val="16"/>
          </w:tcPr>
          <w:p>
            <w:pPr>
              <w:spacing w:after="0" w:line="162" w:lineRule="exact"/>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460" w:type="dxa"/>
            <w:vAlign w:val="bottom"/>
          </w:tcPr>
          <w:p>
            <w:pPr>
              <w:jc w:val="right"/>
              <w:spacing w:after="0" w:line="162" w:lineRule="exact"/>
              <w:rPr>
                <w:sz w:val="20"/>
                <w:szCs w:val="20"/>
                <w:color w:val="auto"/>
              </w:rPr>
            </w:pPr>
            <w:r>
              <w:rPr>
                <w:rFonts w:ascii="Times New Roman" w:cs="Times New Roman" w:eastAsia="Times New Roman" w:hAnsi="Times New Roman"/>
                <w:sz w:val="17"/>
                <w:szCs w:val="17"/>
                <w:color w:val="auto"/>
              </w:rPr>
              <w:t>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40" w:type="dxa"/>
            <w:vAlign w:val="bottom"/>
            <w:gridSpan w:val="2"/>
            <w:shd w:val="clear" w:color="auto" w:fill="CCEEFF"/>
          </w:tcPr>
          <w:p>
            <w:pPr>
              <w:ind w:left="260"/>
              <w:spacing w:after="0" w:line="171" w:lineRule="exact"/>
              <w:rPr>
                <w:sz w:val="20"/>
                <w:szCs w:val="20"/>
                <w:color w:val="auto"/>
              </w:rPr>
            </w:pPr>
            <w:r>
              <w:rPr>
                <w:rFonts w:ascii="Times New Roman" w:cs="Times New Roman" w:eastAsia="Times New Roman" w:hAnsi="Times New Roman"/>
                <w:sz w:val="17"/>
                <w:szCs w:val="17"/>
                <w:color w:val="auto"/>
              </w:rPr>
              <w:t>Item 3.</w:t>
            </w:r>
          </w:p>
        </w:tc>
        <w:tc>
          <w:tcPr>
            <w:tcW w:w="5940" w:type="dxa"/>
            <w:vAlign w:val="bottom"/>
            <w:tcBorders>
              <w:top w:val="single" w:sz="8" w:color="0000EE"/>
            </w:tcBorders>
            <w:gridSpan w:val="12"/>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Quantitative and Qualitative Disclosures about Market Risks</w:t>
            </w:r>
          </w:p>
        </w:tc>
        <w:tc>
          <w:tcPr>
            <w:tcW w:w="3700" w:type="dxa"/>
            <w:vAlign w:val="bottom"/>
            <w:gridSpan w:val="4"/>
            <w:shd w:val="clear" w:color="auto" w:fill="CCEEFF"/>
          </w:tcPr>
          <w:p>
            <w:pPr>
              <w:spacing w:after="0"/>
              <w:rPr>
                <w:sz w:val="16"/>
                <w:szCs w:val="16"/>
                <w:color w:val="auto"/>
              </w:rPr>
            </w:pPr>
          </w:p>
        </w:tc>
        <w:tc>
          <w:tcPr>
            <w:tcW w:w="4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40" w:type="dxa"/>
            <w:vAlign w:val="bottom"/>
            <w:tcBorders>
              <w:top w:val="single" w:sz="8" w:color="CCEEFF"/>
            </w:tcBorders>
            <w:gridSpan w:val="2"/>
          </w:tcPr>
          <w:p>
            <w:pPr>
              <w:ind w:left="260"/>
              <w:spacing w:after="0" w:line="162" w:lineRule="exact"/>
              <w:rPr>
                <w:sz w:val="20"/>
                <w:szCs w:val="20"/>
                <w:color w:val="auto"/>
              </w:rPr>
            </w:pPr>
            <w:r>
              <w:rPr>
                <w:rFonts w:ascii="Times New Roman" w:cs="Times New Roman" w:eastAsia="Times New Roman" w:hAnsi="Times New Roman"/>
                <w:sz w:val="17"/>
                <w:szCs w:val="17"/>
                <w:color w:val="auto"/>
              </w:rPr>
              <w:t>Item 4.</w:t>
            </w:r>
          </w:p>
        </w:tc>
        <w:tc>
          <w:tcPr>
            <w:tcW w:w="4020" w:type="dxa"/>
            <w:vAlign w:val="bottom"/>
            <w:tcBorders>
              <w:top w:val="single" w:sz="8" w:color="0000EE"/>
            </w:tcBorders>
            <w:gridSpan w:val="10"/>
          </w:tcPr>
          <w:p>
            <w:pPr>
              <w:spacing w:after="0" w:line="162" w:lineRule="exact"/>
              <w:rPr>
                <w:sz w:val="20"/>
                <w:szCs w:val="20"/>
                <w:color w:val="auto"/>
              </w:rPr>
            </w:pPr>
            <w:r>
              <w:rPr>
                <w:rFonts w:ascii="Times New Roman" w:cs="Times New Roman" w:eastAsia="Times New Roman" w:hAnsi="Times New Roman"/>
                <w:sz w:val="17"/>
                <w:szCs w:val="17"/>
                <w:color w:val="0000EE"/>
              </w:rPr>
              <w:t>Controls and Procedures</w:t>
            </w:r>
          </w:p>
        </w:tc>
        <w:tc>
          <w:tcPr>
            <w:tcW w:w="5620" w:type="dxa"/>
            <w:vAlign w:val="bottom"/>
            <w:tcBorders>
              <w:top w:val="single" w:sz="8" w:color="CCEEFF"/>
            </w:tcBorders>
            <w:gridSpan w:val="6"/>
          </w:tcPr>
          <w:p>
            <w:pPr>
              <w:spacing w:after="0"/>
              <w:rPr>
                <w:sz w:val="14"/>
                <w:szCs w:val="14"/>
                <w:color w:val="auto"/>
              </w:rPr>
            </w:pPr>
          </w:p>
        </w:tc>
        <w:tc>
          <w:tcPr>
            <w:tcW w:w="460" w:type="dxa"/>
            <w:vAlign w:val="bottom"/>
            <w:tcBorders>
              <w:top w:val="single" w:sz="8" w:color="CCEEFF"/>
            </w:tcBorders>
          </w:tcPr>
          <w:p>
            <w:pPr>
              <w:jc w:val="right"/>
              <w:spacing w:after="0" w:line="162" w:lineRule="exact"/>
              <w:rPr>
                <w:sz w:val="20"/>
                <w:szCs w:val="20"/>
                <w:color w:val="auto"/>
              </w:rPr>
            </w:pPr>
            <w:r>
              <w:rPr>
                <w:rFonts w:ascii="Times New Roman" w:cs="Times New Roman" w:eastAsia="Times New Roman" w:hAnsi="Times New Roman"/>
                <w:sz w:val="17"/>
                <w:szCs w:val="17"/>
                <w:color w:val="auto"/>
              </w:rPr>
              <w:t>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14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PART II.</w:t>
            </w:r>
          </w:p>
        </w:tc>
        <w:tc>
          <w:tcPr>
            <w:tcW w:w="9640" w:type="dxa"/>
            <w:vAlign w:val="bottom"/>
            <w:gridSpan w:val="16"/>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OTHER INFORMATION</w:t>
            </w:r>
          </w:p>
        </w:tc>
        <w:tc>
          <w:tcPr>
            <w:tcW w:w="4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140" w:type="dxa"/>
            <w:vAlign w:val="bottom"/>
            <w:tcBorders>
              <w:top w:val="single" w:sz="8" w:color="CCEEFF"/>
            </w:tcBorders>
            <w:gridSpan w:val="2"/>
          </w:tcPr>
          <w:p>
            <w:pPr>
              <w:ind w:left="260"/>
              <w:spacing w:after="0" w:line="162" w:lineRule="exact"/>
              <w:rPr>
                <w:sz w:val="20"/>
                <w:szCs w:val="20"/>
                <w:color w:val="auto"/>
              </w:rPr>
            </w:pPr>
            <w:r>
              <w:rPr>
                <w:rFonts w:ascii="Times New Roman" w:cs="Times New Roman" w:eastAsia="Times New Roman" w:hAnsi="Times New Roman"/>
                <w:sz w:val="17"/>
                <w:szCs w:val="17"/>
                <w:color w:val="auto"/>
              </w:rPr>
              <w:t>Item 1.</w:t>
            </w:r>
          </w:p>
        </w:tc>
        <w:tc>
          <w:tcPr>
            <w:tcW w:w="1720" w:type="dxa"/>
            <w:vAlign w:val="bottom"/>
            <w:tcBorders>
              <w:top w:val="single" w:sz="8" w:color="0000EE"/>
            </w:tcBorders>
            <w:gridSpan w:val="5"/>
          </w:tcPr>
          <w:p>
            <w:pPr>
              <w:spacing w:after="0" w:line="162" w:lineRule="exact"/>
              <w:rPr>
                <w:sz w:val="20"/>
                <w:szCs w:val="20"/>
                <w:color w:val="auto"/>
              </w:rPr>
            </w:pPr>
            <w:r>
              <w:rPr>
                <w:rFonts w:ascii="Times New Roman" w:cs="Times New Roman" w:eastAsia="Times New Roman" w:hAnsi="Times New Roman"/>
                <w:sz w:val="17"/>
                <w:szCs w:val="17"/>
                <w:color w:val="0000EE"/>
              </w:rPr>
              <w:t>Legal Proceedings</w:t>
            </w:r>
          </w:p>
        </w:tc>
        <w:tc>
          <w:tcPr>
            <w:tcW w:w="7920" w:type="dxa"/>
            <w:vAlign w:val="bottom"/>
            <w:tcBorders>
              <w:top w:val="single" w:sz="8" w:color="CCEEFF"/>
            </w:tcBorders>
            <w:gridSpan w:val="11"/>
          </w:tcPr>
          <w:p>
            <w:pPr>
              <w:spacing w:after="0"/>
              <w:rPr>
                <w:sz w:val="14"/>
                <w:szCs w:val="14"/>
                <w:color w:val="auto"/>
              </w:rPr>
            </w:pPr>
          </w:p>
        </w:tc>
        <w:tc>
          <w:tcPr>
            <w:tcW w:w="460" w:type="dxa"/>
            <w:vAlign w:val="bottom"/>
            <w:tcBorders>
              <w:top w:val="single" w:sz="8" w:color="CCEEFF"/>
            </w:tcBorders>
          </w:tcPr>
          <w:p>
            <w:pPr>
              <w:jc w:val="right"/>
              <w:spacing w:after="0" w:line="162" w:lineRule="exact"/>
              <w:rPr>
                <w:sz w:val="20"/>
                <w:szCs w:val="20"/>
                <w:color w:val="auto"/>
              </w:rPr>
            </w:pPr>
            <w:r>
              <w:rPr>
                <w:rFonts w:ascii="Times New Roman" w:cs="Times New Roman" w:eastAsia="Times New Roman" w:hAnsi="Times New Roman"/>
                <w:sz w:val="17"/>
                <w:szCs w:val="17"/>
                <w:color w:val="auto"/>
              </w:rPr>
              <w:t>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40" w:type="dxa"/>
            <w:vAlign w:val="bottom"/>
            <w:gridSpan w:val="2"/>
            <w:shd w:val="clear" w:color="auto" w:fill="CCEEFF"/>
          </w:tcPr>
          <w:p>
            <w:pPr>
              <w:ind w:left="260"/>
              <w:spacing w:after="0" w:line="171" w:lineRule="exact"/>
              <w:rPr>
                <w:sz w:val="20"/>
                <w:szCs w:val="20"/>
                <w:color w:val="auto"/>
              </w:rPr>
            </w:pPr>
            <w:r>
              <w:rPr>
                <w:rFonts w:ascii="Times New Roman" w:cs="Times New Roman" w:eastAsia="Times New Roman" w:hAnsi="Times New Roman"/>
                <w:sz w:val="17"/>
                <w:szCs w:val="17"/>
                <w:color w:val="auto"/>
              </w:rPr>
              <w:t>Item 1A.</w:t>
            </w:r>
          </w:p>
        </w:tc>
        <w:tc>
          <w:tcPr>
            <w:tcW w:w="1220" w:type="dxa"/>
            <w:vAlign w:val="bottom"/>
            <w:tcBorders>
              <w:top w:val="single" w:sz="8" w:color="0000EE"/>
            </w:tcBorders>
            <w:gridSpan w:val="3"/>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Risk Factors</w:t>
            </w:r>
          </w:p>
        </w:tc>
        <w:tc>
          <w:tcPr>
            <w:tcW w:w="8420" w:type="dxa"/>
            <w:vAlign w:val="bottom"/>
            <w:gridSpan w:val="13"/>
            <w:shd w:val="clear" w:color="auto" w:fill="CCEEFF"/>
          </w:tcPr>
          <w:p>
            <w:pPr>
              <w:spacing w:after="0"/>
              <w:rPr>
                <w:sz w:val="14"/>
                <w:szCs w:val="14"/>
                <w:color w:val="auto"/>
              </w:rPr>
            </w:pPr>
          </w:p>
        </w:tc>
        <w:tc>
          <w:tcPr>
            <w:tcW w:w="4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7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0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gridSpan w:val="2"/>
          </w:tcPr>
          <w:p>
            <w:pPr>
              <w:ind w:left="260"/>
              <w:spacing w:after="0" w:line="162" w:lineRule="exact"/>
              <w:rPr>
                <w:sz w:val="20"/>
                <w:szCs w:val="20"/>
                <w:color w:val="auto"/>
              </w:rPr>
            </w:pPr>
            <w:r>
              <w:rPr>
                <w:rFonts w:ascii="Times New Roman" w:cs="Times New Roman" w:eastAsia="Times New Roman" w:hAnsi="Times New Roman"/>
                <w:sz w:val="17"/>
                <w:szCs w:val="17"/>
                <w:color w:val="auto"/>
              </w:rPr>
              <w:t>Item 2.</w:t>
            </w:r>
          </w:p>
        </w:tc>
        <w:tc>
          <w:tcPr>
            <w:tcW w:w="4000" w:type="dxa"/>
            <w:vAlign w:val="bottom"/>
            <w:tcBorders>
              <w:bottom w:val="single" w:sz="8" w:color="0000EE"/>
            </w:tcBorders>
            <w:gridSpan w:val="9"/>
          </w:tcPr>
          <w:p>
            <w:pPr>
              <w:spacing w:after="0" w:line="162" w:lineRule="exact"/>
              <w:rPr>
                <w:sz w:val="20"/>
                <w:szCs w:val="20"/>
                <w:color w:val="auto"/>
              </w:rPr>
            </w:pPr>
            <w:r>
              <w:rPr>
                <w:rFonts w:ascii="Times New Roman" w:cs="Times New Roman" w:eastAsia="Times New Roman" w:hAnsi="Times New Roman"/>
                <w:sz w:val="17"/>
                <w:szCs w:val="17"/>
                <w:color w:val="0000EE"/>
                <w:w w:val="96"/>
              </w:rPr>
              <w:t>Unregistered Sales of Equity Securities and Use of Proceeds</w:t>
            </w:r>
          </w:p>
        </w:tc>
        <w:tc>
          <w:tcPr>
            <w:tcW w:w="5640" w:type="dxa"/>
            <w:vAlign w:val="bottom"/>
            <w:gridSpan w:val="7"/>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Times New Roman" w:cs="Times New Roman" w:eastAsia="Times New Roman" w:hAnsi="Times New Roman"/>
                <w:sz w:val="17"/>
                <w:szCs w:val="17"/>
                <w:color w:val="auto"/>
              </w:rPr>
              <w:t>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Item 5.</w:t>
            </w:r>
          </w:p>
        </w:tc>
        <w:tc>
          <w:tcPr>
            <w:tcW w:w="96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Information</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140" w:type="dxa"/>
            <w:vAlign w:val="bottom"/>
            <w:gridSpan w:val="2"/>
          </w:tcPr>
          <w:p>
            <w:pPr>
              <w:ind w:left="260"/>
              <w:spacing w:after="0" w:line="162" w:lineRule="exact"/>
              <w:rPr>
                <w:sz w:val="20"/>
                <w:szCs w:val="20"/>
                <w:color w:val="auto"/>
              </w:rPr>
            </w:pPr>
            <w:r>
              <w:rPr>
                <w:rFonts w:ascii="Times New Roman" w:cs="Times New Roman" w:eastAsia="Times New Roman" w:hAnsi="Times New Roman"/>
                <w:sz w:val="17"/>
                <w:szCs w:val="17"/>
                <w:color w:val="auto"/>
              </w:rPr>
              <w:t>Item 6.</w:t>
            </w:r>
          </w:p>
        </w:tc>
        <w:tc>
          <w:tcPr>
            <w:tcW w:w="9640" w:type="dxa"/>
            <w:vAlign w:val="bottom"/>
            <w:gridSpan w:val="16"/>
          </w:tcPr>
          <w:p>
            <w:pPr>
              <w:spacing w:after="0" w:line="162" w:lineRule="exact"/>
              <w:rPr>
                <w:sz w:val="20"/>
                <w:szCs w:val="20"/>
                <w:color w:val="auto"/>
              </w:rPr>
            </w:pPr>
            <w:r>
              <w:rPr>
                <w:rFonts w:ascii="Times New Roman" w:cs="Times New Roman" w:eastAsia="Times New Roman" w:hAnsi="Times New Roman"/>
                <w:sz w:val="17"/>
                <w:szCs w:val="17"/>
                <w:color w:val="0000EE"/>
              </w:rPr>
              <w:t>Exhibits</w:t>
            </w:r>
          </w:p>
        </w:tc>
        <w:tc>
          <w:tcPr>
            <w:tcW w:w="460" w:type="dxa"/>
            <w:vAlign w:val="bottom"/>
          </w:tcPr>
          <w:p>
            <w:pPr>
              <w:jc w:val="right"/>
              <w:spacing w:after="0" w:line="162" w:lineRule="exact"/>
              <w:rPr>
                <w:sz w:val="20"/>
                <w:szCs w:val="20"/>
                <w:color w:val="auto"/>
              </w:rPr>
            </w:pPr>
            <w:r>
              <w:rPr>
                <w:rFonts w:ascii="Times New Roman" w:cs="Times New Roman" w:eastAsia="Times New Roman" w:hAnsi="Times New Roman"/>
                <w:sz w:val="17"/>
                <w:szCs w:val="17"/>
                <w:color w:val="auto"/>
              </w:rPr>
              <w:t>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00" w:type="dxa"/>
            <w:vAlign w:val="bottom"/>
            <w:tcBorders>
              <w:bottom w:val="single" w:sz="8" w:color="0000EE"/>
            </w:tcBorders>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w w:val="94"/>
              </w:rPr>
              <w:t>Signatures</w:t>
            </w:r>
          </w:p>
        </w:tc>
        <w:tc>
          <w:tcPr>
            <w:tcW w:w="4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0000EE"/>
              <w:bottom w:val="single" w:sz="8" w:color="CCEEFF"/>
              <w:right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limited liability corporation formed by ACM Research in the People’s Republic of China, or the PRC, in 2005. Unless the context requires otherwise, references in this report to “our company,” “our,” “us,” “we” and similar terms refer to ACM Research, Inc. and its subsidiaries, including ACM Shanghai, collectively.</w:t>
      </w:r>
    </w:p>
    <w:p>
      <w:pPr>
        <w:spacing w:after="0" w:line="1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Our principal corporate office is located in Fremont, California. We conduct a substantial majority of our product development, manufacturing, support and services in the PRC through ACM Shanghai. We perform, through a subsidiary of ACM Shanghai, additional product development and subsystem production in South Korea, and we conduct, through ACM Research, sales and marketing activities focused on sales of ACM Shanghai products in North America, Europe and certain regions in Asia outside mainland China. ACM Research is not a PRC operating company, and we do not conduct our operations in the PRC through the use of a variable interest entity, or VIE, or any other structure designed for the purpose of avoiding PRC legal restrictions on direct foreign investments in PRC-based companies. ACM Research has a direct ownership interest in ACM Shanghai as the result of its holding 82.5% of the outstanding shares of ACM Shanghai. Stockholders of ACM Research may never directly own equity interests in ACM Shanghai. We do not believe that our corporate structure or any other matters relating to our business operations require that we obtain any permissions or approvals from the China Securities Regulatory Commission, or the CSRC, or any other PRC central government authority in order to continue to list shares of Class A common stock of ACM Research on the Nasdaq Global Select Market.</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are subject to a number of legal and operational risks associated with our corporate structure, including as the result of a substantial portion of our operations being conducted in the PRC. Consequences of any of those risks could result in a material adverse change in our operations or cause the value of ACM Research Class A common stock to significantly decline. Please carefully read the information beginning on page 64 of this report and included in “Part II. Item 1A – Risk Factors,” in particular the risk factors addressing the following issues:</w:t>
      </w:r>
    </w:p>
    <w:p>
      <w:pPr>
        <w:spacing w:after="0" w:line="174" w:lineRule="exact"/>
        <w:rPr>
          <w:sz w:val="20"/>
          <w:szCs w:val="20"/>
          <w:color w:val="auto"/>
        </w:rPr>
      </w:pPr>
    </w:p>
    <w:p>
      <w:pPr>
        <w:jc w:val="both"/>
        <w:ind w:left="1200" w:hanging="603"/>
        <w:spacing w:after="0" w:line="249" w:lineRule="auto"/>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PRC central government authority were to determine that existing PRC laws or regulations require that ACM Shanghai obtain the authority’s permission or approval to continue the listing of ACM Research’s Class A common stock in the United States or if those existing PRC laws and regulations, or interpretations thereof, were to change to require such permission or approval, ACM Shanghai may be unable to obtain any such permission or approval or may only be able to obtain such permission or approval on terms and conditions that impose material new restrictions and limitations on the operations of ACM Shanghai, either of which could have a material adverse effect on our business, financial condition, results of operations, reputation and prospects and on the trading price of ACM Research Class A common stock.</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ind w:left="1200" w:hanging="603"/>
        <w:spacing w:after="0" w:line="269" w:lineRule="auto"/>
        <w:tabs>
          <w:tab w:leader="none" w:pos="12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PRC central government authorities may intervene in, or influence, ACM Shanghai’s PRC-based operations at any time, and those authorities’ rules and regulations can change quickly with little or no advance notice.</w:t>
      </w:r>
    </w:p>
    <w:p>
      <w:pPr>
        <w:spacing w:after="0" w:line="159" w:lineRule="exact"/>
        <w:rPr>
          <w:rFonts w:ascii="Times New Roman" w:cs="Times New Roman" w:eastAsia="Times New Roman" w:hAnsi="Times New Roman"/>
          <w:sz w:val="17"/>
          <w:szCs w:val="17"/>
          <w:color w:val="auto"/>
        </w:rPr>
      </w:pPr>
    </w:p>
    <w:p>
      <w:pPr>
        <w:ind w:left="1200" w:hanging="603"/>
        <w:spacing w:after="0" w:line="269" w:lineRule="auto"/>
        <w:tabs>
          <w:tab w:leader="none" w:pos="12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PRC central government may determine to exert additional control over offerings conducted overseas or foreign investment in PRC-based issuers, which could result in a material change in our operations and the value of ACM Research Class A common stock.</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Recent statements and regulatory actions by PRC central government authorities with respect to the use of VIEs and to data security and anti-monopoly concerns have not affected our ability to conduct our business operations in China. For further information, see “Part II. Item 1A – Risk Factors – Risks Related to International Aspects of Our Business.”</w:t>
      </w:r>
    </w:p>
    <w:p>
      <w:pPr>
        <w:spacing w:after="0" w:line="1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i w:val="1"/>
          <w:iCs w:val="1"/>
          <w:color w:val="auto"/>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SAPS, TEBO, ULTRA C and ULTRA FURNACE are trademarks of ACM Research. For convenience, these trademarks appear in this report without ™ symbols, but that practice does not mean that ACM Research will not assert, to the fullest extent under applicable law, ACM Research’s rights to the trademarks. This report also contains other companies’ trademarks, registered marks and trade names, which are the property of those companies.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 AND STATISTICAL DATA</w:t>
      </w:r>
    </w:p>
    <w:p>
      <w:pPr>
        <w:spacing w:after="0" w:line="207" w:lineRule="exact"/>
        <w:rPr>
          <w:sz w:val="20"/>
          <w:szCs w:val="20"/>
          <w:color w:val="auto"/>
        </w:rPr>
      </w:pPr>
    </w:p>
    <w:p>
      <w:pPr>
        <w:jc w:val="both"/>
        <w:spacing w:after="0" w:line="201" w:lineRule="exact"/>
        <w:rPr>
          <w:sz w:val="20"/>
          <w:szCs w:val="20"/>
          <w:color w:val="auto"/>
        </w:rPr>
      </w:pPr>
      <w:r>
        <w:rPr>
          <w:rFonts w:ascii="Times New Roman" w:cs="Times New Roman" w:eastAsia="Times New Roman" w:hAnsi="Times New Roman"/>
          <w:sz w:val="16"/>
          <w:szCs w:val="16"/>
          <w:color w:val="auto"/>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uncertainties surrounding the COVID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19 pandemic (including effects of related PRC restrictions) and other factors described or incorporated by reference in “Item 1A. Risk Factors” of Part II of this report, that may cause our actual results, performance or achievements to be materially different from any future results, performance or achievements expressed or implied by these forward-looking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information included under the heading “Item 2. Management’s Discussion and Analysis of Financial Condition and Results of Operations – Overview,” of Part I of this report contains statistical data and estimates, including forecasts, that are based on information provided by Gartner, Inc., or Gartner, in “Forecast: Semiconductor Wafer Fab Equipment, Worldwide, 4Q21 Update” (December 2021), or the Gartner Report. The Gartner Report represents research opinions or viewpoints that are published, as part of a syndicated subscription service, by Gartner and are not representations of fact. The Gartner Report speaks as of its original publication date (and not as of the date of this report), and the opinions expressed in the Gartner Report are subject to change without notice. While we are not aware of any misstatements regarding any of the data presented from the Gartner Report, estimates, and in particular forecasts, involve numerous assumptions and are subject to risks and uncertainties, as well as change based on various factors, that could cause results to differ materially from those expressed in the data presented below.</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7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71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FINANCIAL INFORMATION</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8"/>
        </w:trPr>
        <w:tc>
          <w:tcPr>
            <w:tcW w:w="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1.</w:t>
            </w:r>
          </w:p>
        </w:tc>
        <w:tc>
          <w:tcPr>
            <w:tcW w:w="71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Financial Statements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740" w:type="dxa"/>
            <w:vAlign w:val="bottom"/>
          </w:tcPr>
          <w:p>
            <w:pPr>
              <w:spacing w:after="0"/>
              <w:rPr>
                <w:sz w:val="24"/>
                <w:szCs w:val="24"/>
                <w:color w:val="auto"/>
              </w:rPr>
            </w:pPr>
          </w:p>
        </w:tc>
        <w:tc>
          <w:tcPr>
            <w:tcW w:w="7120" w:type="dxa"/>
            <w:vAlign w:val="bottom"/>
          </w:tcPr>
          <w:p>
            <w:pPr>
              <w:jc w:val="center"/>
              <w:ind w:left="2577"/>
              <w:spacing w:after="0"/>
              <w:rPr>
                <w:sz w:val="20"/>
                <w:szCs w:val="20"/>
                <w:color w:val="auto"/>
              </w:rPr>
            </w:pPr>
            <w:r>
              <w:rPr>
                <w:rFonts w:ascii="Times New Roman" w:cs="Times New Roman" w:eastAsia="Times New Roman" w:hAnsi="Times New Roman"/>
                <w:sz w:val="17"/>
                <w:szCs w:val="17"/>
                <w:b w:val="1"/>
                <w:bCs w:val="1"/>
                <w:color w:val="auto"/>
                <w:w w:val="97"/>
              </w:rPr>
              <w:t>ACM RESEARCH, INC.</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740" w:type="dxa"/>
            <w:vAlign w:val="bottom"/>
          </w:tcPr>
          <w:p>
            <w:pPr>
              <w:spacing w:after="0"/>
              <w:rPr>
                <w:sz w:val="17"/>
                <w:szCs w:val="17"/>
                <w:color w:val="auto"/>
              </w:rPr>
            </w:pPr>
          </w:p>
        </w:tc>
        <w:tc>
          <w:tcPr>
            <w:tcW w:w="7120" w:type="dxa"/>
            <w:vAlign w:val="bottom"/>
          </w:tcPr>
          <w:p>
            <w:pPr>
              <w:jc w:val="center"/>
              <w:ind w:left="2577"/>
              <w:spacing w:after="0"/>
              <w:rPr>
                <w:sz w:val="20"/>
                <w:szCs w:val="20"/>
                <w:color w:val="auto"/>
              </w:rPr>
            </w:pPr>
            <w:r>
              <w:rPr>
                <w:rFonts w:ascii="Times New Roman" w:cs="Times New Roman" w:eastAsia="Times New Roman" w:hAnsi="Times New Roman"/>
                <w:sz w:val="17"/>
                <w:szCs w:val="17"/>
                <w:b w:val="1"/>
                <w:bCs w:val="1"/>
                <w:color w:val="auto"/>
                <w:w w:val="97"/>
              </w:rPr>
              <w:t>Condensed Consolidated Balance Sheets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40" w:type="dxa"/>
            <w:vAlign w:val="bottom"/>
          </w:tcPr>
          <w:p>
            <w:pPr>
              <w:spacing w:after="0"/>
              <w:rPr>
                <w:sz w:val="17"/>
                <w:szCs w:val="17"/>
                <w:color w:val="auto"/>
              </w:rPr>
            </w:pPr>
          </w:p>
        </w:tc>
        <w:tc>
          <w:tcPr>
            <w:tcW w:w="7120" w:type="dxa"/>
            <w:vAlign w:val="bottom"/>
          </w:tcPr>
          <w:p>
            <w:pPr>
              <w:jc w:val="center"/>
              <w:ind w:left="2557"/>
              <w:spacing w:after="0"/>
              <w:rPr>
                <w:sz w:val="20"/>
                <w:szCs w:val="20"/>
                <w:color w:val="auto"/>
              </w:rPr>
            </w:pPr>
            <w:r>
              <w:rPr>
                <w:rFonts w:ascii="Times New Roman" w:cs="Times New Roman" w:eastAsia="Times New Roman" w:hAnsi="Times New Roman"/>
                <w:sz w:val="17"/>
                <w:szCs w:val="17"/>
                <w:i w:val="1"/>
                <w:iCs w:val="1"/>
                <w:color w:val="auto"/>
                <w:w w:val="97"/>
              </w:rPr>
              <w:t>(In thousands, except per share data)</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740" w:type="dxa"/>
            <w:vAlign w:val="bottom"/>
          </w:tcPr>
          <w:p>
            <w:pPr>
              <w:spacing w:after="0"/>
              <w:rPr>
                <w:sz w:val="18"/>
                <w:szCs w:val="18"/>
                <w:color w:val="auto"/>
              </w:rPr>
            </w:pPr>
          </w:p>
        </w:tc>
        <w:tc>
          <w:tcPr>
            <w:tcW w:w="7120" w:type="dxa"/>
            <w:vAlign w:val="bottom"/>
          </w:tcPr>
          <w:p>
            <w:pPr>
              <w:jc w:val="center"/>
              <w:ind w:left="2557"/>
              <w:spacing w:after="0"/>
              <w:rPr>
                <w:sz w:val="20"/>
                <w:szCs w:val="20"/>
                <w:color w:val="auto"/>
              </w:rPr>
            </w:pPr>
            <w:r>
              <w:rPr>
                <w:rFonts w:ascii="Times New Roman" w:cs="Times New Roman" w:eastAsia="Times New Roman" w:hAnsi="Times New Roman"/>
                <w:sz w:val="17"/>
                <w:szCs w:val="17"/>
                <w:i w:val="1"/>
                <w:iCs w:val="1"/>
                <w:color w:val="auto"/>
                <w:w w:val="96"/>
              </w:rPr>
              <w:t>(Unaudited)</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7"/>
        </w:trPr>
        <w:tc>
          <w:tcPr>
            <w:tcW w:w="74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4"/>
        </w:trPr>
        <w:tc>
          <w:tcPr>
            <w:tcW w:w="74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r>
      <w:tr>
        <w:trPr>
          <w:trHeight w:val="199"/>
        </w:trPr>
        <w:tc>
          <w:tcPr>
            <w:tcW w:w="740" w:type="dxa"/>
            <w:vAlign w:val="bottom"/>
            <w:shd w:val="clear" w:color="auto" w:fill="CCEEFF"/>
          </w:tcPr>
          <w:p>
            <w:pPr>
              <w:spacing w:after="0"/>
              <w:rPr>
                <w:sz w:val="17"/>
                <w:szCs w:val="17"/>
                <w:color w:val="auto"/>
              </w:rPr>
            </w:pPr>
          </w:p>
        </w:tc>
        <w:tc>
          <w:tcPr>
            <w:tcW w:w="7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Assets</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7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323,716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562,548</w:t>
            </w:r>
          </w:p>
        </w:tc>
      </w:tr>
      <w:tr>
        <w:trPr>
          <w:trHeight w:val="199"/>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Restricted cash</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519</w:t>
            </w:r>
          </w:p>
        </w:tc>
      </w:tr>
      <w:tr>
        <w:trPr>
          <w:trHeight w:val="199"/>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Short-term time deposits (note 2)</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70,030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199"/>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Trading securities (note 15)</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23,894</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29,498</w:t>
            </w:r>
          </w:p>
        </w:tc>
      </w:tr>
      <w:tr>
        <w:trPr>
          <w:trHeight w:val="199"/>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receivable (note 4)</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154,627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105,553</w:t>
            </w:r>
          </w:p>
        </w:tc>
      </w:tr>
      <w:tr>
        <w:trPr>
          <w:trHeight w:val="199"/>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Income tax receivable</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1,082</w:t>
            </w:r>
          </w:p>
        </w:tc>
      </w:tr>
      <w:tr>
        <w:trPr>
          <w:trHeight w:val="199"/>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receivables</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16,208</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18,979</w:t>
            </w:r>
          </w:p>
        </w:tc>
      </w:tr>
      <w:tr>
        <w:trPr>
          <w:trHeight w:val="199"/>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Inventories (note 5)</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288,080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218,116</w:t>
            </w:r>
          </w:p>
        </w:tc>
      </w:tr>
      <w:tr>
        <w:trPr>
          <w:trHeight w:val="199"/>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Advances to related party (note 16)</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2,383</w:t>
            </w:r>
          </w:p>
        </w:tc>
      </w:tr>
      <w:tr>
        <w:trPr>
          <w:trHeight w:val="204"/>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Prepaid expenses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18,851</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14,256</w:t>
            </w:r>
          </w:p>
        </w:tc>
      </w:tr>
      <w:tr>
        <w:trPr>
          <w:trHeight w:val="199"/>
        </w:trPr>
        <w:tc>
          <w:tcPr>
            <w:tcW w:w="7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 current assets</w:t>
            </w:r>
          </w:p>
        </w:tc>
        <w:tc>
          <w:tcPr>
            <w:tcW w:w="8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900,628</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952,934</w:t>
            </w:r>
          </w:p>
        </w:tc>
        <w:tc>
          <w:tcPr>
            <w:tcW w:w="100" w:type="dxa"/>
            <w:vAlign w:val="bottom"/>
            <w:shd w:val="clear" w:color="auto" w:fill="CCEEFF"/>
          </w:tcPr>
          <w:p>
            <w:pPr>
              <w:spacing w:after="0"/>
              <w:rPr>
                <w:sz w:val="17"/>
                <w:szCs w:val="17"/>
                <w:color w:val="auto"/>
              </w:rPr>
            </w:pPr>
          </w:p>
        </w:tc>
      </w:tr>
      <w:tr>
        <w:trPr>
          <w:trHeight w:val="199"/>
        </w:trPr>
        <w:tc>
          <w:tcPr>
            <w:tcW w:w="7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Property, plant and equipment, net (note 6)</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57,266</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14,042</w:t>
            </w:r>
          </w:p>
        </w:tc>
      </w:tr>
      <w:tr>
        <w:trPr>
          <w:trHeight w:val="199"/>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 use right, net (note 7)</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9,667</w:t>
            </w:r>
          </w:p>
        </w:tc>
      </w:tr>
      <w:tr>
        <w:trPr>
          <w:trHeight w:val="199"/>
        </w:trPr>
        <w:tc>
          <w:tcPr>
            <w:tcW w:w="7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 right-of-use assets, net (note 11)</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4,182</w:t>
            </w:r>
          </w:p>
        </w:tc>
      </w:tr>
      <w:tr>
        <w:trPr>
          <w:trHeight w:val="199"/>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477</w:t>
            </w:r>
          </w:p>
        </w:tc>
      </w:tr>
      <w:tr>
        <w:trPr>
          <w:trHeight w:val="199"/>
        </w:trPr>
        <w:tc>
          <w:tcPr>
            <w:tcW w:w="7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time deposits (note 2)</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74,500</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199"/>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 (note 19)</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10,767</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13,166</w:t>
            </w:r>
          </w:p>
        </w:tc>
      </w:tr>
      <w:tr>
        <w:trPr>
          <w:trHeight w:val="199"/>
        </w:trPr>
        <w:tc>
          <w:tcPr>
            <w:tcW w:w="7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investments (note 14)</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12,612</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12,694</w:t>
            </w:r>
          </w:p>
        </w:tc>
      </w:tr>
      <w:tr>
        <w:trPr>
          <w:trHeight w:val="204"/>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assets (note 8)</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45,017</w:t>
            </w:r>
          </w:p>
        </w:tc>
      </w:tr>
      <w:tr>
        <w:trPr>
          <w:trHeight w:val="199"/>
        </w:trPr>
        <w:tc>
          <w:tcPr>
            <w:tcW w:w="7860" w:type="dxa"/>
            <w:vAlign w:val="bottom"/>
            <w:tcBorders>
              <w:top w:val="single" w:sz="8" w:color="CCEEFF"/>
            </w:tcBorders>
            <w:gridSpan w:val="2"/>
          </w:tcPr>
          <w:p>
            <w:pPr>
              <w:ind w:left="38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82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1,071,524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1,052,179</w:t>
            </w:r>
          </w:p>
        </w:tc>
        <w:tc>
          <w:tcPr>
            <w:tcW w:w="100" w:type="dxa"/>
            <w:vAlign w:val="bottom"/>
            <w:tcBorders>
              <w:top w:val="single" w:sz="8" w:color="CCEEFF"/>
            </w:tcBorders>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740" w:type="dxa"/>
            <w:vAlign w:val="bottom"/>
            <w:shd w:val="clear" w:color="auto" w:fill="CCEEFF"/>
          </w:tcPr>
          <w:p>
            <w:pPr>
              <w:spacing w:after="0"/>
              <w:rPr>
                <w:sz w:val="16"/>
                <w:szCs w:val="16"/>
                <w:color w:val="auto"/>
              </w:rPr>
            </w:pPr>
          </w:p>
        </w:tc>
        <w:tc>
          <w:tcPr>
            <w:tcW w:w="7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w w:val="96"/>
              </w:rPr>
              <w:t>Liabilities and Equity</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9"/>
        </w:trPr>
        <w:tc>
          <w:tcPr>
            <w:tcW w:w="7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Short-term borrowings (note 9)</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9,591</w:t>
            </w:r>
          </w:p>
        </w:tc>
      </w:tr>
      <w:tr>
        <w:trPr>
          <w:trHeight w:val="199"/>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Current portion of long-term borrowings (note 12)</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2,410</w:t>
            </w:r>
          </w:p>
        </w:tc>
      </w:tr>
      <w:tr>
        <w:trPr>
          <w:trHeight w:val="199"/>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Related party accounts payable (note 16)</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7,899</w:t>
            </w:r>
          </w:p>
        </w:tc>
      </w:tr>
      <w:tr>
        <w:trPr>
          <w:trHeight w:val="199"/>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93,902</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93,451</w:t>
            </w:r>
          </w:p>
        </w:tc>
      </w:tr>
      <w:tr>
        <w:trPr>
          <w:trHeight w:val="199"/>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Advances from customers</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94,421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52,824</w:t>
            </w:r>
          </w:p>
        </w:tc>
      </w:tr>
      <w:tr>
        <w:trPr>
          <w:trHeight w:val="199"/>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Deferred revenue</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3,180</w:t>
            </w:r>
          </w:p>
        </w:tc>
      </w:tr>
      <w:tr>
        <w:trPr>
          <w:trHeight w:val="199"/>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taxes payable (note 19)</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254</w:t>
            </w:r>
          </w:p>
        </w:tc>
      </w:tr>
      <w:tr>
        <w:trPr>
          <w:trHeight w:val="199"/>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FIN-48 payable (note 19)</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2,282</w:t>
            </w:r>
          </w:p>
        </w:tc>
      </w:tr>
      <w:tr>
        <w:trPr>
          <w:trHeight w:val="199"/>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payables and accrued expenses (note 10)</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39,195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31,735</w:t>
            </w:r>
          </w:p>
        </w:tc>
      </w:tr>
      <w:tr>
        <w:trPr>
          <w:trHeight w:val="204"/>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Current portion of operating lease liability (note 11)</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2,313</w:t>
            </w:r>
          </w:p>
        </w:tc>
      </w:tr>
      <w:tr>
        <w:trPr>
          <w:trHeight w:val="199"/>
        </w:trPr>
        <w:tc>
          <w:tcPr>
            <w:tcW w:w="7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8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252,733</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205,939</w:t>
            </w:r>
          </w:p>
        </w:tc>
        <w:tc>
          <w:tcPr>
            <w:tcW w:w="100" w:type="dxa"/>
            <w:vAlign w:val="bottom"/>
            <w:shd w:val="clear" w:color="auto" w:fill="CCEEFF"/>
          </w:tcPr>
          <w:p>
            <w:pPr>
              <w:spacing w:after="0"/>
              <w:rPr>
                <w:sz w:val="17"/>
                <w:szCs w:val="17"/>
                <w:color w:val="auto"/>
              </w:rPr>
            </w:pPr>
          </w:p>
        </w:tc>
      </w:tr>
      <w:tr>
        <w:trPr>
          <w:trHeight w:val="199"/>
        </w:trPr>
        <w:tc>
          <w:tcPr>
            <w:tcW w:w="7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borrowings (note 12)</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20,642</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22,957</w:t>
            </w:r>
          </w:p>
        </w:tc>
      </w:tr>
      <w:tr>
        <w:trPr>
          <w:trHeight w:val="199"/>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operating lease liability (note 11)</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1,869</w:t>
            </w:r>
          </w:p>
        </w:tc>
      </w:tr>
      <w:tr>
        <w:trPr>
          <w:trHeight w:val="199"/>
        </w:trPr>
        <w:tc>
          <w:tcPr>
            <w:tcW w:w="7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tax liability (note19)</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1,302</w:t>
            </w:r>
          </w:p>
        </w:tc>
      </w:tr>
      <w:tr>
        <w:trPr>
          <w:trHeight w:val="204"/>
        </w:trPr>
        <w:tc>
          <w:tcPr>
            <w:tcW w:w="7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liabilities (note 13)</w:t>
            </w:r>
          </w:p>
        </w:tc>
        <w:tc>
          <w:tcPr>
            <w:tcW w:w="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8,063</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4"/>
        </w:trPr>
        <w:tc>
          <w:tcPr>
            <w:tcW w:w="7860" w:type="dxa"/>
            <w:vAlign w:val="bottom"/>
            <w:gridSpan w:val="2"/>
          </w:tcPr>
          <w:p>
            <w:pPr>
              <w:ind w:left="38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284,379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240,514</w:t>
            </w:r>
          </w:p>
        </w:tc>
      </w:tr>
      <w:tr>
        <w:trPr>
          <w:trHeight w:val="199"/>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 (note 20)</w:t>
            </w:r>
          </w:p>
        </w:tc>
        <w:tc>
          <w:tcPr>
            <w:tcW w:w="8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7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Common stock (1) (note 17)</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w:t>
            </w:r>
          </w:p>
        </w:tc>
      </w:tr>
      <w:tr>
        <w:trPr>
          <w:trHeight w:val="199"/>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 (1) (note 17)</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w:t>
            </w:r>
          </w:p>
        </w:tc>
      </w:tr>
      <w:tr>
        <w:trPr>
          <w:trHeight w:val="199"/>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599,138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595,045</w:t>
            </w:r>
          </w:p>
        </w:tc>
      </w:tr>
      <w:tr>
        <w:trPr>
          <w:trHeight w:val="199"/>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70,182</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63,732</w:t>
            </w:r>
          </w:p>
        </w:tc>
      </w:tr>
      <w:tr>
        <w:trPr>
          <w:trHeight w:val="199"/>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Statutory surplus reserve (note 22)</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8,312</w:t>
            </w:r>
          </w:p>
        </w:tc>
      </w:tr>
      <w:tr>
        <w:trPr>
          <w:trHeight w:val="204"/>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(22,633)</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9,109</w:t>
            </w:r>
          </w:p>
        </w:tc>
      </w:tr>
      <w:tr>
        <w:trPr>
          <w:trHeight w:val="199"/>
        </w:trPr>
        <w:tc>
          <w:tcPr>
            <w:tcW w:w="7860" w:type="dxa"/>
            <w:vAlign w:val="bottom"/>
            <w:tcBorders>
              <w:top w:val="single" w:sz="8" w:color="CCEEFF"/>
            </w:tcBorders>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Total ACM Research, Inc. stockholders’ equity</w:t>
            </w:r>
          </w:p>
        </w:tc>
        <w:tc>
          <w:tcPr>
            <w:tcW w:w="8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655,005</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676,204</w:t>
            </w:r>
          </w:p>
        </w:tc>
        <w:tc>
          <w:tcPr>
            <w:tcW w:w="100" w:type="dxa"/>
            <w:vAlign w:val="bottom"/>
            <w:tcBorders>
              <w:top w:val="single" w:sz="8" w:color="CCEEFF"/>
            </w:tcBorders>
          </w:tcPr>
          <w:p>
            <w:pPr>
              <w:spacing w:after="0"/>
              <w:rPr>
                <w:sz w:val="17"/>
                <w:szCs w:val="17"/>
                <w:color w:val="auto"/>
              </w:rPr>
            </w:pPr>
          </w:p>
        </w:tc>
      </w:tr>
      <w:tr>
        <w:trPr>
          <w:trHeight w:val="204"/>
        </w:trPr>
        <w:tc>
          <w:tcPr>
            <w:tcW w:w="7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Non-controlling interests</w:t>
            </w:r>
          </w:p>
        </w:tc>
        <w:tc>
          <w:tcPr>
            <w:tcW w:w="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132,140</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135,461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4"/>
        </w:trPr>
        <w:tc>
          <w:tcPr>
            <w:tcW w:w="786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787,145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811,665</w:t>
            </w:r>
          </w:p>
        </w:tc>
      </w:tr>
      <w:tr>
        <w:trPr>
          <w:trHeight w:val="239"/>
        </w:trPr>
        <w:tc>
          <w:tcPr>
            <w:tcW w:w="78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8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1,071,524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1,052,179</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3" w:lineRule="exact"/>
        <w:rPr>
          <w:sz w:val="20"/>
          <w:szCs w:val="20"/>
          <w:color w:val="auto"/>
        </w:rPr>
      </w:pPr>
    </w:p>
    <w:p>
      <w:pPr>
        <w:ind w:left="2320" w:right="660" w:hanging="2320"/>
        <w:spacing w:after="0" w:line="513" w:lineRule="auto"/>
        <w:tabs>
          <w:tab w:leader="none" w:pos="29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Prior period results have been adjusted to reflect the three-for-one stock split effected in the form of a stock dividend in March 2022. See Note 1 for details </w:t>
      </w: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ectPr>
          <w:pgSz w:w="11900" w:h="16838" w:orient="portrait"/>
          <w:cols w:equalWidth="0" w:num="1">
            <w:col w:w="11240"/>
          </w:cols>
          <w:pgMar w:left="320" w:top="118" w:right="339" w:bottom="144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Income (Loss)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and per share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5"/>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w w:val="98"/>
              </w:rPr>
              <w:t>Three Months Ended June 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5"/>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04"/>
        </w:trPr>
        <w:tc>
          <w:tcPr>
            <w:tcW w:w="59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7"/>
                <w:szCs w:val="17"/>
                <w:color w:val="auto"/>
              </w:rPr>
            </w:pPr>
          </w:p>
        </w:tc>
      </w:tr>
      <w:tr>
        <w:trPr>
          <w:trHeight w:val="19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 (note 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104,395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53,864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146,581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97,596</w:t>
            </w:r>
          </w:p>
        </w:tc>
        <w:tc>
          <w:tcPr>
            <w:tcW w:w="100" w:type="dxa"/>
            <w:vAlign w:val="bottom"/>
            <w:shd w:val="clear" w:color="auto" w:fill="CCEEFF"/>
          </w:tcPr>
          <w:p>
            <w:pPr>
              <w:spacing w:after="0"/>
              <w:rPr>
                <w:sz w:val="17"/>
                <w:szCs w:val="17"/>
                <w:color w:val="auto"/>
              </w:rPr>
            </w:pPr>
          </w:p>
        </w:tc>
      </w:tr>
      <w:tr>
        <w:trPr>
          <w:trHeight w:val="204"/>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60,238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32,184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82,738</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57,871</w:t>
            </w:r>
          </w:p>
        </w:tc>
      </w:tr>
      <w:tr>
        <w:trPr>
          <w:trHeight w:val="204"/>
        </w:trPr>
        <w:tc>
          <w:tcPr>
            <w:tcW w:w="5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44,157</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21,680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63,843</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39,725</w:t>
            </w:r>
          </w:p>
        </w:tc>
        <w:tc>
          <w:tcPr>
            <w:tcW w:w="100" w:type="dxa"/>
            <w:vAlign w:val="bottom"/>
            <w:shd w:val="clear" w:color="auto" w:fill="CCEEFF"/>
          </w:tcPr>
          <w:p>
            <w:pPr>
              <w:spacing w:after="0"/>
              <w:rPr>
                <w:sz w:val="17"/>
                <w:szCs w:val="17"/>
                <w:color w:val="auto"/>
              </w:rPr>
            </w:pPr>
          </w:p>
        </w:tc>
      </w:tr>
      <w:tr>
        <w:trPr>
          <w:trHeight w:val="199"/>
        </w:trPr>
        <w:tc>
          <w:tcPr>
            <w:tcW w:w="59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Sales and marketing</w:t>
            </w:r>
          </w:p>
        </w:tc>
        <w:tc>
          <w:tcPr>
            <w:tcW w:w="1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5,789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14,361</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11,097</w:t>
            </w:r>
          </w:p>
        </w:tc>
        <w:tc>
          <w:tcPr>
            <w:tcW w:w="100" w:type="dxa"/>
            <w:vAlign w:val="bottom"/>
            <w:shd w:val="clear" w:color="auto" w:fill="CCEEFF"/>
          </w:tcPr>
          <w:p>
            <w:pPr>
              <w:spacing w:after="0"/>
              <w:rPr>
                <w:sz w:val="17"/>
                <w:szCs w:val="17"/>
                <w:color w:val="auto"/>
              </w:rPr>
            </w:pPr>
          </w:p>
        </w:tc>
      </w:tr>
      <w:tr>
        <w:trPr>
          <w:trHeight w:val="199"/>
        </w:trPr>
        <w:tc>
          <w:tcPr>
            <w:tcW w:w="5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11,367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7,933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28,713</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13,437</w:t>
            </w:r>
          </w:p>
        </w:tc>
      </w:tr>
      <w:tr>
        <w:trPr>
          <w:trHeight w:val="19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3,627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10,040</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7,410</w:t>
            </w:r>
          </w:p>
        </w:tc>
      </w:tr>
      <w:tr>
        <w:trPr>
          <w:trHeight w:val="25"/>
        </w:trPr>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4"/>
        </w:trPr>
        <w:tc>
          <w:tcPr>
            <w:tcW w:w="598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Total operating expenses, net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24,122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17,349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53,114</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31,944</w:t>
            </w:r>
          </w:p>
        </w:tc>
      </w:tr>
      <w:tr>
        <w:trPr>
          <w:trHeight w:val="199"/>
        </w:trPr>
        <w:tc>
          <w:tcPr>
            <w:tcW w:w="5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20,035</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10,729</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7,781</w:t>
            </w:r>
          </w:p>
        </w:tc>
        <w:tc>
          <w:tcPr>
            <w:tcW w:w="100" w:type="dxa"/>
            <w:vAlign w:val="bottom"/>
            <w:shd w:val="clear" w:color="auto" w:fill="CCEEFF"/>
          </w:tcPr>
          <w:p>
            <w:pPr>
              <w:spacing w:after="0"/>
              <w:rPr>
                <w:sz w:val="17"/>
                <w:szCs w:val="17"/>
                <w:color w:val="auto"/>
              </w:rPr>
            </w:pPr>
          </w:p>
        </w:tc>
      </w:tr>
      <w:tr>
        <w:trPr>
          <w:trHeight w:val="199"/>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3,949</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17"/>
                <w:szCs w:val="17"/>
                <w:color w:val="auto"/>
              </w:rPr>
            </w:pPr>
          </w:p>
        </w:tc>
      </w:tr>
      <w:tr>
        <w:trPr>
          <w:trHeight w:val="19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(306)</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(567)</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(383)</w:t>
            </w:r>
          </w:p>
        </w:tc>
      </w:tr>
      <w:tr>
        <w:trPr>
          <w:trHeight w:val="199"/>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Unrealized gain (loss) on trading securities</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(423)</w:t>
            </w: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3,783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(4,281)</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2,736</w:t>
            </w:r>
          </w:p>
        </w:tc>
      </w:tr>
      <w:tr>
        <w:trPr>
          <w:trHeight w:val="19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 net</w:t>
            </w:r>
          </w:p>
        </w:tc>
        <w:tc>
          <w:tcPr>
            <w:tcW w:w="1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2,742</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(428)</w:t>
            </w:r>
          </w:p>
        </w:tc>
      </w:tr>
      <w:tr>
        <w:trPr>
          <w:trHeight w:val="204"/>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Equity income in net income of affiliates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401</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615</w:t>
            </w:r>
          </w:p>
        </w:tc>
      </w:tr>
      <w:tr>
        <w:trPr>
          <w:trHeight w:val="199"/>
        </w:trPr>
        <w:tc>
          <w:tcPr>
            <w:tcW w:w="5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24,427</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12,973</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10,401</w:t>
            </w:r>
          </w:p>
        </w:tc>
        <w:tc>
          <w:tcPr>
            <w:tcW w:w="100" w:type="dxa"/>
            <w:vAlign w:val="bottom"/>
            <w:shd w:val="clear" w:color="auto" w:fill="CCEEFF"/>
          </w:tcPr>
          <w:p>
            <w:pPr>
              <w:spacing w:after="0"/>
              <w:rPr>
                <w:sz w:val="17"/>
                <w:szCs w:val="17"/>
                <w:color w:val="auto"/>
              </w:rPr>
            </w:pPr>
          </w:p>
        </w:tc>
      </w:tr>
      <w:tr>
        <w:trPr>
          <w:trHeight w:val="204"/>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Income tax benefit (expense) (note 19)</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(7,679)</w:t>
            </w:r>
          </w:p>
        </w:tc>
        <w:tc>
          <w:tcPr>
            <w:tcW w:w="2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(3,668)</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2,755</w:t>
            </w:r>
          </w:p>
        </w:tc>
      </w:tr>
      <w:tr>
        <w:trPr>
          <w:trHeight w:val="199"/>
        </w:trPr>
        <w:tc>
          <w:tcPr>
            <w:tcW w:w="5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16,748</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9,305</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13,156</w:t>
            </w:r>
          </w:p>
        </w:tc>
        <w:tc>
          <w:tcPr>
            <w:tcW w:w="100" w:type="dxa"/>
            <w:vAlign w:val="bottom"/>
            <w:shd w:val="clear" w:color="auto" w:fill="CCEEFF"/>
          </w:tcPr>
          <w:p>
            <w:pPr>
              <w:spacing w:after="0"/>
              <w:rPr>
                <w:sz w:val="17"/>
                <w:szCs w:val="17"/>
                <w:color w:val="auto"/>
              </w:rPr>
            </w:pPr>
          </w:p>
        </w:tc>
      </w:tr>
      <w:tr>
        <w:trPr>
          <w:trHeight w:val="204"/>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Less: Net income attributable to non-controlling interests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2,855</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1,119</w:t>
            </w:r>
          </w:p>
        </w:tc>
      </w:tr>
      <w:tr>
        <w:trPr>
          <w:trHeight w:val="239"/>
        </w:trPr>
        <w:tc>
          <w:tcPr>
            <w:tcW w:w="5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b w:val="1"/>
                <w:bCs w:val="1"/>
                <w:color w:val="auto"/>
              </w:rPr>
              <w:t>Net income attributable to ACM Research, Inc.</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12,236</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6,567</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6,450</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89"/>
        </w:trPr>
        <w:tc>
          <w:tcPr>
            <w:tcW w:w="59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Comprehensive income (loss):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1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16,748</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7,334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9,305</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13,156</w:t>
            </w:r>
          </w:p>
        </w:tc>
      </w:tr>
      <w:tr>
        <w:trPr>
          <w:trHeight w:val="204"/>
        </w:trPr>
        <w:tc>
          <w:tcPr>
            <w:tcW w:w="5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Foreign currency translation adjustment, net of tax</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(40,372)</w:t>
            </w: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(37,918)</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1,668</w:t>
            </w:r>
          </w:p>
        </w:tc>
      </w:tr>
      <w:tr>
        <w:trPr>
          <w:trHeight w:val="199"/>
        </w:trPr>
        <w:tc>
          <w:tcPr>
            <w:tcW w:w="5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b w:val="1"/>
                <w:bCs w:val="1"/>
                <w:color w:val="auto"/>
              </w:rPr>
              <w:t>Comprehensive income (loss)</w:t>
            </w: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(23,624)</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(28,613)</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14,824</w:t>
            </w:r>
          </w:p>
        </w:tc>
        <w:tc>
          <w:tcPr>
            <w:tcW w:w="100" w:type="dxa"/>
            <w:vAlign w:val="bottom"/>
            <w:shd w:val="clear" w:color="auto" w:fill="CCEEFF"/>
          </w:tcPr>
          <w:p>
            <w:pPr>
              <w:spacing w:after="0"/>
              <w:rPr>
                <w:sz w:val="17"/>
                <w:szCs w:val="17"/>
                <w:color w:val="auto"/>
              </w:rPr>
            </w:pPr>
          </w:p>
        </w:tc>
      </w:tr>
      <w:tr>
        <w:trPr>
          <w:trHeight w:val="204"/>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Less: Comprehensive income (loss) attributable to non-controlling interests</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(2,248)</w:t>
            </w: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(3,321)</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1,714</w:t>
            </w:r>
          </w:p>
        </w:tc>
      </w:tr>
      <w:tr>
        <w:trPr>
          <w:trHeight w:val="239"/>
        </w:trPr>
        <w:tc>
          <w:tcPr>
            <w:tcW w:w="5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b w:val="1"/>
                <w:bCs w:val="1"/>
                <w:color w:val="auto"/>
              </w:rPr>
              <w:t>Comprehensive income (loss) attributable to ACM Research, Inc.</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(21,376)</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8,537</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(25,292)</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89"/>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attributable to ACM Research, Inc. per common share (note 2):</w:t>
            </w:r>
          </w:p>
        </w:tc>
        <w:tc>
          <w:tcPr>
            <w:tcW w:w="1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5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200" w:type="dxa"/>
            <w:vAlign w:val="bottom"/>
          </w:tcPr>
          <w:p>
            <w:pPr>
              <w:spacing w:after="0"/>
              <w:rPr>
                <w:sz w:val="17"/>
                <w:szCs w:val="17"/>
                <w:color w:val="auto"/>
              </w:rPr>
            </w:pP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1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0.11</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0.21</w:t>
            </w: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tcBorders>
              <w:bottom w:val="single" w:sz="8" w:color="CCEEFF"/>
            </w:tcBorders>
            <w:shd w:val="clear" w:color="auto" w:fill="CCEEFF"/>
          </w:tcPr>
          <w:p>
            <w:pPr>
              <w:ind w:left="120"/>
              <w:spacing w:after="0" w:line="189" w:lineRule="exact"/>
              <w:rPr>
                <w:sz w:val="20"/>
                <w:szCs w:val="20"/>
                <w:color w:val="auto"/>
              </w:rPr>
            </w:pPr>
            <w:r>
              <w:rPr>
                <w:rFonts w:ascii="Times New Roman" w:cs="Times New Roman" w:eastAsia="Times New Roman" w:hAnsi="Times New Roman"/>
                <w:sz w:val="17"/>
                <w:szCs w:val="17"/>
                <w:color w:val="auto"/>
              </w:rPr>
              <w:t>Diluted</w:t>
            </w:r>
          </w:p>
        </w:tc>
        <w:tc>
          <w:tcPr>
            <w:tcW w:w="1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0.18</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7"/>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0.10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0.10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0.19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89"/>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9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Weighted average common shares outstanding used in computing per share amounts</w:t>
            </w:r>
          </w:p>
        </w:tc>
        <w:tc>
          <w:tcPr>
            <w:tcW w:w="12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(note 2):</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9"/>
        </w:trPr>
        <w:tc>
          <w:tcPr>
            <w:tcW w:w="5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Basic (1)</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59,177,643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57,370,977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59,003,484</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56,868,585</w:t>
            </w: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tcBorders>
              <w:bottom w:val="single" w:sz="8" w:color="CCEEFF"/>
            </w:tcBorders>
            <w:shd w:val="clear" w:color="auto" w:fill="CCEEFF"/>
          </w:tcPr>
          <w:p>
            <w:pPr>
              <w:ind w:left="120"/>
              <w:spacing w:after="0" w:line="189" w:lineRule="exact"/>
              <w:rPr>
                <w:sz w:val="20"/>
                <w:szCs w:val="20"/>
                <w:color w:val="auto"/>
              </w:rPr>
            </w:pPr>
            <w:r>
              <w:rPr>
                <w:rFonts w:ascii="Times New Roman" w:cs="Times New Roman" w:eastAsia="Times New Roman" w:hAnsi="Times New Roman"/>
                <w:sz w:val="17"/>
                <w:szCs w:val="17"/>
                <w:color w:val="auto"/>
              </w:rPr>
              <w:t>Diluted (1)</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65,478,677</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65,423,232</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65,772,973</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65,038,584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83" w:lineRule="exact"/>
        <w:rPr>
          <w:sz w:val="20"/>
          <w:szCs w:val="20"/>
          <w:color w:val="auto"/>
        </w:rPr>
      </w:pPr>
    </w:p>
    <w:p>
      <w:pPr>
        <w:ind w:left="2320" w:right="620" w:hanging="2320"/>
        <w:spacing w:after="0" w:line="513" w:lineRule="auto"/>
        <w:tabs>
          <w:tab w:leader="none" w:pos="29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Prior period results have been adjusted to reflect the three-for-one stock split effected in the form of a stock dividend in March 2022. See Note 1 for details. </w:t>
      </w: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Equity</w:t>
      </w:r>
    </w:p>
    <w:p>
      <w:pPr>
        <w:spacing w:after="0" w:line="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b w:val="1"/>
          <w:bCs w:val="1"/>
          <w:color w:val="auto"/>
        </w:rPr>
        <w:t>For the Six Months Ended June 30, 2022 and 2021</w:t>
      </w:r>
    </w:p>
    <w:p>
      <w:pPr>
        <w:spacing w:after="0" w:line="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i w:val="1"/>
          <w:iCs w:val="1"/>
          <w:color w:val="auto"/>
        </w:rPr>
        <w:t>(In thousands, except share and per share data)</w:t>
      </w:r>
    </w:p>
    <w:p>
      <w:pPr>
        <w:spacing w:after="0" w:line="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6"/>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4"/>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6"/>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Stock Class A</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7"/>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w w:val="96"/>
              </w:rPr>
              <w:t>Stock Class B</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79"/>
        </w:trPr>
        <w:tc>
          <w:tcPr>
            <w:tcW w:w="11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3"/>
          </w:tcPr>
          <w:p>
            <w:pPr>
              <w:jc w:val="center"/>
              <w:spacing w:after="0" w:line="179" w:lineRule="exact"/>
              <w:rPr>
                <w:sz w:val="20"/>
                <w:szCs w:val="20"/>
                <w:color w:val="auto"/>
              </w:rPr>
            </w:pPr>
            <w:r>
              <w:rPr>
                <w:rFonts w:ascii="Times New Roman" w:cs="Times New Roman" w:eastAsia="Times New Roman" w:hAnsi="Times New Roman"/>
                <w:sz w:val="17"/>
                <w:szCs w:val="17"/>
                <w:b w:val="1"/>
                <w:bCs w:val="1"/>
                <w:color w:val="auto"/>
                <w:w w:val="97"/>
              </w:rPr>
              <w:t>Accumulated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9"/>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6"/>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Additional Paid-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6"/>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w w:val="95"/>
              </w:rPr>
              <w:t>Statutory Surplus</w:t>
            </w:r>
          </w:p>
        </w:tc>
        <w:tc>
          <w:tcPr>
            <w:tcW w:w="120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Comprehensive</w:t>
            </w:r>
          </w:p>
        </w:tc>
        <w:tc>
          <w:tcPr>
            <w:tcW w:w="1200" w:type="dxa"/>
            <w:vAlign w:val="bottom"/>
            <w:gridSpan w:val="6"/>
          </w:tcPr>
          <w:p>
            <w:pPr>
              <w:ind w:left="40"/>
              <w:spacing w:after="0"/>
              <w:rPr>
                <w:sz w:val="20"/>
                <w:szCs w:val="20"/>
                <w:color w:val="auto"/>
              </w:rPr>
            </w:pPr>
            <w:r>
              <w:rPr>
                <w:rFonts w:ascii="Times New Roman" w:cs="Times New Roman" w:eastAsia="Times New Roman" w:hAnsi="Times New Roman"/>
                <w:sz w:val="17"/>
                <w:szCs w:val="17"/>
                <w:b w:val="1"/>
                <w:bCs w:val="1"/>
                <w:color w:val="auto"/>
                <w:w w:val="98"/>
              </w:rPr>
              <w:t>Non-controlling</w:t>
            </w:r>
          </w:p>
        </w:tc>
        <w:tc>
          <w:tcPr>
            <w:tcW w:w="60" w:type="dxa"/>
            <w:vAlign w:val="bottom"/>
          </w:tcPr>
          <w:p>
            <w:pPr>
              <w:spacing w:after="0"/>
              <w:rPr>
                <w:sz w:val="17"/>
                <w:szCs w:val="17"/>
                <w:color w:val="auto"/>
              </w:rPr>
            </w:pPr>
          </w:p>
        </w:tc>
        <w:tc>
          <w:tcPr>
            <w:tcW w:w="68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2"/>
              </w:rPr>
              <w:t>Total</w:t>
            </w:r>
          </w:p>
        </w:tc>
      </w:tr>
      <w:tr>
        <w:trPr>
          <w:trHeight w:val="22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w w:val="95"/>
              </w:rPr>
              <w:t>Shares (1)</w:t>
            </w:r>
          </w:p>
        </w:tc>
        <w:tc>
          <w:tcPr>
            <w:tcW w:w="720" w:type="dxa"/>
            <w:vAlign w:val="bottom"/>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40" w:type="dxa"/>
            <w:vAlign w:val="bottom"/>
          </w:tcPr>
          <w:p>
            <w:pPr>
              <w:spacing w:after="0"/>
              <w:rPr>
                <w:sz w:val="19"/>
                <w:szCs w:val="19"/>
                <w:color w:val="auto"/>
              </w:rPr>
            </w:pP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95"/>
              </w:rPr>
              <w:t>Shares (1)</w:t>
            </w:r>
          </w:p>
        </w:tc>
        <w:tc>
          <w:tcPr>
            <w:tcW w:w="66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4"/>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in Capital</w:t>
            </w:r>
          </w:p>
        </w:tc>
        <w:tc>
          <w:tcPr>
            <w:tcW w:w="1460" w:type="dxa"/>
            <w:vAlign w:val="bottom"/>
            <w:gridSpan w:val="6"/>
          </w:tcPr>
          <w:p>
            <w:pPr>
              <w:ind w:left="80"/>
              <w:spacing w:after="0"/>
              <w:rPr>
                <w:sz w:val="20"/>
                <w:szCs w:val="20"/>
                <w:color w:val="auto"/>
              </w:rPr>
            </w:pPr>
            <w:r>
              <w:rPr>
                <w:rFonts w:ascii="Times New Roman" w:cs="Times New Roman" w:eastAsia="Times New Roman" w:hAnsi="Times New Roman"/>
                <w:sz w:val="17"/>
                <w:szCs w:val="17"/>
                <w:b w:val="1"/>
                <w:bCs w:val="1"/>
                <w:color w:val="auto"/>
              </w:rPr>
              <w:t>Retained earnings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Reserve</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interests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7"/>
              </w:rPr>
              <w:t>Equity</w:t>
            </w:r>
          </w:p>
        </w:tc>
      </w:tr>
      <w:tr>
        <w:trPr>
          <w:trHeight w:val="179"/>
        </w:trPr>
        <w:tc>
          <w:tcPr>
            <w:tcW w:w="1160" w:type="dxa"/>
            <w:vAlign w:val="bottom"/>
            <w:gridSpan w:val="2"/>
            <w:shd w:val="clear" w:color="auto" w:fill="CCEEFF"/>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Balance at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99"/>
        </w:trPr>
        <w:tc>
          <w:tcPr>
            <w:tcW w:w="1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December</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0"/>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31, 2020</w:t>
            </w:r>
          </w:p>
        </w:tc>
        <w:tc>
          <w:tcPr>
            <w:tcW w:w="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96"/>
              </w:rPr>
              <w:t>50,690,079</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5</w:t>
            </w:r>
          </w:p>
        </w:tc>
        <w:tc>
          <w:tcPr>
            <w:tcW w:w="8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5,407,818</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w:t>
            </w:r>
          </w:p>
        </w:tc>
        <w:tc>
          <w:tcPr>
            <w:tcW w:w="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102,000</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29,899</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4,388</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4,857</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67,020</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$208,170</w:t>
            </w:r>
          </w:p>
        </w:tc>
      </w:tr>
      <w:tr>
        <w:trPr>
          <w:trHeight w:val="199"/>
        </w:trPr>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12,037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1,119</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13,156</w:t>
            </w:r>
          </w:p>
        </w:tc>
      </w:tr>
      <w:tr>
        <w:trPr>
          <w:trHeight w:val="183"/>
        </w:trPr>
        <w:tc>
          <w:tcPr>
            <w:tcW w:w="116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Foreign</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99"/>
        </w:trPr>
        <w:tc>
          <w:tcPr>
            <w:tcW w:w="1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currency</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9"/>
        </w:trPr>
        <w:tc>
          <w:tcPr>
            <w:tcW w:w="1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translation</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9"/>
        </w:trPr>
        <w:tc>
          <w:tcPr>
            <w:tcW w:w="1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1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of tax</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594</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1,668</w:t>
            </w:r>
          </w:p>
        </w:tc>
      </w:tr>
      <w:tr>
        <w:trPr>
          <w:trHeight w:val="183"/>
        </w:trPr>
        <w:tc>
          <w:tcPr>
            <w:tcW w:w="116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auto"/>
              </w:rPr>
              <w:t>Exercise of</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stock options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1,302,102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2,197</w:t>
            </w:r>
          </w:p>
        </w:tc>
      </w:tr>
      <w:tr>
        <w:trPr>
          <w:trHeight w:val="183"/>
        </w:trPr>
        <w:tc>
          <w:tcPr>
            <w:tcW w:w="116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Stock-based</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16"/>
        </w:trPr>
        <w:tc>
          <w:tcPr>
            <w:tcW w:w="1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compensation</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2,545</w:t>
            </w:r>
          </w:p>
        </w:tc>
      </w:tr>
      <w:tr>
        <w:trPr>
          <w:trHeight w:val="183"/>
        </w:trPr>
        <w:tc>
          <w:tcPr>
            <w:tcW w:w="116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auto"/>
              </w:rPr>
              <w:t>Exercise of</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9"/>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stock</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warrants</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728,043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1,820</w:t>
            </w:r>
          </w:p>
        </w:tc>
      </w:tr>
      <w:tr>
        <w:trPr>
          <w:trHeight w:val="183"/>
        </w:trPr>
        <w:tc>
          <w:tcPr>
            <w:tcW w:w="116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Conversion of</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99"/>
        </w:trPr>
        <w:tc>
          <w:tcPr>
            <w:tcW w:w="1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Class B</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9"/>
        </w:trPr>
        <w:tc>
          <w:tcPr>
            <w:tcW w:w="1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9"/>
        </w:trPr>
        <w:tc>
          <w:tcPr>
            <w:tcW w:w="1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 to Class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9"/>
        </w:trPr>
        <w:tc>
          <w:tcPr>
            <w:tcW w:w="1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 common</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0"/>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w:t>
            </w:r>
          </w:p>
        </w:tc>
        <w:tc>
          <w:tcPr>
            <w:tcW w:w="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285,003</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9"/>
              </w:rPr>
              <w:t>(285,003)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179"/>
        </w:trPr>
        <w:tc>
          <w:tcPr>
            <w:tcW w:w="1140" w:type="dxa"/>
            <w:vAlign w:val="bottom"/>
            <w:tcBorders>
              <w:top w:val="single" w:sz="8" w:color="CCEEFF"/>
            </w:tcBorders>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Balance at</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r>
      <w:tr>
        <w:trPr>
          <w:trHeight w:val="199"/>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114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96"/>
              </w:rPr>
              <w:t>53,005,227</w:t>
            </w:r>
          </w:p>
        </w:tc>
        <w:tc>
          <w:tcPr>
            <w:tcW w:w="1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5</w:t>
            </w:r>
          </w:p>
        </w:tc>
        <w:tc>
          <w:tcPr>
            <w:tcW w:w="840" w:type="dxa"/>
            <w:vAlign w:val="bottom"/>
            <w:gridSpan w:val="5"/>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5,122,815</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108,562</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41,936</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4,388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5,931</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68,733</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229,556</w:t>
            </w:r>
          </w:p>
        </w:tc>
      </w:tr>
      <w:tr>
        <w:trPr>
          <w:trHeight w:val="20"/>
        </w:trPr>
        <w:tc>
          <w:tcPr>
            <w:tcW w:w="1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7"/>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6"/>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7"/>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Stock Class A</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Stock Class B</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79"/>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80" w:type="dxa"/>
            <w:vAlign w:val="bottom"/>
            <w:gridSpan w:val="6"/>
          </w:tcPr>
          <w:p>
            <w:pPr>
              <w:jc w:val="center"/>
              <w:ind w:right="140"/>
              <w:spacing w:after="0" w:line="179" w:lineRule="exact"/>
              <w:rPr>
                <w:sz w:val="20"/>
                <w:szCs w:val="20"/>
                <w:color w:val="auto"/>
              </w:rPr>
            </w:pPr>
            <w:r>
              <w:rPr>
                <w:rFonts w:ascii="Times New Roman" w:cs="Times New Roman" w:eastAsia="Times New Roman" w:hAnsi="Times New Roman"/>
                <w:sz w:val="17"/>
                <w:szCs w:val="17"/>
                <w:b w:val="1"/>
                <w:bCs w:val="1"/>
                <w:color w:val="auto"/>
                <w:w w:val="97"/>
              </w:rPr>
              <w:t>Accumulated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9"/>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Statutory</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7"/>
          </w:tcPr>
          <w:p>
            <w:pPr>
              <w:ind w:left="100"/>
              <w:spacing w:after="0"/>
              <w:rPr>
                <w:sz w:val="20"/>
                <w:szCs w:val="20"/>
                <w:color w:val="auto"/>
              </w:rPr>
            </w:pPr>
            <w:r>
              <w:rPr>
                <w:rFonts w:ascii="Times New Roman" w:cs="Times New Roman" w:eastAsia="Times New Roman" w:hAnsi="Times New Roman"/>
                <w:sz w:val="17"/>
                <w:szCs w:val="17"/>
                <w:b w:val="1"/>
                <w:bCs w:val="1"/>
                <w:color w:val="auto"/>
              </w:rPr>
              <w:t>Additional Paid-</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Surplus</w:t>
            </w:r>
          </w:p>
        </w:tc>
        <w:tc>
          <w:tcPr>
            <w:tcW w:w="1280" w:type="dxa"/>
            <w:vAlign w:val="bottom"/>
            <w:gridSpan w:val="6"/>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Comprehensive</w:t>
            </w:r>
          </w:p>
        </w:tc>
        <w:tc>
          <w:tcPr>
            <w:tcW w:w="120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Non-controlling</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2"/>
              </w:rPr>
              <w:t>Total</w:t>
            </w:r>
          </w:p>
        </w:tc>
      </w:tr>
      <w:tr>
        <w:trPr>
          <w:trHeight w:val="22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7"/>
                <w:szCs w:val="17"/>
                <w:b w:val="1"/>
                <w:bCs w:val="1"/>
                <w:color w:val="auto"/>
              </w:rPr>
              <w:t>Shares (1)</w:t>
            </w:r>
          </w:p>
        </w:tc>
        <w:tc>
          <w:tcPr>
            <w:tcW w:w="62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100" w:type="dxa"/>
            <w:vAlign w:val="bottom"/>
          </w:tcPr>
          <w:p>
            <w:pPr>
              <w:spacing w:after="0"/>
              <w:rPr>
                <w:sz w:val="19"/>
                <w:szCs w:val="19"/>
                <w:color w:val="auto"/>
              </w:rPr>
            </w:pPr>
          </w:p>
        </w:tc>
        <w:tc>
          <w:tcPr>
            <w:tcW w:w="860" w:type="dxa"/>
            <w:vAlign w:val="bottom"/>
            <w:gridSpan w:val="5"/>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95"/>
              </w:rPr>
              <w:t>Shares (1)</w:t>
            </w:r>
          </w:p>
        </w:tc>
        <w:tc>
          <w:tcPr>
            <w:tcW w:w="64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5"/>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in Capital</w:t>
            </w:r>
          </w:p>
        </w:tc>
        <w:tc>
          <w:tcPr>
            <w:tcW w:w="14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Retained earnings</w:t>
            </w:r>
          </w:p>
        </w:tc>
        <w:tc>
          <w:tcPr>
            <w:tcW w:w="780" w:type="dxa"/>
            <w:vAlign w:val="bottom"/>
            <w:gridSpan w:val="2"/>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Reserve</w:t>
            </w:r>
          </w:p>
        </w:tc>
        <w:tc>
          <w:tcPr>
            <w:tcW w:w="1280" w:type="dxa"/>
            <w:vAlign w:val="bottom"/>
            <w:gridSpan w:val="6"/>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Income (Loss)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w w:val="94"/>
              </w:rPr>
              <w:t>interests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4"/>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Equity</w:t>
            </w:r>
          </w:p>
        </w:tc>
      </w:tr>
      <w:tr>
        <w:trPr>
          <w:trHeight w:val="179"/>
        </w:trPr>
        <w:tc>
          <w:tcPr>
            <w:tcW w:w="1160" w:type="dxa"/>
            <w:vAlign w:val="bottom"/>
            <w:gridSpan w:val="2"/>
            <w:shd w:val="clear" w:color="auto" w:fill="CCEEFF"/>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Balance at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9"/>
        </w:trPr>
        <w:tc>
          <w:tcPr>
            <w:tcW w:w="1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 w:type="dxa"/>
            <w:vAlign w:val="bottom"/>
            <w:shd w:val="clear" w:color="auto" w:fill="CCEEFF"/>
          </w:tcPr>
          <w:p>
            <w:pPr>
              <w:spacing w:after="0"/>
              <w:rPr>
                <w:sz w:val="19"/>
                <w:szCs w:val="19"/>
                <w:color w:val="auto"/>
              </w:rPr>
            </w:pPr>
          </w:p>
        </w:tc>
        <w:tc>
          <w:tcPr>
            <w:tcW w:w="1020" w:type="dxa"/>
            <w:vAlign w:val="bottom"/>
            <w:gridSpan w:val="5"/>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53,608,929</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9"/>
                <w:szCs w:val="19"/>
                <w:color w:val="auto"/>
              </w:rPr>
            </w:pPr>
          </w:p>
        </w:tc>
        <w:tc>
          <w:tcPr>
            <w:tcW w:w="1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5,087,814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9"/>
                <w:szCs w:val="19"/>
                <w:color w:val="auto"/>
              </w:rPr>
            </w:pPr>
          </w:p>
        </w:tc>
        <w:tc>
          <w:tcPr>
            <w:tcW w:w="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595,045</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right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63,732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8,312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9,109</w:t>
            </w: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135,461</w:t>
            </w:r>
          </w:p>
        </w:tc>
        <w:tc>
          <w:tcPr>
            <w:tcW w:w="80" w:type="dxa"/>
            <w:vAlign w:val="bottom"/>
            <w:shd w:val="clear" w:color="auto" w:fill="CCEEFF"/>
          </w:tcPr>
          <w:p>
            <w:pPr>
              <w:spacing w:after="0"/>
              <w:rPr>
                <w:sz w:val="19"/>
                <w:szCs w:val="19"/>
                <w:color w:val="auto"/>
              </w:rPr>
            </w:pPr>
          </w:p>
        </w:tc>
        <w:tc>
          <w:tcPr>
            <w:tcW w:w="780" w:type="dxa"/>
            <w:vAlign w:val="bottom"/>
            <w:tcBorders>
              <w:left w:val="single" w:sz="8" w:color="CCEEFF"/>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$ 811,665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9"/>
        </w:trPr>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112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6,450</w:t>
            </w:r>
          </w:p>
        </w:tc>
        <w:tc>
          <w:tcPr>
            <w:tcW w:w="180" w:type="dxa"/>
            <w:vAlign w:val="bottom"/>
          </w:tcPr>
          <w:p>
            <w:pPr>
              <w:spacing w:after="0"/>
              <w:rPr>
                <w:sz w:val="17"/>
                <w:szCs w:val="17"/>
                <w:color w:val="auto"/>
              </w:rPr>
            </w:pPr>
          </w:p>
        </w:tc>
        <w:tc>
          <w:tcPr>
            <w:tcW w:w="6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9,305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3"/>
        </w:trPr>
        <w:tc>
          <w:tcPr>
            <w:tcW w:w="116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w w:val="97"/>
              </w:rPr>
              <w:t>Foreign currency</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9"/>
        </w:trPr>
        <w:tc>
          <w:tcPr>
            <w:tcW w:w="1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translation</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1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96"/>
              </w:rPr>
              <w:t>adjustment, net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of tax</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(31,742)</w:t>
            </w: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(6,176)</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(37,918)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3"/>
        </w:trPr>
        <w:tc>
          <w:tcPr>
            <w:tcW w:w="116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auto"/>
                <w:w w:val="97"/>
              </w:rPr>
              <w:t>Exercise of stock</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options</w:t>
            </w:r>
          </w:p>
        </w:tc>
        <w:tc>
          <w:tcPr>
            <w:tcW w:w="1020" w:type="dxa"/>
            <w:vAlign w:val="bottom"/>
            <w:gridSpan w:val="5"/>
          </w:tcPr>
          <w:p>
            <w:pPr>
              <w:jc w:val="right"/>
              <w:ind w:right="37"/>
              <w:spacing w:after="0"/>
              <w:rPr>
                <w:sz w:val="20"/>
                <w:szCs w:val="20"/>
                <w:color w:val="auto"/>
              </w:rPr>
            </w:pPr>
            <w:r>
              <w:rPr>
                <w:rFonts w:ascii="Times New Roman" w:cs="Times New Roman" w:eastAsia="Times New Roman" w:hAnsi="Times New Roman"/>
                <w:sz w:val="17"/>
                <w:szCs w:val="17"/>
                <w:color w:val="auto"/>
              </w:rPr>
              <w:t>531,874</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w w:val="93"/>
              </w:rPr>
              <w:t>750</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3"/>
        </w:trPr>
        <w:tc>
          <w:tcPr>
            <w:tcW w:w="116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Stock-based</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1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compensation</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3,343</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3"/>
        </w:trPr>
        <w:tc>
          <w:tcPr>
            <w:tcW w:w="116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auto"/>
              </w:rPr>
              <w:t>Conversion of</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9"/>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Class B</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to Class A</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1020" w:type="dxa"/>
            <w:vAlign w:val="bottom"/>
            <w:gridSpan w:val="5"/>
          </w:tcPr>
          <w:p>
            <w:pPr>
              <w:jc w:val="right"/>
              <w:ind w:right="37"/>
              <w:spacing w:after="0"/>
              <w:rPr>
                <w:sz w:val="20"/>
                <w:szCs w:val="20"/>
                <w:color w:val="auto"/>
              </w:rPr>
            </w:pPr>
            <w:r>
              <w:rPr>
                <w:rFonts w:ascii="Times New Roman" w:cs="Times New Roman" w:eastAsia="Times New Roman" w:hAnsi="Times New Roman"/>
                <w:sz w:val="17"/>
                <w:szCs w:val="17"/>
                <w:color w:val="auto"/>
              </w:rPr>
              <w:t>1,002</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6"/>
          </w:tcPr>
          <w:p>
            <w:pPr>
              <w:jc w:val="right"/>
              <w:ind w:right="80"/>
              <w:spacing w:after="0"/>
              <w:rPr>
                <w:sz w:val="20"/>
                <w:szCs w:val="20"/>
                <w:color w:val="auto"/>
              </w:rPr>
            </w:pPr>
            <w:r>
              <w:rPr>
                <w:rFonts w:ascii="Times New Roman" w:cs="Times New Roman" w:eastAsia="Times New Roman" w:hAnsi="Times New Roman"/>
                <w:sz w:val="17"/>
                <w:szCs w:val="17"/>
                <w:color w:val="auto"/>
              </w:rPr>
              <w:t>(1,002)</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79"/>
        </w:trPr>
        <w:tc>
          <w:tcPr>
            <w:tcW w:w="1160" w:type="dxa"/>
            <w:vAlign w:val="bottom"/>
            <w:gridSpan w:val="2"/>
            <w:shd w:val="clear" w:color="auto" w:fill="CCEEFF"/>
          </w:tcPr>
          <w:p>
            <w:pPr>
              <w:spacing w:after="0" w:line="179" w:lineRule="exact"/>
              <w:rPr>
                <w:sz w:val="20"/>
                <w:szCs w:val="20"/>
                <w:color w:val="auto"/>
              </w:rPr>
            </w:pPr>
            <w:r>
              <w:rPr>
                <w:rFonts w:ascii="Times New Roman" w:cs="Times New Roman" w:eastAsia="Times New Roman" w:hAnsi="Times New Roman"/>
                <w:sz w:val="17"/>
                <w:szCs w:val="17"/>
                <w:b w:val="1"/>
                <w:bCs w:val="1"/>
                <w:color w:val="auto"/>
                <w:w w:val="98"/>
              </w:rPr>
              <w:t>Balance at June</w:t>
            </w:r>
          </w:p>
        </w:tc>
        <w:tc>
          <w:tcPr>
            <w:tcW w:w="80" w:type="dxa"/>
            <w:vAlign w:val="bottom"/>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top w:val="single" w:sz="8" w:color="auto"/>
              <w:left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top w:val="single" w:sz="8" w:color="auto"/>
              <w:left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40"/>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30, 2022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54,141,805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20"/>
                <w:szCs w:val="20"/>
                <w:color w:val="auto"/>
              </w:rPr>
            </w:pPr>
          </w:p>
        </w:tc>
        <w:tc>
          <w:tcPr>
            <w:tcW w:w="1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shd w:val="clear" w:color="auto" w:fill="CCEEFF"/>
          </w:tcPr>
          <w:p>
            <w:pPr>
              <w:spacing w:after="0"/>
              <w:rPr>
                <w:sz w:val="20"/>
                <w:szCs w:val="20"/>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5,086,812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20"/>
                <w:szCs w:val="20"/>
                <w:color w:val="auto"/>
              </w:rPr>
            </w:pPr>
          </w:p>
        </w:tc>
        <w:tc>
          <w:tcPr>
            <w:tcW w:w="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599,138</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right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70,182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8,312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(22,633)</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132,140</w:t>
            </w:r>
          </w:p>
        </w:tc>
        <w:tc>
          <w:tcPr>
            <w:tcW w:w="80" w:type="dxa"/>
            <w:vAlign w:val="bottom"/>
            <w:shd w:val="clear" w:color="auto" w:fill="CCEEFF"/>
          </w:tcPr>
          <w:p>
            <w:pPr>
              <w:spacing w:after="0"/>
              <w:rPr>
                <w:sz w:val="20"/>
                <w:szCs w:val="20"/>
                <w:color w:val="auto"/>
              </w:rPr>
            </w:pPr>
          </w:p>
        </w:tc>
        <w:tc>
          <w:tcPr>
            <w:tcW w:w="780" w:type="dxa"/>
            <w:vAlign w:val="bottom"/>
            <w:tcBorders>
              <w:left w:val="single" w:sz="8" w:color="CCEEFF"/>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$ 787,145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3" w:lineRule="exact"/>
        <w:rPr>
          <w:sz w:val="20"/>
          <w:szCs w:val="20"/>
          <w:color w:val="auto"/>
        </w:rPr>
      </w:pPr>
    </w:p>
    <w:p>
      <w:pPr>
        <w:ind w:left="2320" w:right="740" w:hanging="2320"/>
        <w:spacing w:after="0" w:line="513" w:lineRule="auto"/>
        <w:tabs>
          <w:tab w:leader="none" w:pos="29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Prior period results have been adjusted to reflect the three-for-one stock split effected in the form of a stock dividend in March 2022. See Note 1 for details </w:t>
      </w: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ectPr>
          <w:pgSz w:w="11900" w:h="16838" w:orient="portrait"/>
          <w:cols w:equalWidth="0" w:num="1">
            <w:col w:w="11320"/>
          </w:cols>
          <w:pgMar w:left="320" w:top="118" w:right="259" w:bottom="1440" w:gutter="0" w:footer="0" w:header="0"/>
        </w:sectPr>
      </w:pPr>
    </w:p>
    <w:p>
      <w:pPr>
        <w:spacing w:after="0" w:line="1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320"/>
          </w:cols>
          <w:pgMar w:left="320" w:top="118" w:right="25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11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333"/>
        </w:trPr>
        <w:tc>
          <w:tcPr>
            <w:tcW w:w="9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8"/>
          </w:tcPr>
          <w:p>
            <w:pPr>
              <w:jc w:val="center"/>
              <w:ind w:left="57"/>
              <w:spacing w:after="0"/>
              <w:rPr>
                <w:sz w:val="20"/>
                <w:szCs w:val="20"/>
                <w:color w:val="auto"/>
              </w:rPr>
            </w:pPr>
            <w:r>
              <w:rPr>
                <w:rFonts w:ascii="Times New Roman" w:cs="Times New Roman" w:eastAsia="Times New Roman" w:hAnsi="Times New Roman"/>
                <w:sz w:val="17"/>
                <w:szCs w:val="17"/>
                <w:b w:val="1"/>
                <w:bCs w:val="1"/>
                <w:color w:val="auto"/>
                <w:w w:val="97"/>
              </w:rPr>
              <w:t>ACM RESEARCH, INC.</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9"/>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20" w:type="dxa"/>
            <w:vAlign w:val="bottom"/>
            <w:gridSpan w:val="21"/>
          </w:tcPr>
          <w:p>
            <w:pPr>
              <w:jc w:val="center"/>
              <w:ind w:left="217"/>
              <w:spacing w:after="0"/>
              <w:rPr>
                <w:sz w:val="20"/>
                <w:szCs w:val="20"/>
                <w:color w:val="auto"/>
              </w:rPr>
            </w:pPr>
            <w:r>
              <w:rPr>
                <w:rFonts w:ascii="Times New Roman" w:cs="Times New Roman" w:eastAsia="Times New Roman" w:hAnsi="Times New Roman"/>
                <w:sz w:val="17"/>
                <w:szCs w:val="17"/>
                <w:b w:val="1"/>
                <w:bCs w:val="1"/>
                <w:color w:val="auto"/>
                <w:w w:val="97"/>
              </w:rPr>
              <w:t>Condensed Consolidated Statements of Changes in Stockholders’ Equity</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gridSpan w:val="16"/>
          </w:tcPr>
          <w:p>
            <w:pPr>
              <w:jc w:val="center"/>
              <w:ind w:right="257"/>
              <w:spacing w:after="0"/>
              <w:rPr>
                <w:sz w:val="20"/>
                <w:szCs w:val="20"/>
                <w:color w:val="auto"/>
              </w:rPr>
            </w:pPr>
            <w:r>
              <w:rPr>
                <w:rFonts w:ascii="Times New Roman" w:cs="Times New Roman" w:eastAsia="Times New Roman" w:hAnsi="Times New Roman"/>
                <w:sz w:val="17"/>
                <w:szCs w:val="17"/>
                <w:b w:val="1"/>
                <w:bCs w:val="1"/>
                <w:color w:val="auto"/>
                <w:w w:val="97"/>
              </w:rPr>
              <w:t>For the Three Months Ended June 30, 2022 and 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160" w:type="dxa"/>
            <w:vAlign w:val="bottom"/>
            <w:gridSpan w:val="15"/>
          </w:tcPr>
          <w:p>
            <w:pPr>
              <w:jc w:val="center"/>
              <w:ind w:right="677"/>
              <w:spacing w:after="0"/>
              <w:rPr>
                <w:sz w:val="20"/>
                <w:szCs w:val="20"/>
                <w:color w:val="auto"/>
              </w:rPr>
            </w:pPr>
            <w:r>
              <w:rPr>
                <w:rFonts w:ascii="Times New Roman" w:cs="Times New Roman" w:eastAsia="Times New Roman" w:hAnsi="Times New Roman"/>
                <w:sz w:val="17"/>
                <w:szCs w:val="17"/>
                <w:i w:val="1"/>
                <w:iCs w:val="1"/>
                <w:color w:val="auto"/>
                <w:w w:val="96"/>
              </w:rPr>
              <w:t>(In thousands, except share and per share data)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8"/>
        </w:trPr>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5"/>
          </w:tcPr>
          <w:p>
            <w:pPr>
              <w:jc w:val="center"/>
              <w:ind w:left="697"/>
              <w:spacing w:after="0"/>
              <w:rPr>
                <w:sz w:val="20"/>
                <w:szCs w:val="20"/>
                <w:color w:val="auto"/>
              </w:rPr>
            </w:pPr>
            <w:r>
              <w:rPr>
                <w:rFonts w:ascii="Times New Roman" w:cs="Times New Roman" w:eastAsia="Times New Roman" w:hAnsi="Times New Roman"/>
                <w:sz w:val="17"/>
                <w:szCs w:val="17"/>
                <w:i w:val="1"/>
                <w:iCs w:val="1"/>
                <w:color w:val="auto"/>
                <w:w w:val="96"/>
              </w:rPr>
              <w:t>(Unaudited)</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77"/>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4"/>
          </w:tcPr>
          <w:p>
            <w:pPr>
              <w:jc w:val="center"/>
              <w:ind w:left="77"/>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4"/>
          </w:tcPr>
          <w:p>
            <w:pPr>
              <w:jc w:val="center"/>
              <w:ind w:left="77"/>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4"/>
        </w:trPr>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Borders>
              <w:bottom w:val="single" w:sz="8" w:color="auto"/>
            </w:tcBorders>
            <w:gridSpan w:val="4"/>
          </w:tcPr>
          <w:p>
            <w:pPr>
              <w:jc w:val="center"/>
              <w:ind w:left="77"/>
              <w:spacing w:after="0"/>
              <w:rPr>
                <w:sz w:val="20"/>
                <w:szCs w:val="20"/>
                <w:color w:val="auto"/>
              </w:rPr>
            </w:pPr>
            <w:r>
              <w:rPr>
                <w:rFonts w:ascii="Times New Roman" w:cs="Times New Roman" w:eastAsia="Times New Roman" w:hAnsi="Times New Roman"/>
                <w:sz w:val="17"/>
                <w:szCs w:val="17"/>
                <w:b w:val="1"/>
                <w:bCs w:val="1"/>
                <w:color w:val="auto"/>
                <w:w w:val="97"/>
              </w:rPr>
              <w:t>Stock Class A</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gridSpan w:val="4"/>
          </w:tcPr>
          <w:p>
            <w:pPr>
              <w:jc w:val="center"/>
              <w:ind w:left="57"/>
              <w:spacing w:after="0"/>
              <w:rPr>
                <w:sz w:val="20"/>
                <w:szCs w:val="20"/>
                <w:color w:val="auto"/>
              </w:rPr>
            </w:pPr>
            <w:r>
              <w:rPr>
                <w:rFonts w:ascii="Times New Roman" w:cs="Times New Roman" w:eastAsia="Times New Roman" w:hAnsi="Times New Roman"/>
                <w:sz w:val="17"/>
                <w:szCs w:val="17"/>
                <w:b w:val="1"/>
                <w:bCs w:val="1"/>
                <w:color w:val="auto"/>
                <w:w w:val="96"/>
              </w:rPr>
              <w:t>Stock Class B</w:t>
            </w:r>
          </w:p>
        </w:tc>
        <w:tc>
          <w:tcPr>
            <w:tcW w:w="1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79"/>
        </w:trPr>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4"/>
          </w:tcPr>
          <w:p>
            <w:pPr>
              <w:jc w:val="center"/>
              <w:ind w:right="100"/>
              <w:spacing w:after="0" w:line="179" w:lineRule="exact"/>
              <w:rPr>
                <w:sz w:val="20"/>
                <w:szCs w:val="20"/>
                <w:color w:val="auto"/>
              </w:rPr>
            </w:pPr>
            <w:r>
              <w:rPr>
                <w:rFonts w:ascii="Times New Roman" w:cs="Times New Roman" w:eastAsia="Times New Roman" w:hAnsi="Times New Roman"/>
                <w:sz w:val="17"/>
                <w:szCs w:val="17"/>
                <w:b w:val="1"/>
                <w:bCs w:val="1"/>
                <w:color w:val="auto"/>
                <w:w w:val="97"/>
              </w:rPr>
              <w:t>Accumulated</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9"/>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Additional Paid-</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w w:val="95"/>
              </w:rPr>
              <w:t>Statutory Surplus</w:t>
            </w:r>
          </w:p>
        </w:tc>
        <w:tc>
          <w:tcPr>
            <w:tcW w:w="100" w:type="dxa"/>
            <w:vAlign w:val="bottom"/>
          </w:tcPr>
          <w:p>
            <w:pPr>
              <w:spacing w:after="0"/>
              <w:rPr>
                <w:sz w:val="17"/>
                <w:szCs w:val="17"/>
                <w:color w:val="auto"/>
              </w:rPr>
            </w:pPr>
          </w:p>
        </w:tc>
        <w:tc>
          <w:tcPr>
            <w:tcW w:w="1200" w:type="dxa"/>
            <w:vAlign w:val="bottom"/>
            <w:gridSpan w:val="4"/>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Comprehensive</w:t>
            </w:r>
          </w:p>
        </w:tc>
        <w:tc>
          <w:tcPr>
            <w:tcW w:w="12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Non-controlling</w:t>
            </w:r>
          </w:p>
        </w:tc>
        <w:tc>
          <w:tcPr>
            <w:tcW w:w="6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0"/>
        </w:trPr>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5"/>
              </w:rPr>
              <w:t>Shares (1)</w:t>
            </w:r>
          </w:p>
        </w:tc>
        <w:tc>
          <w:tcPr>
            <w:tcW w:w="6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5"/>
              </w:rPr>
              <w:t>Shares (1)</w:t>
            </w:r>
          </w:p>
        </w:tc>
        <w:tc>
          <w:tcPr>
            <w:tcW w:w="20" w:type="dxa"/>
            <w:vAlign w:val="bottom"/>
          </w:tcPr>
          <w:p>
            <w:pPr>
              <w:spacing w:after="0"/>
              <w:rPr>
                <w:sz w:val="19"/>
                <w:szCs w:val="19"/>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in Capital</w:t>
            </w:r>
          </w:p>
        </w:tc>
        <w:tc>
          <w:tcPr>
            <w:tcW w:w="20" w:type="dxa"/>
            <w:vAlign w:val="bottom"/>
          </w:tcPr>
          <w:p>
            <w:pPr>
              <w:spacing w:after="0"/>
              <w:rPr>
                <w:sz w:val="19"/>
                <w:szCs w:val="19"/>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Retained earnings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Reserve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6"/>
              </w:rPr>
              <w:t>Income</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interests</w:t>
            </w:r>
          </w:p>
        </w:tc>
        <w:tc>
          <w:tcPr>
            <w:tcW w:w="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w w:val="97"/>
              </w:rPr>
              <w:t>Equity</w:t>
            </w:r>
          </w:p>
        </w:tc>
      </w:tr>
      <w:tr>
        <w:trPr>
          <w:trHeight w:val="179"/>
        </w:trPr>
        <w:tc>
          <w:tcPr>
            <w:tcW w:w="1100" w:type="dxa"/>
            <w:vAlign w:val="bottom"/>
            <w:gridSpan w:val="2"/>
            <w:shd w:val="clear" w:color="auto" w:fill="CCEEFF"/>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Balance at</w:t>
            </w: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99"/>
        </w:trPr>
        <w:tc>
          <w:tcPr>
            <w:tcW w:w="1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20"/>
        </w:trPr>
        <w:tc>
          <w:tcPr>
            <w:tcW w:w="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2021</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51,719,901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5</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5,307,816</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104,587</w:t>
            </w: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35,369</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4,388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3,961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66,936</w:t>
            </w:r>
          </w:p>
        </w:tc>
        <w:tc>
          <w:tcPr>
            <w:tcW w:w="6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215,247</w:t>
            </w:r>
          </w:p>
        </w:tc>
        <w:tc>
          <w:tcPr>
            <w:tcW w:w="60" w:type="dxa"/>
            <w:vAlign w:val="bottom"/>
          </w:tcPr>
          <w:p>
            <w:pPr>
              <w:spacing w:after="0"/>
              <w:rPr>
                <w:sz w:val="19"/>
                <w:szCs w:val="19"/>
                <w:color w:val="auto"/>
              </w:rPr>
            </w:pPr>
          </w:p>
        </w:tc>
      </w:tr>
      <w:tr>
        <w:trPr>
          <w:trHeight w:val="199"/>
        </w:trPr>
        <w:tc>
          <w:tcPr>
            <w:tcW w:w="1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6,567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767</w:t>
            </w:r>
          </w:p>
        </w:tc>
        <w:tc>
          <w:tcPr>
            <w:tcW w:w="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7,334</w:t>
            </w:r>
          </w:p>
        </w:tc>
        <w:tc>
          <w:tcPr>
            <w:tcW w:w="60" w:type="dxa"/>
            <w:vAlign w:val="bottom"/>
          </w:tcPr>
          <w:p>
            <w:pPr>
              <w:spacing w:after="0"/>
              <w:rPr>
                <w:sz w:val="17"/>
                <w:szCs w:val="17"/>
                <w:color w:val="auto"/>
              </w:rPr>
            </w:pPr>
          </w:p>
        </w:tc>
      </w:tr>
      <w:tr>
        <w:trPr>
          <w:trHeight w:val="183"/>
        </w:trPr>
        <w:tc>
          <w:tcPr>
            <w:tcW w:w="110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Foreign</w:t>
            </w: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99"/>
        </w:trPr>
        <w:tc>
          <w:tcPr>
            <w:tcW w:w="1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currency</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1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translation</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1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adjustment,</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of tax</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1,970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1,030</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60" w:type="dxa"/>
            <w:vAlign w:val="bottom"/>
          </w:tcPr>
          <w:p>
            <w:pPr>
              <w:spacing w:after="0"/>
              <w:rPr>
                <w:sz w:val="18"/>
                <w:szCs w:val="18"/>
                <w:color w:val="auto"/>
              </w:rPr>
            </w:pPr>
          </w:p>
        </w:tc>
      </w:tr>
      <w:tr>
        <w:trPr>
          <w:trHeight w:val="183"/>
        </w:trPr>
        <w:tc>
          <w:tcPr>
            <w:tcW w:w="110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auto"/>
              </w:rPr>
              <w:t>Exercise of</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stock options</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372,282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820</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820</w:t>
            </w:r>
          </w:p>
        </w:tc>
        <w:tc>
          <w:tcPr>
            <w:tcW w:w="60" w:type="dxa"/>
            <w:vAlign w:val="bottom"/>
          </w:tcPr>
          <w:p>
            <w:pPr>
              <w:spacing w:after="0"/>
              <w:rPr>
                <w:sz w:val="18"/>
                <w:szCs w:val="18"/>
                <w:color w:val="auto"/>
              </w:rPr>
            </w:pPr>
          </w:p>
        </w:tc>
      </w:tr>
      <w:tr>
        <w:trPr>
          <w:trHeight w:val="183"/>
        </w:trPr>
        <w:tc>
          <w:tcPr>
            <w:tcW w:w="110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Stock-based</w:t>
            </w: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1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compensation</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1,335</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1,335</w:t>
            </w:r>
          </w:p>
        </w:tc>
        <w:tc>
          <w:tcPr>
            <w:tcW w:w="60" w:type="dxa"/>
            <w:vAlign w:val="bottom"/>
          </w:tcPr>
          <w:p>
            <w:pPr>
              <w:spacing w:after="0"/>
              <w:rPr>
                <w:sz w:val="18"/>
                <w:szCs w:val="18"/>
                <w:color w:val="auto"/>
              </w:rPr>
            </w:pPr>
          </w:p>
        </w:tc>
      </w:tr>
      <w:tr>
        <w:trPr>
          <w:trHeight w:val="183"/>
        </w:trPr>
        <w:tc>
          <w:tcPr>
            <w:tcW w:w="110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auto"/>
              </w:rPr>
              <w:t>Exercise of</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warrants</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728,043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1,820</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1,820</w:t>
            </w:r>
          </w:p>
        </w:tc>
        <w:tc>
          <w:tcPr>
            <w:tcW w:w="60" w:type="dxa"/>
            <w:vAlign w:val="bottom"/>
          </w:tcPr>
          <w:p>
            <w:pPr>
              <w:spacing w:after="0"/>
              <w:rPr>
                <w:sz w:val="18"/>
                <w:szCs w:val="18"/>
                <w:color w:val="auto"/>
              </w:rPr>
            </w:pPr>
          </w:p>
        </w:tc>
      </w:tr>
      <w:tr>
        <w:trPr>
          <w:trHeight w:val="183"/>
        </w:trPr>
        <w:tc>
          <w:tcPr>
            <w:tcW w:w="110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Conversion of</w:t>
            </w: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99"/>
        </w:trPr>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B</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shares</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 Class A</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20"/>
        </w:trPr>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shares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185,001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(185,001)</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r>
      <w:tr>
        <w:trPr>
          <w:trHeight w:val="179"/>
        </w:trPr>
        <w:tc>
          <w:tcPr>
            <w:tcW w:w="1100" w:type="dxa"/>
            <w:vAlign w:val="bottom"/>
            <w:tcBorders>
              <w:top w:val="single" w:sz="8" w:color="CCEEFF"/>
            </w:tcBorders>
            <w:gridSpan w:val="2"/>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Balance at</w:t>
            </w:r>
          </w:p>
        </w:tc>
        <w:tc>
          <w:tcPr>
            <w:tcW w:w="80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99"/>
        </w:trPr>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0"/>
        </w:trPr>
        <w:tc>
          <w:tcPr>
            <w:tcW w:w="94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2021</w:t>
            </w: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53,005,227</w:t>
            </w:r>
          </w:p>
        </w:tc>
        <w:tc>
          <w:tcPr>
            <w:tcW w:w="8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5</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5,122,815</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108,562</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41,936</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4,388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5,931</w:t>
            </w:r>
          </w:p>
        </w:tc>
        <w:tc>
          <w:tcPr>
            <w:tcW w:w="8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68,733</w:t>
            </w:r>
          </w:p>
        </w:tc>
        <w:tc>
          <w:tcPr>
            <w:tcW w:w="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97"/>
              </w:rPr>
              <w:t>$</w:t>
            </w:r>
            <w:r>
              <w:rPr>
                <w:rFonts w:ascii="Times New Roman" w:cs="Times New Roman" w:eastAsia="Times New Roman" w:hAnsi="Times New Roman"/>
                <w:sz w:val="17"/>
                <w:szCs w:val="17"/>
                <w:b w:val="1"/>
                <w:bCs w:val="1"/>
                <w:color w:val="auto"/>
                <w:w w:val="97"/>
              </w:rPr>
              <w:t>229,556</w:t>
            </w:r>
          </w:p>
        </w:tc>
        <w:tc>
          <w:tcPr>
            <w:tcW w:w="60" w:type="dxa"/>
            <w:vAlign w:val="bottom"/>
          </w:tcPr>
          <w:p>
            <w:pPr>
              <w:spacing w:after="0"/>
              <w:rPr>
                <w:sz w:val="19"/>
                <w:szCs w:val="19"/>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7"/>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4"/>
          </w:tcPr>
          <w:p>
            <w:pPr>
              <w:jc w:val="center"/>
              <w:ind w:left="77"/>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4"/>
          </w:tcPr>
          <w:p>
            <w:pPr>
              <w:jc w:val="center"/>
              <w:ind w:left="57"/>
              <w:spacing w:after="0"/>
              <w:rPr>
                <w:sz w:val="20"/>
                <w:szCs w:val="20"/>
                <w:color w:val="auto"/>
              </w:rPr>
            </w:pPr>
            <w:r>
              <w:rPr>
                <w:rFonts w:ascii="Times New Roman" w:cs="Times New Roman" w:eastAsia="Times New Roman" w:hAnsi="Times New Roman"/>
                <w:sz w:val="17"/>
                <w:szCs w:val="17"/>
                <w:b w:val="1"/>
                <w:bCs w:val="1"/>
                <w:color w:val="auto"/>
                <w:w w:val="95"/>
              </w:rPr>
              <w:t>Common</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4"/>
        </w:trPr>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Borders>
              <w:bottom w:val="single" w:sz="8" w:color="auto"/>
            </w:tcBorders>
            <w:gridSpan w:val="4"/>
          </w:tcPr>
          <w:p>
            <w:pPr>
              <w:jc w:val="center"/>
              <w:ind w:left="77"/>
              <w:spacing w:after="0"/>
              <w:rPr>
                <w:sz w:val="20"/>
                <w:szCs w:val="20"/>
                <w:color w:val="auto"/>
              </w:rPr>
            </w:pPr>
            <w:r>
              <w:rPr>
                <w:rFonts w:ascii="Times New Roman" w:cs="Times New Roman" w:eastAsia="Times New Roman" w:hAnsi="Times New Roman"/>
                <w:sz w:val="17"/>
                <w:szCs w:val="17"/>
                <w:b w:val="1"/>
                <w:bCs w:val="1"/>
                <w:color w:val="auto"/>
                <w:w w:val="97"/>
              </w:rPr>
              <w:t>Stock Class A</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gridSpan w:val="4"/>
          </w:tcPr>
          <w:p>
            <w:pPr>
              <w:jc w:val="center"/>
              <w:ind w:left="57"/>
              <w:spacing w:after="0"/>
              <w:rPr>
                <w:sz w:val="20"/>
                <w:szCs w:val="20"/>
                <w:color w:val="auto"/>
              </w:rPr>
            </w:pPr>
            <w:r>
              <w:rPr>
                <w:rFonts w:ascii="Times New Roman" w:cs="Times New Roman" w:eastAsia="Times New Roman" w:hAnsi="Times New Roman"/>
                <w:sz w:val="17"/>
                <w:szCs w:val="17"/>
                <w:b w:val="1"/>
                <w:bCs w:val="1"/>
                <w:color w:val="auto"/>
                <w:w w:val="96"/>
              </w:rPr>
              <w:t>Stock Class B</w:t>
            </w:r>
          </w:p>
        </w:tc>
        <w:tc>
          <w:tcPr>
            <w:tcW w:w="1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79"/>
        </w:trPr>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160"/>
              <w:spacing w:after="0" w:line="179" w:lineRule="exact"/>
              <w:rPr>
                <w:sz w:val="20"/>
                <w:szCs w:val="20"/>
                <w:color w:val="auto"/>
              </w:rPr>
            </w:pPr>
            <w:r>
              <w:rPr>
                <w:rFonts w:ascii="Times New Roman" w:cs="Times New Roman" w:eastAsia="Times New Roman" w:hAnsi="Times New Roman"/>
                <w:sz w:val="17"/>
                <w:szCs w:val="17"/>
                <w:b w:val="1"/>
                <w:bCs w:val="1"/>
                <w:color w:val="auto"/>
                <w:w w:val="97"/>
              </w:rPr>
              <w:t>Accumulated</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9"/>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5"/>
          </w:tcPr>
          <w:p>
            <w:pPr>
              <w:ind w:left="40"/>
              <w:spacing w:after="0"/>
              <w:rPr>
                <w:sz w:val="20"/>
                <w:szCs w:val="20"/>
                <w:color w:val="auto"/>
              </w:rPr>
            </w:pPr>
            <w:r>
              <w:rPr>
                <w:rFonts w:ascii="Times New Roman" w:cs="Times New Roman" w:eastAsia="Times New Roman" w:hAnsi="Times New Roman"/>
                <w:sz w:val="17"/>
                <w:szCs w:val="17"/>
                <w:b w:val="1"/>
                <w:bCs w:val="1"/>
                <w:color w:val="auto"/>
              </w:rPr>
              <w:t>Additional Paid-</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w w:val="96"/>
              </w:rPr>
              <w:t>Statutory Surplus</w:t>
            </w:r>
          </w:p>
        </w:tc>
        <w:tc>
          <w:tcPr>
            <w:tcW w:w="100" w:type="dxa"/>
            <w:vAlign w:val="bottom"/>
          </w:tcPr>
          <w:p>
            <w:pPr>
              <w:spacing w:after="0"/>
              <w:rPr>
                <w:sz w:val="17"/>
                <w:szCs w:val="17"/>
                <w:color w:val="auto"/>
              </w:rPr>
            </w:pPr>
          </w:p>
        </w:tc>
        <w:tc>
          <w:tcPr>
            <w:tcW w:w="1200" w:type="dxa"/>
            <w:vAlign w:val="bottom"/>
            <w:gridSpan w:val="4"/>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Comprehensive</w:t>
            </w:r>
          </w:p>
        </w:tc>
        <w:tc>
          <w:tcPr>
            <w:tcW w:w="1220" w:type="dxa"/>
            <w:vAlign w:val="bottom"/>
            <w:gridSpan w:val="5"/>
          </w:tcPr>
          <w:p>
            <w:pPr>
              <w:ind w:left="40"/>
              <w:spacing w:after="0"/>
              <w:rPr>
                <w:sz w:val="20"/>
                <w:szCs w:val="20"/>
                <w:color w:val="auto"/>
              </w:rPr>
            </w:pPr>
            <w:r>
              <w:rPr>
                <w:rFonts w:ascii="Times New Roman" w:cs="Times New Roman" w:eastAsia="Times New Roman" w:hAnsi="Times New Roman"/>
                <w:sz w:val="17"/>
                <w:szCs w:val="17"/>
                <w:b w:val="1"/>
                <w:bCs w:val="1"/>
                <w:color w:val="auto"/>
              </w:rPr>
              <w:t>Non-controlling</w:t>
            </w:r>
          </w:p>
        </w:tc>
        <w:tc>
          <w:tcPr>
            <w:tcW w:w="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0"/>
        </w:trPr>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6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6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in Capital</w:t>
            </w:r>
          </w:p>
        </w:tc>
        <w:tc>
          <w:tcPr>
            <w:tcW w:w="138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Retained earnings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Reserve</w:t>
            </w:r>
          </w:p>
        </w:tc>
        <w:tc>
          <w:tcPr>
            <w:tcW w:w="100" w:type="dxa"/>
            <w:vAlign w:val="bottom"/>
          </w:tcPr>
          <w:p>
            <w:pPr>
              <w:spacing w:after="0"/>
              <w:rPr>
                <w:sz w:val="19"/>
                <w:szCs w:val="19"/>
                <w:color w:val="auto"/>
              </w:rPr>
            </w:pPr>
          </w:p>
        </w:tc>
        <w:tc>
          <w:tcPr>
            <w:tcW w:w="1200" w:type="dxa"/>
            <w:vAlign w:val="bottom"/>
            <w:gridSpan w:val="4"/>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Income (Loss)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interests</w:t>
            </w:r>
          </w:p>
        </w:tc>
        <w:tc>
          <w:tcPr>
            <w:tcW w:w="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Equity</w:t>
            </w:r>
          </w:p>
        </w:tc>
      </w:tr>
      <w:tr>
        <w:trPr>
          <w:trHeight w:val="179"/>
        </w:trPr>
        <w:tc>
          <w:tcPr>
            <w:tcW w:w="1100" w:type="dxa"/>
            <w:vAlign w:val="bottom"/>
            <w:gridSpan w:val="2"/>
            <w:shd w:val="clear" w:color="auto" w:fill="CCEEFF"/>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Balance at</w:t>
            </w: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9"/>
        </w:trPr>
        <w:tc>
          <w:tcPr>
            <w:tcW w:w="1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0"/>
        </w:trPr>
        <w:tc>
          <w:tcPr>
            <w:tcW w:w="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2022</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54,035,280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5</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5,086,812</w:t>
            </w: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597,143</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57,946</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8,312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10,979</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134,388</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$808,774</w:t>
            </w:r>
          </w:p>
        </w:tc>
      </w:tr>
      <w:tr>
        <w:trPr>
          <w:trHeight w:val="199"/>
        </w:trPr>
        <w:tc>
          <w:tcPr>
            <w:tcW w:w="1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12,236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4,512</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16,748</w:t>
            </w:r>
          </w:p>
        </w:tc>
      </w:tr>
      <w:tr>
        <w:trPr>
          <w:trHeight w:val="183"/>
        </w:trPr>
        <w:tc>
          <w:tcPr>
            <w:tcW w:w="110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Foreign</w:t>
            </w: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9"/>
        </w:trPr>
        <w:tc>
          <w:tcPr>
            <w:tcW w:w="1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currency</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1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translation</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1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adjustment,</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of tax</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(33,612)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(6,760)</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(40,372)</w:t>
            </w:r>
          </w:p>
        </w:tc>
      </w:tr>
      <w:tr>
        <w:trPr>
          <w:trHeight w:val="183"/>
        </w:trPr>
        <w:tc>
          <w:tcPr>
            <w:tcW w:w="110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auto"/>
              </w:rPr>
              <w:t>Exercise of</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stock options</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106,525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26</w:t>
            </w:r>
          </w:p>
        </w:tc>
      </w:tr>
      <w:tr>
        <w:trPr>
          <w:trHeight w:val="183"/>
        </w:trPr>
        <w:tc>
          <w:tcPr>
            <w:tcW w:w="110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Stock-based</w:t>
            </w: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0"/>
        </w:trPr>
        <w:tc>
          <w:tcPr>
            <w:tcW w:w="1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compensation</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1,969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1,969</w:t>
            </w:r>
          </w:p>
        </w:tc>
      </w:tr>
      <w:tr>
        <w:trPr>
          <w:trHeight w:val="179"/>
        </w:trPr>
        <w:tc>
          <w:tcPr>
            <w:tcW w:w="1100" w:type="dxa"/>
            <w:vAlign w:val="bottom"/>
            <w:tcBorders>
              <w:top w:val="single" w:sz="8" w:color="CCEEFF"/>
            </w:tcBorders>
            <w:gridSpan w:val="2"/>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Balance at</w:t>
            </w:r>
          </w:p>
        </w:tc>
        <w:tc>
          <w:tcPr>
            <w:tcW w:w="80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r>
      <w:tr>
        <w:trPr>
          <w:trHeight w:val="199"/>
        </w:trPr>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0"/>
        </w:trPr>
        <w:tc>
          <w:tcPr>
            <w:tcW w:w="94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2022</w:t>
            </w: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54,141,805</w:t>
            </w:r>
          </w:p>
        </w:tc>
        <w:tc>
          <w:tcPr>
            <w:tcW w:w="8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5</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5,086,812</w:t>
            </w:r>
          </w:p>
        </w:tc>
        <w:tc>
          <w:tcPr>
            <w:tcW w:w="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60" w:type="dxa"/>
            <w:vAlign w:val="bottom"/>
          </w:tcPr>
          <w:p>
            <w:pPr>
              <w:spacing w:after="0"/>
              <w:rPr>
                <w:sz w:val="19"/>
                <w:szCs w:val="19"/>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599,138</w:t>
            </w:r>
          </w:p>
        </w:tc>
        <w:tc>
          <w:tcPr>
            <w:tcW w:w="80" w:type="dxa"/>
            <w:vAlign w:val="bottom"/>
          </w:tcPr>
          <w:p>
            <w:pPr>
              <w:spacing w:after="0"/>
              <w:rPr>
                <w:sz w:val="19"/>
                <w:szCs w:val="19"/>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70,182</w:t>
            </w:r>
          </w:p>
        </w:tc>
        <w:tc>
          <w:tcPr>
            <w:tcW w:w="80" w:type="dxa"/>
            <w:vAlign w:val="bottom"/>
          </w:tcPr>
          <w:p>
            <w:pPr>
              <w:spacing w:after="0"/>
              <w:rPr>
                <w:sz w:val="19"/>
                <w:szCs w:val="19"/>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8,312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(22,633)</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132,140</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787,145</w:t>
            </w: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Prior period results have been adjusted to reflect the three-for-one stock split effected in the form of a stock dividend in March 2022. See Note 1 for details</w:t>
      </w:r>
    </w:p>
    <w:p>
      <w:pPr>
        <w:spacing w:after="0" w:line="37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340"/>
          </w:cols>
          <w:pgMar w:left="320" w:top="11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9"/>
        </w:trPr>
        <w:tc>
          <w:tcPr>
            <w:tcW w:w="59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33"/>
        </w:trPr>
        <w:tc>
          <w:tcPr>
            <w:tcW w:w="940" w:type="dxa"/>
            <w:vAlign w:val="bottom"/>
            <w:tcBorders>
              <w:top w:val="single" w:sz="8" w:color="0000EE"/>
            </w:tcBorders>
          </w:tcPr>
          <w:p>
            <w:pPr>
              <w:spacing w:after="0"/>
              <w:rPr>
                <w:sz w:val="24"/>
                <w:szCs w:val="24"/>
                <w:color w:val="auto"/>
              </w:rPr>
            </w:pPr>
          </w:p>
        </w:tc>
        <w:tc>
          <w:tcPr>
            <w:tcW w:w="6380" w:type="dxa"/>
            <w:vAlign w:val="bottom"/>
            <w:gridSpan w:val="4"/>
          </w:tcPr>
          <w:p>
            <w:pPr>
              <w:jc w:val="center"/>
              <w:ind w:left="2917"/>
              <w:spacing w:after="0"/>
              <w:rPr>
                <w:sz w:val="20"/>
                <w:szCs w:val="20"/>
                <w:color w:val="auto"/>
              </w:rPr>
            </w:pPr>
            <w:r>
              <w:rPr>
                <w:rFonts w:ascii="Times New Roman" w:cs="Times New Roman" w:eastAsia="Times New Roman" w:hAnsi="Times New Roman"/>
                <w:sz w:val="17"/>
                <w:szCs w:val="17"/>
                <w:b w:val="1"/>
                <w:bCs w:val="1"/>
                <w:color w:val="auto"/>
                <w:w w:val="97"/>
              </w:rPr>
              <w:t>ACM RESEARCH, INC.</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940" w:type="dxa"/>
            <w:vAlign w:val="bottom"/>
          </w:tcPr>
          <w:p>
            <w:pPr>
              <w:spacing w:after="0"/>
              <w:rPr>
                <w:sz w:val="17"/>
                <w:szCs w:val="17"/>
                <w:color w:val="auto"/>
              </w:rPr>
            </w:pPr>
          </w:p>
        </w:tc>
        <w:tc>
          <w:tcPr>
            <w:tcW w:w="6640" w:type="dxa"/>
            <w:vAlign w:val="bottom"/>
            <w:gridSpan w:val="5"/>
          </w:tcPr>
          <w:p>
            <w:pPr>
              <w:jc w:val="center"/>
              <w:ind w:left="2657"/>
              <w:spacing w:after="0"/>
              <w:rPr>
                <w:sz w:val="20"/>
                <w:szCs w:val="20"/>
                <w:color w:val="auto"/>
              </w:rPr>
            </w:pPr>
            <w:r>
              <w:rPr>
                <w:rFonts w:ascii="Times New Roman" w:cs="Times New Roman" w:eastAsia="Times New Roman" w:hAnsi="Times New Roman"/>
                <w:sz w:val="17"/>
                <w:szCs w:val="17"/>
                <w:b w:val="1"/>
                <w:bCs w:val="1"/>
                <w:color w:val="auto"/>
                <w:w w:val="97"/>
              </w:rPr>
              <w:t>Condensed Consolidated Statements of Cash Flows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940" w:type="dxa"/>
            <w:vAlign w:val="bottom"/>
          </w:tcPr>
          <w:p>
            <w:pPr>
              <w:spacing w:after="0"/>
              <w:rPr>
                <w:sz w:val="17"/>
                <w:szCs w:val="17"/>
                <w:color w:val="auto"/>
              </w:rPr>
            </w:pPr>
          </w:p>
        </w:tc>
        <w:tc>
          <w:tcPr>
            <w:tcW w:w="5200" w:type="dxa"/>
            <w:vAlign w:val="bottom"/>
            <w:gridSpan w:val="2"/>
          </w:tcPr>
          <w:p>
            <w:pPr>
              <w:jc w:val="center"/>
              <w:ind w:left="4117"/>
              <w:spacing w:after="0"/>
              <w:rPr>
                <w:sz w:val="20"/>
                <w:szCs w:val="20"/>
                <w:color w:val="auto"/>
              </w:rPr>
            </w:pPr>
            <w:r>
              <w:rPr>
                <w:rFonts w:ascii="Times New Roman" w:cs="Times New Roman" w:eastAsia="Times New Roman" w:hAnsi="Times New Roman"/>
                <w:sz w:val="17"/>
                <w:szCs w:val="17"/>
                <w:i w:val="1"/>
                <w:iCs w:val="1"/>
                <w:color w:val="auto"/>
                <w:w w:val="97"/>
              </w:rPr>
              <w:t>(In thousands)</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940" w:type="dxa"/>
            <w:vAlign w:val="bottom"/>
          </w:tcPr>
          <w:p>
            <w:pPr>
              <w:spacing w:after="0"/>
              <w:rPr>
                <w:sz w:val="18"/>
                <w:szCs w:val="18"/>
                <w:color w:val="auto"/>
              </w:rPr>
            </w:pPr>
          </w:p>
        </w:tc>
        <w:tc>
          <w:tcPr>
            <w:tcW w:w="5200" w:type="dxa"/>
            <w:vAlign w:val="bottom"/>
            <w:gridSpan w:val="2"/>
          </w:tcPr>
          <w:p>
            <w:pPr>
              <w:jc w:val="center"/>
              <w:ind w:left="4077"/>
              <w:spacing w:after="0"/>
              <w:rPr>
                <w:sz w:val="20"/>
                <w:szCs w:val="20"/>
                <w:color w:val="auto"/>
              </w:rPr>
            </w:pPr>
            <w:r>
              <w:rPr>
                <w:rFonts w:ascii="Times New Roman" w:cs="Times New Roman" w:eastAsia="Times New Roman" w:hAnsi="Times New Roman"/>
                <w:sz w:val="17"/>
                <w:szCs w:val="17"/>
                <w:i w:val="1"/>
                <w:iCs w:val="1"/>
                <w:color w:val="auto"/>
                <w:w w:val="96"/>
              </w:rPr>
              <w:t>(Unaudited)</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3"/>
        </w:trPr>
        <w:tc>
          <w:tcPr>
            <w:tcW w:w="9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5"/>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w w:val="96"/>
              </w:rPr>
              <w:t>Three Months Ended 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04"/>
        </w:trPr>
        <w:tc>
          <w:tcPr>
            <w:tcW w:w="94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7"/>
                <w:szCs w:val="17"/>
                <w:color w:val="auto"/>
              </w:rPr>
            </w:pPr>
          </w:p>
        </w:tc>
      </w:tr>
      <w:tr>
        <w:trPr>
          <w:trHeight w:val="199"/>
        </w:trPr>
        <w:tc>
          <w:tcPr>
            <w:tcW w:w="5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16,748</w:t>
            </w: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7,334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9,305</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13,156</w:t>
            </w:r>
          </w:p>
        </w:tc>
      </w:tr>
      <w:tr>
        <w:trPr>
          <w:trHeight w:val="183"/>
        </w:trPr>
        <w:tc>
          <w:tcPr>
            <w:tcW w:w="598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auto"/>
              </w:rPr>
              <w:t>Adjustments to reconcile net income from operations to net cash provided by (used in)</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operating activities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2,555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1,031</w:t>
            </w:r>
          </w:p>
        </w:tc>
      </w:tr>
      <w:tr>
        <w:trPr>
          <w:trHeight w:val="199"/>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Gain on disposals of property, plant and equipment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199"/>
        </w:trPr>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 income in net income of affiliates</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(472)</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(401)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(615)</w:t>
            </w:r>
          </w:p>
        </w:tc>
      </w:tr>
      <w:tr>
        <w:trPr>
          <w:trHeight w:val="199"/>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Unrealized loss (gain) on trading securities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(3,783)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4,281</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(2,736)</w:t>
            </w:r>
          </w:p>
        </w:tc>
      </w:tr>
      <w:tr>
        <w:trPr>
          <w:trHeight w:val="199"/>
        </w:trPr>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 income taxes</w:t>
            </w: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3,723</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1,642</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(3,502)</w:t>
            </w:r>
          </w:p>
        </w:tc>
      </w:tr>
      <w:tr>
        <w:trPr>
          <w:trHeight w:val="199"/>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3,343</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2,545</w:t>
            </w:r>
          </w:p>
        </w:tc>
      </w:tr>
      <w:tr>
        <w:trPr>
          <w:trHeight w:val="199"/>
        </w:trPr>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changes in operating assets and liabilities:</w:t>
            </w: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59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Accounts receivable</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(55,635)</w:t>
            </w:r>
          </w:p>
        </w:tc>
        <w:tc>
          <w:tcPr>
            <w:tcW w:w="26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(9,677)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(55,919)</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(14,279)</w:t>
            </w:r>
          </w:p>
        </w:tc>
      </w:tr>
      <w:tr>
        <w:trPr>
          <w:trHeight w:val="199"/>
        </w:trPr>
        <w:tc>
          <w:tcPr>
            <w:tcW w:w="59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Other receivables</w:t>
            </w: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4,217</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(676)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(610)</w:t>
            </w:r>
          </w:p>
        </w:tc>
      </w:tr>
      <w:tr>
        <w:trPr>
          <w:trHeight w:val="199"/>
        </w:trPr>
        <w:tc>
          <w:tcPr>
            <w:tcW w:w="59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Inventories</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(28,359)</w:t>
            </w:r>
          </w:p>
        </w:tc>
        <w:tc>
          <w:tcPr>
            <w:tcW w:w="26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(32,156)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(80,862)</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(47,432)</w:t>
            </w:r>
          </w:p>
        </w:tc>
      </w:tr>
      <w:tr>
        <w:trPr>
          <w:trHeight w:val="199"/>
        </w:trPr>
        <w:tc>
          <w:tcPr>
            <w:tcW w:w="59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Advances to related party (note 16)</w:t>
            </w: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(690)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(125)</w:t>
            </w:r>
          </w:p>
        </w:tc>
      </w:tr>
      <w:tr>
        <w:trPr>
          <w:trHeight w:val="199"/>
        </w:trPr>
        <w:tc>
          <w:tcPr>
            <w:tcW w:w="59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Prepaid expenses</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(3,099)</w:t>
            </w:r>
          </w:p>
        </w:tc>
        <w:tc>
          <w:tcPr>
            <w:tcW w:w="26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(2,964)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(5,996)</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(2,876)</w:t>
            </w:r>
          </w:p>
        </w:tc>
      </w:tr>
      <w:tr>
        <w:trPr>
          <w:trHeight w:val="199"/>
        </w:trPr>
        <w:tc>
          <w:tcPr>
            <w:tcW w:w="59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Other long-term assets</w:t>
            </w: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(2,960)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910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(2,939)</w:t>
            </w:r>
          </w:p>
        </w:tc>
      </w:tr>
      <w:tr>
        <w:trPr>
          <w:trHeight w:val="199"/>
        </w:trPr>
        <w:tc>
          <w:tcPr>
            <w:tcW w:w="59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Related party accounts payable (note 16)</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1,163</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1,832</w:t>
            </w:r>
          </w:p>
        </w:tc>
      </w:tr>
      <w:tr>
        <w:trPr>
          <w:trHeight w:val="199"/>
        </w:trPr>
        <w:tc>
          <w:tcPr>
            <w:tcW w:w="59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(1,653)</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20,293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5,950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29,368</w:t>
            </w:r>
          </w:p>
        </w:tc>
      </w:tr>
      <w:tr>
        <w:trPr>
          <w:trHeight w:val="199"/>
        </w:trPr>
        <w:tc>
          <w:tcPr>
            <w:tcW w:w="59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Advances from customers</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14,796</w:t>
            </w: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10,980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44,069</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25,912</w:t>
            </w:r>
          </w:p>
        </w:tc>
      </w:tr>
      <w:tr>
        <w:trPr>
          <w:trHeight w:val="199"/>
        </w:trPr>
        <w:tc>
          <w:tcPr>
            <w:tcW w:w="59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Deferred revenue</w:t>
            </w: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2,950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2,348</w:t>
            </w:r>
          </w:p>
        </w:tc>
      </w:tr>
      <w:tr>
        <w:trPr>
          <w:trHeight w:val="199"/>
        </w:trPr>
        <w:tc>
          <w:tcPr>
            <w:tcW w:w="59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Income tax payable</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1,791</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452</w:t>
            </w:r>
          </w:p>
        </w:tc>
      </w:tr>
      <w:tr>
        <w:trPr>
          <w:trHeight w:val="199"/>
        </w:trPr>
        <w:tc>
          <w:tcPr>
            <w:tcW w:w="59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FIN-48 payable</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(121)</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(111)</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199"/>
        </w:trPr>
        <w:tc>
          <w:tcPr>
            <w:tcW w:w="59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Other payables and accrued expenses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6,862</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2,270</w:t>
            </w:r>
          </w:p>
        </w:tc>
      </w:tr>
      <w:tr>
        <w:trPr>
          <w:trHeight w:val="199"/>
        </w:trPr>
        <w:tc>
          <w:tcPr>
            <w:tcW w:w="59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(1,618)</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(1,463)</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(3,559)</w:t>
            </w:r>
          </w:p>
        </w:tc>
      </w:tr>
      <w:tr>
        <w:trPr>
          <w:trHeight w:val="25"/>
        </w:trPr>
        <w:tc>
          <w:tcPr>
            <w:tcW w:w="940" w:type="dxa"/>
            <w:vAlign w:val="bottom"/>
            <w:shd w:val="clear" w:color="auto" w:fill="CCEEFF"/>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4"/>
        </w:trPr>
        <w:tc>
          <w:tcPr>
            <w:tcW w:w="598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Net cash flow (used in) provided by operating activities</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(33,568)</w:t>
            </w:r>
          </w:p>
        </w:tc>
        <w:tc>
          <w:tcPr>
            <w:tcW w:w="26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(10,501)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(61,297)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241</w:t>
            </w:r>
          </w:p>
        </w:tc>
      </w:tr>
      <w:tr>
        <w:trPr>
          <w:trHeight w:val="199"/>
        </w:trPr>
        <w:tc>
          <w:tcPr>
            <w:tcW w:w="940" w:type="dxa"/>
            <w:vAlign w:val="bottom"/>
            <w:shd w:val="clear" w:color="auto" w:fill="CCEEFF"/>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5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of property, plant and equipment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(2,080)</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(5,256)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(2,353)</w:t>
            </w:r>
          </w:p>
        </w:tc>
      </w:tr>
      <w:tr>
        <w:trPr>
          <w:trHeight w:val="199"/>
        </w:trPr>
        <w:tc>
          <w:tcPr>
            <w:tcW w:w="5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Purchase of intangible assets</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(45)</w:t>
            </w:r>
          </w:p>
        </w:tc>
        <w:tc>
          <w:tcPr>
            <w:tcW w:w="26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(453)</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(431)</w:t>
            </w:r>
          </w:p>
        </w:tc>
      </w:tr>
      <w:tr>
        <w:trPr>
          <w:trHeight w:val="19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Decrease (increase) of short-term time deposits</w:t>
            </w: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(70,030)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4"/>
        </w:trPr>
        <w:tc>
          <w:tcPr>
            <w:tcW w:w="5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Decrease (increase) of long-term time deposits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(74,500)</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4"/>
        </w:trPr>
        <w:tc>
          <w:tcPr>
            <w:tcW w:w="5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Net cash (used in) provided by investing activities</w:t>
            </w: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6,120</w:t>
            </w:r>
          </w:p>
        </w:tc>
        <w:tc>
          <w:tcPr>
            <w:tcW w:w="2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(150,239)</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(2,784)</w:t>
            </w:r>
          </w:p>
        </w:tc>
        <w:tc>
          <w:tcPr>
            <w:tcW w:w="100" w:type="dxa"/>
            <w:vAlign w:val="bottom"/>
            <w:shd w:val="clear" w:color="auto" w:fill="CCEEFF"/>
          </w:tcPr>
          <w:p>
            <w:pPr>
              <w:spacing w:after="0"/>
              <w:rPr>
                <w:sz w:val="17"/>
                <w:szCs w:val="17"/>
                <w:color w:val="auto"/>
              </w:rPr>
            </w:pPr>
          </w:p>
        </w:tc>
      </w:tr>
      <w:tr>
        <w:trPr>
          <w:trHeight w:val="199"/>
        </w:trPr>
        <w:tc>
          <w:tcPr>
            <w:tcW w:w="940" w:type="dxa"/>
            <w:vAlign w:val="bottom"/>
            <w:tcBorders>
              <w:top w:val="single" w:sz="8" w:color="CCEEFF"/>
            </w:tcBorders>
          </w:tcPr>
          <w:p>
            <w:pPr>
              <w:spacing w:after="0"/>
              <w:rPr>
                <w:sz w:val="17"/>
                <w:szCs w:val="17"/>
                <w:color w:val="auto"/>
              </w:rPr>
            </w:pPr>
          </w:p>
        </w:tc>
        <w:tc>
          <w:tcPr>
            <w:tcW w:w="50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5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short-term borrowings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13,442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17,653</w:t>
            </w:r>
          </w:p>
        </w:tc>
      </w:tr>
      <w:tr>
        <w:trPr>
          <w:trHeight w:val="19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Repayments of short-term borrowings</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(4,921)</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(15,009)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(4,921)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(21,753)</w:t>
            </w:r>
          </w:p>
        </w:tc>
      </w:tr>
      <w:tr>
        <w:trPr>
          <w:trHeight w:val="199"/>
        </w:trPr>
        <w:tc>
          <w:tcPr>
            <w:tcW w:w="5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long-term borrowings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1,548</w:t>
            </w:r>
          </w:p>
        </w:tc>
      </w:tr>
      <w:tr>
        <w:trPr>
          <w:trHeight w:val="19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Repayments of long-term borrowings</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(104)</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(800)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(794)</w:t>
            </w:r>
          </w:p>
        </w:tc>
      </w:tr>
      <w:tr>
        <w:trPr>
          <w:trHeight w:val="199"/>
        </w:trPr>
        <w:tc>
          <w:tcPr>
            <w:tcW w:w="5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750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2,197</w:t>
            </w:r>
          </w:p>
        </w:tc>
      </w:tr>
      <w:tr>
        <w:trPr>
          <w:trHeight w:val="19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warrant exercise to common stock</w:t>
            </w: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1,820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1,820</w:t>
            </w:r>
          </w:p>
        </w:tc>
      </w:tr>
      <w:tr>
        <w:trPr>
          <w:trHeight w:val="25"/>
        </w:trPr>
        <w:tc>
          <w:tcPr>
            <w:tcW w:w="940" w:type="dxa"/>
            <w:vAlign w:val="bottom"/>
            <w:shd w:val="clear" w:color="auto" w:fill="CCEEFF"/>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4"/>
        </w:trPr>
        <w:tc>
          <w:tcPr>
            <w:tcW w:w="5980" w:type="dxa"/>
            <w:vAlign w:val="bottom"/>
            <w:gridSpan w:val="2"/>
          </w:tcPr>
          <w:p>
            <w:pPr>
              <w:ind w:left="600"/>
              <w:spacing w:after="0"/>
              <w:rPr>
                <w:sz w:val="20"/>
                <w:szCs w:val="20"/>
                <w:color w:val="auto"/>
              </w:rPr>
            </w:pPr>
            <w:r>
              <w:rPr>
                <w:rFonts w:ascii="Times New Roman" w:cs="Times New Roman" w:eastAsia="Times New Roman" w:hAnsi="Times New Roman"/>
                <w:sz w:val="17"/>
                <w:szCs w:val="17"/>
                <w:b w:val="1"/>
                <w:bCs w:val="1"/>
                <w:color w:val="auto"/>
              </w:rPr>
              <w:t>Net cash (used in) provided by financing activities</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(4,999)</w:t>
            </w: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(4,971)</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671</w:t>
            </w:r>
          </w:p>
        </w:tc>
      </w:tr>
      <w:tr>
        <w:trPr>
          <w:trHeight w:val="199"/>
        </w:trPr>
        <w:tc>
          <w:tcPr>
            <w:tcW w:w="940" w:type="dxa"/>
            <w:vAlign w:val="bottom"/>
            <w:shd w:val="clear" w:color="auto" w:fill="CCEEFF"/>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5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Effect of exchange rate changes on cash, cash equivalents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(23,520)</w:t>
            </w: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1,069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(22,216)</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315</w:t>
            </w:r>
          </w:p>
        </w:tc>
      </w:tr>
      <w:tr>
        <w:trPr>
          <w:trHeight w:val="20"/>
        </w:trPr>
        <w:tc>
          <w:tcPr>
            <w:tcW w:w="9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59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(55,967)</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7"/>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(8,587)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(238,723)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(1,557)</w:t>
            </w:r>
          </w:p>
        </w:tc>
        <w:tc>
          <w:tcPr>
            <w:tcW w:w="100" w:type="dxa"/>
            <w:vAlign w:val="bottom"/>
            <w:shd w:val="clear" w:color="auto" w:fill="CCEEFF"/>
          </w:tcPr>
          <w:p>
            <w:pPr>
              <w:spacing w:after="0"/>
              <w:rPr>
                <w:sz w:val="16"/>
                <w:szCs w:val="16"/>
                <w:color w:val="auto"/>
              </w:rPr>
            </w:pPr>
          </w:p>
        </w:tc>
      </w:tr>
      <w:tr>
        <w:trPr>
          <w:trHeight w:val="199"/>
        </w:trPr>
        <w:tc>
          <w:tcPr>
            <w:tcW w:w="94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19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380,311</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78,796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563,067</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71,766</w:t>
            </w:r>
          </w:p>
        </w:tc>
      </w:tr>
      <w:tr>
        <w:trPr>
          <w:trHeight w:val="25"/>
        </w:trPr>
        <w:tc>
          <w:tcPr>
            <w:tcW w:w="940" w:type="dxa"/>
            <w:vAlign w:val="bottom"/>
            <w:shd w:val="clear" w:color="auto" w:fill="CCEEFF"/>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9"/>
        </w:trPr>
        <w:tc>
          <w:tcPr>
            <w:tcW w:w="5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at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324,344</w:t>
            </w:r>
          </w:p>
        </w:tc>
        <w:tc>
          <w:tcPr>
            <w:tcW w:w="200" w:type="dxa"/>
            <w:vAlign w:val="bottom"/>
          </w:tcPr>
          <w:p>
            <w:pPr>
              <w:spacing w:after="0"/>
              <w:rPr>
                <w:sz w:val="17"/>
                <w:szCs w:val="17"/>
                <w:color w:val="auto"/>
              </w:rPr>
            </w:pP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70,209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324,344</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70,209</w:t>
            </w:r>
          </w:p>
        </w:tc>
      </w:tr>
      <w:tr>
        <w:trPr>
          <w:trHeight w:val="20"/>
        </w:trPr>
        <w:tc>
          <w:tcPr>
            <w:tcW w:w="9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5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9"/>
        </w:trPr>
        <w:tc>
          <w:tcPr>
            <w:tcW w:w="5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59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Interest paid, net of capitalized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567</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383</w:t>
            </w: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980" w:type="dxa"/>
            <w:vAlign w:val="bottom"/>
            <w:gridSpan w:val="2"/>
          </w:tcPr>
          <w:p>
            <w:pPr>
              <w:ind w:left="300"/>
              <w:spacing w:after="0" w:line="189" w:lineRule="exact"/>
              <w:rPr>
                <w:sz w:val="20"/>
                <w:szCs w:val="20"/>
                <w:color w:val="auto"/>
              </w:rPr>
            </w:pPr>
            <w:r>
              <w:rPr>
                <w:rFonts w:ascii="Times New Roman" w:cs="Times New Roman" w:eastAsia="Times New Roman" w:hAnsi="Times New Roman"/>
                <w:sz w:val="17"/>
                <w:szCs w:val="17"/>
                <w:color w:val="auto"/>
              </w:rPr>
              <w:t>Cash paid for income taxes</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7"/>
                <w:szCs w:val="17"/>
                <w:color w:val="auto"/>
              </w:rPr>
              <w:t>119</w:t>
            </w:r>
          </w:p>
        </w:tc>
        <w:tc>
          <w:tcPr>
            <w:tcW w:w="260" w:type="dxa"/>
            <w:vAlign w:val="bottom"/>
          </w:tcPr>
          <w:p>
            <w:pPr>
              <w:jc w:val="right"/>
              <w:ind w:right="77"/>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7"/>
                <w:szCs w:val="17"/>
                <w:color w:val="auto"/>
              </w:rPr>
              <w:t>400</w:t>
            </w:r>
          </w:p>
        </w:tc>
        <w:tc>
          <w:tcPr>
            <w:tcW w:w="2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7"/>
                <w:szCs w:val="17"/>
                <w:color w:val="auto"/>
              </w:rPr>
              <w:t>119</w:t>
            </w:r>
          </w:p>
        </w:tc>
        <w:tc>
          <w:tcPr>
            <w:tcW w:w="240" w:type="dxa"/>
            <w:vAlign w:val="bottom"/>
          </w:tcPr>
          <w:p>
            <w:pPr>
              <w:jc w:val="right"/>
              <w:ind w:right="7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463</w:t>
            </w:r>
          </w:p>
        </w:tc>
      </w:tr>
      <w:tr>
        <w:trPr>
          <w:trHeight w:val="20"/>
        </w:trPr>
        <w:tc>
          <w:tcPr>
            <w:tcW w:w="9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5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9"/>
        </w:trPr>
        <w:tc>
          <w:tcPr>
            <w:tcW w:w="5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Non-cash financing activities: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Conversion of Class B common stock to Class A common stock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185,001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1,002</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285,003</w:t>
            </w: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9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Cashless exercise of stock options</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29</w:t>
            </w:r>
          </w:p>
        </w:tc>
        <w:tc>
          <w:tcPr>
            <w:tcW w:w="200" w:type="dxa"/>
            <w:vAlign w:val="bottom"/>
          </w:tcPr>
          <w:p>
            <w:pPr>
              <w:spacing w:after="0"/>
              <w:rPr>
                <w:sz w:val="16"/>
                <w:szCs w:val="16"/>
                <w:color w:val="auto"/>
              </w:rPr>
            </w:pPr>
          </w:p>
        </w:tc>
        <w:tc>
          <w:tcPr>
            <w:tcW w:w="260" w:type="dxa"/>
            <w:vAlign w:val="bottom"/>
          </w:tcPr>
          <w:p>
            <w:pPr>
              <w:jc w:val="right"/>
              <w:ind w:right="77"/>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35</w:t>
            </w:r>
          </w:p>
        </w:tc>
        <w:tc>
          <w:tcPr>
            <w:tcW w:w="140" w:type="dxa"/>
            <w:vAlign w:val="bottom"/>
          </w:tcPr>
          <w:p>
            <w:pPr>
              <w:spacing w:after="0"/>
              <w:rPr>
                <w:sz w:val="16"/>
                <w:szCs w:val="16"/>
                <w:color w:val="auto"/>
              </w:rPr>
            </w:pPr>
          </w:p>
        </w:tc>
        <w:tc>
          <w:tcPr>
            <w:tcW w:w="2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7"/>
                <w:szCs w:val="17"/>
                <w:color w:val="auto"/>
              </w:rPr>
              <w:t>68</w:t>
            </w:r>
          </w:p>
        </w:tc>
        <w:tc>
          <w:tcPr>
            <w:tcW w:w="240" w:type="dxa"/>
            <w:vAlign w:val="bottom"/>
          </w:tcPr>
          <w:p>
            <w:pPr>
              <w:jc w:val="right"/>
              <w:ind w:right="7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118</w:t>
            </w:r>
          </w:p>
        </w:tc>
      </w:tr>
      <w:tr>
        <w:trPr>
          <w:trHeight w:val="20"/>
        </w:trPr>
        <w:tc>
          <w:tcPr>
            <w:tcW w:w="9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5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9"/>
        </w:trPr>
        <w:tc>
          <w:tcPr>
            <w:tcW w:w="5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Non-cash investing activities: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 of prepayment for property to property, plant and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41,497</w:t>
            </w: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ectPr>
          <w:pgSz w:w="11900" w:h="16838" w:orient="portrait"/>
          <w:cols w:equalWidth="0" w:num="1">
            <w:col w:w="11240"/>
          </w:cols>
          <w:pgMar w:left="320" w:top="114" w:right="339"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4311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percentage and per share data)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DESCRIPTION OF BUSINESS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ACM Research, Inc. (“ACM”) and its subsidiaries (collectively with ACM, the “Company”) develop, manufacture and sell single-wafer wet cleaning equipment used to improve the manufacturing process and yield for advanced integrated chips. The Company markets and sells its single-wafer wet-cleaning equipment, which are based on the Company’s proprietary Space Alternated Phase Shift (“SAPS”) and Timely Energized Bubble Oscillation (“TEBO”) technologies, under the brand name “Ultra C.” These tools are designed to remove random defects from a wafer surface efficiently, without damaging the wafer or its features, even at increasingly advanced process nodes.</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2006, the Company established its operational center in Shanghai in the People’s Republic of China (the “PRC”), where it operates through ACM’s subsidiary, ACM Research (Shanghai), Inc. (“ACM Shanghai”). ACM Shanghai was formed to help establish and build relationships with integrated circuit manufacturers in the PRC, and the Company initially financed its Shanghai operations in part through sales of non-controlling equity interests in ACM Shanghai.</w:t>
      </w:r>
    </w:p>
    <w:p>
      <w:pPr>
        <w:spacing w:after="0" w:line="17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In August 2018, the Company introduced its Ultra-C Tahoe wafer cleaning tool, which can deliver high cleaning performance with significantly less sulfuric acid than typically consumed by conventional high-temperature single-wafer cleaning tools. Based on its electro-chemical plating (“ECP”) technology, the Company introduced in March 2019 its Ultra ECP AP, or “Advanced Packaging,” tool for bumping, or applying copper, tin and nickel to semiconductor wafers at the die-level, and its Ultra ECP MAP, or “Multi-Anode Partial Plating,” tool to deliver advanced electrochemical copper plating for copper interconnect applications in front-end wafer fabrication processes. The Company also offers a range of custom-made equipment, including cleaners, coaters and developers, to back-end wafer assembly and packaging factories, principally in the PRC.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2011, ACM Shanghai formed a wholly-owned subsidiary in the PRC, ACM Research (Wuxi), Inc. (“ACM Wuxi”), to manage sales and service operations.</w:t>
      </w:r>
    </w:p>
    <w:p>
      <w:pPr>
        <w:spacing w:after="0" w:line="2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November 2016, ACM re-domesticated from California to Delaware pursuant to a merger in which ACM Research, Inc., a California corporation, was merged into a newly formed, wholly-owned Delaware subsidiary, also named ACM Research, Inc.</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June 2017, ACM formed a wholly-owned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August 2017, ACM purchased 18.77% of ACM Shanghai’s equity interests held by Shanghai Science and Technology Venture Capital Co., Ltd. On November 8, 2017, ACM purchased the remaining 18.36% of ACM Shanghai’s equity interests held by third parties, Shanghai Pudong High-Tech Investment Co., Ltd. and Shanghai Zhangjiang Science &amp; Technology Venture Capital Co., Ltd. At December 31, 2017, ACM owned all of the outstanding equity interests of ACM Shanghai, and indirectly through ACM Shanghai, owned all of the outstanding equity interests of ACM Wuxi.</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percentage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September 13, 2017, ACM effectuated a 1-for-3 reverse stock split of Class A and Class B common stock.</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November 2, 2017, the Registration Statement on Form S-1 for ACM’s initial public offering of Class A common stock was declared effective by the U.S. Securities and Exchange Commission. Shares of Class A common stock began trading on the Nasdaq Global Market on November 3, 2017, and the closing for the offering was held on November 7, 2017.</w:t>
      </w:r>
    </w:p>
    <w:p>
      <w:pPr>
        <w:spacing w:after="0" w:line="17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December 2017, ACM formed a wholly-owned subsidiary in the Republic of Korea, ACM Research Korea CO., LTD. (“ACM Korea”), to serve customers based in Republic of Korea and perform sales and marketing and research and development (“R&amp;D”) activities for new products and solutions.</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March 2019, ACM Shanghai formed a wholly-owned subsidiary in the PRC, Shengwei Research (Shanghai), Inc. (“ACM Shengwei”), to manage activities related to addition of future long-term production capacity.</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June 2019, CleanChip formed a wholly-owned subsidiary in California, ACM Research (CA), Inc. (“ACM California”), to provide procurement services on behalf of ACM Shanghai. In June 2019, ACM Korea was reorganized as a wholly-owned subsidiary of CleanChip.</w:t>
      </w:r>
    </w:p>
    <w:p>
      <w:pPr>
        <w:spacing w:after="0" w:line="1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In June 2019, ACM announced plans to complete a listing (the “STAR Listing”) of shares of ACM Shanghai on the Shanghai Stock Exchange’s Sci-Tech innovAtion boaRd, known as the STAR Market, and a concurrent initial public offering (the “STAR IPO”) of ACM Shanghai shares in the PRC. ACM Shanghai is currently ACM’s primary operating subsidiary, and at the time of announcement, was wholly-owned by ACM. To meet a STAR Listing requirement that it have multiple independent stockholders in the PRC, ACM Shanghai completed private placements of its shares in June and November 2019, following which, as of September 30, 2020, the private placement investors held a total of 8.3% of the outstanding shares of ACM Shanghai and ACM Research held the remaining 91.7%. As part of the STAR Listing process, in June 2020 the ownership interests held by the private investors were reclassified from redeemable non-controlling interests to non-controlling interests as the redemption feature was terminated.</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preparation for the STAR IPO, ACM completed a reorganization in December 2019 that included the sale of all of the shares of CleanChip by ACM to ACM Shanghai for $3,500. The reorganization and sale had no impact on ACM’s consolidated financial statements.</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August 2021, ACM formed a wholly-owned subsidiary in Singapore, ACM Research (Singapore) PTE, Ltd. to perform sales, marketing, and other business development activities.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November 2021, ACM Shanghai completed its STAR Listing and STAR IPO and its shares began trading on the STAR Market. In the STAR IPO, ACM Shanghai issued 43,355,753 shares, representing 10% of the total 433,557,100 shares outstanding after the issuance. The shares were issued at a public offering price of RMB 85.00 per share, and the net proceeds of the STAR IPO, after issuance costs, totaled $545,512. Upon completion of the STAR IPO, ACM owned 82.5% of the outstanding ACM Shanghai shares.</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February 2022, ACM Shanghai formed a wholly-owned subsidiary in China, ACM Research (Beijing), Inc. (“ACM Beijing”), to perform sales, marketing and other business development activities.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March 2022, ACM formed a wholly-owned subsidiary in South Korea, Hanguk ACM CO., LTD, to perform business development and other related activities.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percentage and per share data)</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 March 2022, the Board of Directors of ACM declared a 3-for-1 stock split of Class A and Class B common stock effected in the form of a stock dividend (the “Stock Split”). Each stockholder of record at the close of business on March 16, 2022, received a dividend of two additional shares of Class A common stock for each then-held share of Class A common stock and two additional shares of Class B common stock for each then-held share of Class B common stock, which were distributed after the close of trading on March 23, 2022. Unless otherwise indicated, all share numbers, per share amount, share prices, exercise prices and conversion rates set forth in these notes and the accompanying condensed consolidated financial statements have been adjusted retrospectively to reflect the Stock Split.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direct or indirect interests in the following subsidiaries: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3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3580" w:type="dxa"/>
            <w:vAlign w:val="bottom"/>
            <w:gridSpan w:val="2"/>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Effective interest held as at</w:t>
            </w:r>
          </w:p>
        </w:tc>
      </w:tr>
      <w:tr>
        <w:trPr>
          <w:trHeight w:val="199"/>
        </w:trPr>
        <w:tc>
          <w:tcPr>
            <w:tcW w:w="33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2300" w:type="dxa"/>
            <w:vAlign w:val="bottom"/>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80" w:type="dxa"/>
            <w:vAlign w:val="bottom"/>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 of subsidiaries</w:t>
            </w:r>
          </w:p>
        </w:tc>
        <w:tc>
          <w:tcPr>
            <w:tcW w:w="42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7"/>
                <w:szCs w:val="17"/>
                <w:b w:val="1"/>
                <w:bCs w:val="1"/>
                <w:color w:val="auto"/>
              </w:rPr>
              <w:t>Place and date of incorporation</w:t>
            </w:r>
          </w:p>
        </w:tc>
        <w:tc>
          <w:tcPr>
            <w:tcW w:w="2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9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ACM Research (Shanghai), Inc.</w:t>
            </w:r>
          </w:p>
        </w:tc>
        <w:tc>
          <w:tcPr>
            <w:tcW w:w="42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PRC, May 2005</w:t>
            </w:r>
          </w:p>
        </w:tc>
        <w:tc>
          <w:tcPr>
            <w:tcW w:w="23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82.5%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D0D0D"/>
              </w:rPr>
              <w:t>82.5%</w:t>
            </w:r>
          </w:p>
        </w:tc>
      </w:tr>
      <w:tr>
        <w:trPr>
          <w:trHeight w:val="199"/>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ACM Research (Wuxi), Inc.</w:t>
            </w:r>
          </w:p>
        </w:tc>
        <w:tc>
          <w:tcPr>
            <w:tcW w:w="428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PRC, July 2011</w:t>
            </w:r>
          </w:p>
        </w:tc>
        <w:tc>
          <w:tcPr>
            <w:tcW w:w="23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82.5%</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0D0D0D"/>
              </w:rPr>
              <w:t>82.5%</w:t>
            </w:r>
          </w:p>
        </w:tc>
      </w:tr>
      <w:tr>
        <w:trPr>
          <w:trHeight w:val="19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CleanChip Technologies Limited</w:t>
            </w:r>
          </w:p>
        </w:tc>
        <w:tc>
          <w:tcPr>
            <w:tcW w:w="42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Hong Kong, June 2017</w:t>
            </w:r>
          </w:p>
        </w:tc>
        <w:tc>
          <w:tcPr>
            <w:tcW w:w="23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82.5%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D0D0D"/>
              </w:rPr>
              <w:t>82.5%</w:t>
            </w:r>
          </w:p>
        </w:tc>
      </w:tr>
      <w:tr>
        <w:trPr>
          <w:trHeight w:val="199"/>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ACM Research Korea CO., LTD.</w:t>
            </w:r>
          </w:p>
        </w:tc>
        <w:tc>
          <w:tcPr>
            <w:tcW w:w="428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Korea, December 2017</w:t>
            </w:r>
          </w:p>
        </w:tc>
        <w:tc>
          <w:tcPr>
            <w:tcW w:w="23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82.5%</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0D0D0D"/>
              </w:rPr>
              <w:t>82.5%</w:t>
            </w:r>
          </w:p>
        </w:tc>
      </w:tr>
      <w:tr>
        <w:trPr>
          <w:trHeight w:val="19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Shengwei Research (Shanghai), Inc.</w:t>
            </w:r>
          </w:p>
        </w:tc>
        <w:tc>
          <w:tcPr>
            <w:tcW w:w="42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PRC, March 2019</w:t>
            </w:r>
          </w:p>
        </w:tc>
        <w:tc>
          <w:tcPr>
            <w:tcW w:w="23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82.5%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D0D0D"/>
              </w:rPr>
              <w:t>82.5%</w:t>
            </w:r>
          </w:p>
        </w:tc>
      </w:tr>
      <w:tr>
        <w:trPr>
          <w:trHeight w:val="199"/>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ACM Research (CA), Inc.</w:t>
            </w:r>
          </w:p>
        </w:tc>
        <w:tc>
          <w:tcPr>
            <w:tcW w:w="428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USA, April 2019</w:t>
            </w:r>
          </w:p>
        </w:tc>
        <w:tc>
          <w:tcPr>
            <w:tcW w:w="23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82.5%</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0D0D0D"/>
              </w:rPr>
              <w:t>82.5%</w:t>
            </w:r>
          </w:p>
        </w:tc>
      </w:tr>
      <w:tr>
        <w:trPr>
          <w:trHeight w:val="19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ACM Research (Cayman), Inc.</w:t>
            </w:r>
          </w:p>
        </w:tc>
        <w:tc>
          <w:tcPr>
            <w:tcW w:w="42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Cayman Islands, April 2019</w:t>
            </w:r>
          </w:p>
        </w:tc>
        <w:tc>
          <w:tcPr>
            <w:tcW w:w="23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100.0%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D0D0D"/>
              </w:rPr>
              <w:t>100.0%</w:t>
            </w:r>
          </w:p>
        </w:tc>
      </w:tr>
      <w:tr>
        <w:trPr>
          <w:trHeight w:val="199"/>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ACM Research (Singapore) PTE. Ltd.</w:t>
            </w:r>
          </w:p>
        </w:tc>
        <w:tc>
          <w:tcPr>
            <w:tcW w:w="428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Singapore, August 2021</w:t>
            </w:r>
          </w:p>
        </w:tc>
        <w:tc>
          <w:tcPr>
            <w:tcW w:w="23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100.0%</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19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ACM Research (Beijing), Inc.</w:t>
            </w:r>
          </w:p>
        </w:tc>
        <w:tc>
          <w:tcPr>
            <w:tcW w:w="42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PRC, February 2022</w:t>
            </w:r>
          </w:p>
        </w:tc>
        <w:tc>
          <w:tcPr>
            <w:tcW w:w="23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82.5%</w:t>
            </w:r>
          </w:p>
        </w:tc>
        <w:tc>
          <w:tcPr>
            <w:tcW w:w="12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Hanguk ACM CO., LTD.</w:t>
            </w:r>
          </w:p>
        </w:tc>
        <w:tc>
          <w:tcPr>
            <w:tcW w:w="428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Korea, March 2022</w:t>
            </w:r>
          </w:p>
        </w:tc>
        <w:tc>
          <w:tcPr>
            <w:tcW w:w="23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100.0%</w:t>
            </w:r>
          </w:p>
        </w:tc>
        <w:tc>
          <w:tcPr>
            <w:tcW w:w="12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SUMMARY OF SIGNIFICANT ACCOUNTING POLICIES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Basis of Presentation and Principles of Consolidation</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Company’s condensed consolidated financial statements include the accounts of ACM and its subsidiaries, including ACM Shanghai and its subsidiaries, which include ACM Wuxi, ACM Shengwei, ACM Beijing, and CleanChip (the subsidiaries of which include ACM California and ACM Korea). ACM’s subsidiaries are those entities in which ACM, directly or indirectly, controls a majority of the voting power. All significant intercompany transactions and balances have been eliminated upon consolidation.</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of the Company have been prepared in accordance with accounting principles generally accepted in the United States of America (“GAAP”) for interim financial information and the rules and regulations of the Securities and Exchange Commission for reporting on Form 10-Q. Accordingly, they do not include all the information and footnotes required by GAAP for complete financial statements. The accompanying condensed consolidated financial statements should be read in conjunction with the historical consolidated financial statements of the Company for the year ended December 31, 2021 included in ACM’s Annual Report on Form 10-K for the year ended December 31, 2021.</w:t>
      </w:r>
    </w:p>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accompanying condensed consolidated balance sheet as of June 30, 2022, condensed consolidated statements of operations and comprehensive income (loss) for the three and six months ended June 30, 2022 and 2021, condensed consolidated statements of changes in equity for the three and six months ended June 30, 2022 and 2021, and condensed consolidated statements of cash flows for the three and six months ended June 30, 2022 and 2021 are unaudited. In the opinion of management, these unaudited condensed consolidated financial statements of the Company reflect all adjustments that are necessary for a fair presentation of the Company’s financial position and results of operations. Such adjustments are of a normal recurring nature, unless otherwise noted. The balance sheet as of June 30, 2022 and the results of operations for the three and six months ended June 30, 2022 are not necessarily indicative of the results to be expected for any future period.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percentage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Common Stock Split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Unless otherwise indicated, all prior period share and per share amounts, common stock, other capital, and retained earnings information presented in the accompanying financial statements and these notes thereto has been retroactively adjusted to reflect the impact of the Stock Split (Note 1). Proportional adjustments were also made to outstanding awards under the Company’s stock-based compensation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Reclassification</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Certain prior year amounts related to related party transactions have been reclassified to conform to current year presentation. Also, a portion of the prior period balance for retained earnings on the Company’s consolidated balance sheet as of December 31, 2021 has been reclassified to Statutory surplus reserve to conform to the current period presentation. These reclassifications did not have a material impact on the previously reported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COVID-19 Assessment</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worldwide COVID-19 health pandemic and related government and private sector responsive actions have adversely affected the economies and financial markets of many countries and specifically have negatively impacted the Company’s business operations, including in the PRC and the United States. The continuation of the COVID-19 pandemic could continue to result in economic uncertainty and global economic policies that could reduce demand for the Company’s products and its customers’ chips and have a material adverse impact on the Company’s business, operating results and financial condition.</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conducts substantially all of its product development, manufacturing, support and services in the PRC, and those activities have been directly impacted by COVID-19 and related restrictions on transportation and public appearances.</w:t>
      </w:r>
    </w:p>
    <w:p>
      <w:pPr>
        <w:spacing w:after="0" w:line="159" w:lineRule="exact"/>
        <w:rPr>
          <w:sz w:val="20"/>
          <w:szCs w:val="20"/>
          <w:color w:val="auto"/>
        </w:rPr>
      </w:pPr>
    </w:p>
    <w:p>
      <w:pPr>
        <w:jc w:val="both"/>
        <w:ind w:left="600" w:hanging="302"/>
        <w:spacing w:after="0" w:line="245"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2022, several regions in China began to experience elevated levels of COVID-19 infections, and the PRC government instituted policies to restrict the spread of the virus. The policies began with an increase of “spot quarantines,” under which a positive polymerase chain reaction (PCR) or other test would result in the quarantining of individual buildings, groups of buildings, or even full neighborhoods. The policies were later expanded to full-city quarantines, including in the City of Shanghai, where substantially all of ACM Shanghai’s operations are located. COVID-19 related restrictions in Shanghai began to limit employee access to, and logistics activities of, ACM Shanghai’s offices and production facilities in the Pudong district of Shanghai in March 2022, and therefore limited ACM Shanghai’s ability to ship finished products to customers and to produce new products. Spot quarantines in mid-March 2022 began to impact a number of ACM Shanghai’s employees and led to a closure of ACM Shanghai’s administrative and R&amp;D offices in Zhangjiang in the Pudong district. A subsequent quarantine of the entire Pudong region of Shanghai was imposed in late March 2022 and impacted the operation of ACM Shanghai’s Chuansha production facility. Although the facility remained partially operational with a number of personnel staying on-site for a prolonged period, the level of production declined significantly versus more normal levels. Furthermore, a number of the Company’s customers have substantial operations based in operations areas of the PRC, including in the City of Shanghai, subject to a full-city restrictions, which began limiting the operations of those customers since the first quarter of 2022, including inhibiting their ability to receive, implement and operate new tools for their manufacturing facilities. As a result, in some cases, ACM Shanghai was required to defer shipments of finished products to these customers because of operational and logistical limitations affecting customers other than, or in addition to, ACM Shanghai.</w:t>
      </w:r>
    </w:p>
    <w:p>
      <w:pPr>
        <w:spacing w:after="0" w:line="10" w:lineRule="exact"/>
        <w:rPr>
          <w:rFonts w:ascii="Times New Roman" w:cs="Times New Roman" w:eastAsia="Times New Roman" w:hAnsi="Times New Roman"/>
          <w:sz w:val="17"/>
          <w:szCs w:val="17"/>
          <w:color w:val="auto"/>
        </w:rPr>
      </w:pPr>
    </w:p>
    <w:p>
      <w:pPr>
        <w:jc w:val="both"/>
        <w:ind w:left="600" w:hanging="302"/>
        <w:spacing w:after="0" w:line="244"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late April 2022, ACM Shanghai began to increase the level of its operations at the Chuansha manufacturing site using the “closed loop method,” in which a limited collection of workers remain together as a group between a single hotel, the ACM Shanghai facility, and a dedicated bus transportation route, also referred to as “two spots and one line,” and had resumed substantially all of its Chuansha manufacturing site operations by the end of the second quarter of 2022. On July 1, 2022, the Company transitioned operations at the Chuansha facility to a more normal production process, in which workers we able to return home following their factory shifts.</w:t>
      </w:r>
    </w:p>
    <w:p>
      <w:pPr>
        <w:spacing w:after="0" w:line="1" w:lineRule="exact"/>
        <w:rPr>
          <w:rFonts w:ascii="Times New Roman" w:cs="Times New Roman" w:eastAsia="Times New Roman" w:hAnsi="Times New Roman"/>
          <w:sz w:val="17"/>
          <w:szCs w:val="17"/>
          <w:color w:val="auto"/>
        </w:rPr>
      </w:pPr>
    </w:p>
    <w:p>
      <w:pPr>
        <w:jc w:val="both"/>
        <w:ind w:left="600" w:hanging="302"/>
        <w:spacing w:after="0" w:line="246"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mid-June 2022, substantially all of ACM Shanghai’s R&amp;D and administrative employees were allowed to return to work at the ZhangJiang facility following a 6-8 week period of restricted access during which many employees had continued to work from home. ACM Shanghai has established several policies to help avoid or limit future outbreaks among employees and aimed at protecting employee safety and limiting the possibility of a facility reclosing.</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percentage and per share data)</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For the first six months of 2022, the Company experienced a negative impact to revenue and shipments as a result of restricted access and logistics to its Shanghai-based production and administrative facilities. Thirteen tools amounting to $13 million in revenue and $24 million in shipments that could not be shipped to customers in the three-months ended March 30, 2022 were subsequently shipped in the three months ended June 30, 2022. As a result of the restrictions, the Company experienced a modest increase to operational costs due to increased logistics costs and inefficiencies that resulted from the restrictions, an increase in cash used in operations due in part to an increase in accounts receivables that resulted from a shift of shipments towards the latter part of the period, and general administrative inefficiencies.</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anticipates that the effects of the PRC restrictions may continue for several months, with an expected increase of PRC operations, production capacity and global logistics as Shanghai and other areas in the PRC begin to reopen. The Company cannot assure that closures or reductions of operations or production, whether of ACM Shanghai or of some of its key customers, may not be extended or re-introduced in the second half of 2022 as the result of business interruptions arising from protective measures being taken by the PRC and other governmental agencies or of other consequences of COVID-19.</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Company’s corporate headquarters are located in San Mateo County in the San Francisco Bay Area. The effects of actions taken by local governmental agencies in the future may negatively impact productivity, disrupt the business of the Company and delay timelines, the magnitude of which will depend, in part, on the length and severity of the restrictions and other limitations on the Company’s ability to conduct its business in the ordinary course.</w:t>
      </w:r>
    </w:p>
    <w:p>
      <w:pPr>
        <w:spacing w:after="0" w:line="17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To date, the Company’s operations in South Korea, including the R&amp;D center and production facilities of ACM Korea and the business development activities of Hanguk ACM CO., LTD, have been largely unaffected directly by government restrictions relating to the COVID-19 pandemic.</w:t>
      </w:r>
    </w:p>
    <w:p>
      <w:pPr>
        <w:spacing w:after="0" w:line="15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worldwide prolonged and broad-based shift to remote working environments resulting from COVID-19 continues to create inherent productivity, connectivity, and oversight challenges and could affect the Company’s ability to enhance, develop and support existing products and services, detect and prevent spam and problematic content, hold product sales and marketing events, and generate new sales leads. In addition, the changed environment under which the Company is operating could have an effect on its internal controls over financial reporting as well as its ability to comply with a number of timing and quality requirements. Additional or extended governmental quarantines, restrictions or regulations could significantly impact the ability of the Company’s employees and vendors to work productively. Governmental restrictions have been inconsistent globally and it remains unclear when a return to worksite locations or travel will be permitted or what restrictions will be in place in those environments. As the Company continues to return its workforce to the office in 2022, it may experience increased costs as it prepares and maintains its facilities for a safe work environment and experiments with hybrid work models and it may suffer additional adverse effects on its ability to compete effectively and maintain its corporate culture.</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Extended periods of interruption to the Company’s corporate, development or manufacturing facilities due to the COVID-19 pandemic could cause the Company to lose revenue and market share, which would depress its financial performance and could be difficult to recapture. The Company’s business may also be harmed if travel to or from the PRC or the United States continues to be restricted or inadvisable or if members of management and other employees are absent because they contract COVID-19, they elect not to come to work due to the illness affecting others in the Company’s office or laboratory facilities, or they are subject to quarantines or other governmentally imposed restrictions.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percentage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Use of Estimates</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preparation of the condensed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condensed consolidated financial statements and accompanying notes. The Company’s significant accounting estimates and assumptions include, but are not limited to, those used for revenue recognition and deferred revenue, the valuation and recognition of fair value of trading securities, stock-based compensation arrangements, realization of deferred tax assets, assessment for impairment of long-lived assets, allowance for doubtful accounts, inventory valuation, depreciable lives of property, plant and equipment and useful life of intangible assets.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Management evaluates these estimates and assumptions on a regular basis. Actual results could differ from those estimates and assumptions.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Cash, Cash Equivalents and Restricted Cash</w:t>
      </w:r>
    </w:p>
    <w:p>
      <w:pPr>
        <w:spacing w:after="0" w:line="2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Cash and cash equivalents consist of cash on hand, bank deposits that are unrestricted as to withdrawal and use, and highly liquid investments with an original maturity date of three months or less at the date of purchase.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cash, cash equivalents and restricted cash, according to jurisdiction as of June 30, 2022 and December 31,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340" w:type="dxa"/>
            <w:vAlign w:val="bottom"/>
            <w:gridSpan w:val="3"/>
          </w:tcPr>
          <w:p>
            <w:pPr>
              <w:ind w:left="20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4"/>
        </w:trPr>
        <w:tc>
          <w:tcPr>
            <w:tcW w:w="8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r>
      <w:tr>
        <w:trPr>
          <w:trHeight w:val="19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29,742</w:t>
            </w:r>
          </w:p>
        </w:tc>
        <w:tc>
          <w:tcPr>
            <w:tcW w:w="3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34,852</w:t>
            </w:r>
          </w:p>
        </w:tc>
        <w:tc>
          <w:tcPr>
            <w:tcW w:w="100" w:type="dxa"/>
            <w:vAlign w:val="bottom"/>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Mainland China</w:t>
            </w:r>
          </w:p>
        </w:tc>
        <w:tc>
          <w:tcPr>
            <w:tcW w:w="160" w:type="dxa"/>
            <w:vAlign w:val="bottom"/>
          </w:tcPr>
          <w:p>
            <w:pPr>
              <w:spacing w:after="0"/>
              <w:rPr>
                <w:sz w:val="17"/>
                <w:szCs w:val="17"/>
                <w:color w:val="auto"/>
              </w:rPr>
            </w:pP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240,229</w:t>
            </w: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469,494</w:t>
            </w:r>
          </w:p>
        </w:tc>
        <w:tc>
          <w:tcPr>
            <w:tcW w:w="100" w:type="dxa"/>
            <w:vAlign w:val="bottom"/>
          </w:tcPr>
          <w:p>
            <w:pPr>
              <w:spacing w:after="0"/>
              <w:rPr>
                <w:sz w:val="17"/>
                <w:szCs w:val="17"/>
                <w:color w:val="auto"/>
              </w:rPr>
            </w:pPr>
          </w:p>
        </w:tc>
      </w:tr>
      <w:tr>
        <w:trPr>
          <w:trHeight w:val="19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China Hong Kong</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52,529</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52,527</w:t>
            </w:r>
          </w:p>
        </w:tc>
        <w:tc>
          <w:tcPr>
            <w:tcW w:w="100" w:type="dxa"/>
            <w:vAlign w:val="bottom"/>
            <w:shd w:val="clear" w:color="auto" w:fill="CCEEFF"/>
          </w:tcPr>
          <w:p>
            <w:pPr>
              <w:spacing w:after="0"/>
              <w:rPr>
                <w:sz w:val="17"/>
                <w:szCs w:val="17"/>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South Korea</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1,844</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6,194</w:t>
            </w:r>
          </w:p>
        </w:tc>
        <w:tc>
          <w:tcPr>
            <w:tcW w:w="100" w:type="dxa"/>
            <w:vAlign w:val="bottom"/>
          </w:tcPr>
          <w:p>
            <w:pPr>
              <w:spacing w:after="0"/>
              <w:rPr>
                <w:sz w:val="17"/>
                <w:szCs w:val="17"/>
                <w:color w:val="auto"/>
              </w:rPr>
            </w:pPr>
          </w:p>
        </w:tc>
      </w:tr>
      <w:tr>
        <w:trPr>
          <w:trHeight w:val="204"/>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324,344</w:t>
            </w:r>
          </w:p>
        </w:tc>
        <w:tc>
          <w:tcPr>
            <w:tcW w:w="3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563,067</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amounts in mainland China do not include short-term and long-term time deposits which totaled $144,530 and $0 for the periods ending June 30, 2022 and December 31, 2021, respectively.</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Cash held in the U.S. exceeds the Federal Deposit Insurance Corporation (“FDIC”) insurance limits and is subject to risk of loss. No losses have been experienced to date.</w:t>
      </w:r>
    </w:p>
    <w:p>
      <w:pPr>
        <w:spacing w:after="0" w:line="1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For amounts held in mainland China, PRC banks are subject to a series of risk control regulatory standards from PRC bank regulatory authorities. The Company is required to obtain approval from the State Administration of Foreign Exchange (“SAFE”) to transfer funds in or out of the PRC. SAFE requires a valid agreement to approve the transfers, which are processed through a bank. Other than PRC foreign exchange restrictions, the Company is not subject to any PRC restrictions and limitations on its ability to transfer funds among subsidiaries. Cash held in mainland China exceeds the insurance limits and is subject to risk of loss. No losses have been experienced to date.</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Amounts held in South Korea exceed the Korea Deposit Insurance Corporation (“KDIC”) insurance limits and is subject to risk of loss. No losses have been experienced to date.</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There is no additional restriction for the transfer of cash from bank accounts in the U.S., South Korea, and Hong Kong. For sales through CleanChip and ACM Research, a certain amount of sales proceeds is repatriated back to ACM Shanghai in accordance with the transfer pricing arrangements in the ordinary course of business. For purchases made by ACM California on behalf of ACM Shanghai, cash payments in accordance with the transfer pricing arrangements are delivered to ACM California from ACM Shanghai. ACM California borrows intercompany loans from CleanChip for working capital purposes.</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For the six months ended June 30, 2022 and 2021, no transfers, dividends, or distributions have been made between ACM Research and its subsidiaries, including ACM Shanghai, or to holders of ACM Research Class A common stock.</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percentage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Time Deposits</w:t>
      </w:r>
    </w:p>
    <w:p>
      <w:pPr>
        <w:spacing w:after="0" w:line="203"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7"/>
          <w:szCs w:val="17"/>
          <w:color w:val="auto"/>
        </w:rPr>
        <w:t>Time deposits are deposited with banks in mainland China with fixed periods and interest rates which can’t be withdrawn before maturity. They are also subject to risk control regulatory standards above upon maturity. Time deposits consisted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8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2021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Deposit in China Merchant Bank which will mature on January 29, 2023 with an annual interest rate of 2.25%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D0D0D"/>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D0D0D"/>
              </w:rPr>
              <w:t>40,230</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97"/>
              <w:spacing w:after="0"/>
              <w:rPr>
                <w:sz w:val="20"/>
                <w:szCs w:val="20"/>
                <w:color w:val="auto"/>
              </w:rPr>
            </w:pPr>
            <w:r>
              <w:rPr>
                <w:rFonts w:ascii="Times New Roman" w:cs="Times New Roman" w:eastAsia="Times New Roman" w:hAnsi="Times New Roman"/>
                <w:sz w:val="17"/>
                <w:szCs w:val="17"/>
                <w:color w:val="0D0D0D"/>
                <w:w w:val="70"/>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D0D0D"/>
                <w:w w:val="74"/>
              </w:rPr>
              <w:t>-</w:t>
            </w:r>
          </w:p>
        </w:tc>
        <w:tc>
          <w:tcPr>
            <w:tcW w:w="100" w:type="dxa"/>
            <w:vAlign w:val="bottom"/>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Deposit in China Everbright Bank which will mature on January 29, 2023 with an annual interest rate of 2.25%</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0D0D0D"/>
              </w:rPr>
              <w:t>14,900</w:t>
            </w:r>
          </w:p>
        </w:tc>
        <w:tc>
          <w:tcPr>
            <w:tcW w:w="106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0D0D0D"/>
                <w:w w:val="74"/>
              </w:rPr>
              <w:t>-</w:t>
            </w:r>
          </w:p>
        </w:tc>
        <w:tc>
          <w:tcPr>
            <w:tcW w:w="100" w:type="dxa"/>
            <w:vAlign w:val="bottom"/>
          </w:tcPr>
          <w:p>
            <w:pPr>
              <w:spacing w:after="0"/>
              <w:rPr>
                <w:sz w:val="17"/>
                <w:szCs w:val="17"/>
                <w:color w:val="auto"/>
              </w:rPr>
            </w:pPr>
          </w:p>
        </w:tc>
      </w:tr>
      <w:tr>
        <w:trPr>
          <w:trHeight w:val="19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Deposit in China Industrial Bank which will mature on January 30, 2023 with an annual interest rate of 2.15%</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0D0D0D"/>
              </w:rPr>
              <w:t>14,900</w:t>
            </w: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D0D0D"/>
                <w:w w:val="74"/>
              </w:rPr>
              <w:t>-</w:t>
            </w:r>
          </w:p>
        </w:tc>
        <w:tc>
          <w:tcPr>
            <w:tcW w:w="100" w:type="dxa"/>
            <w:vAlign w:val="bottom"/>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Deposit in China Merchant Bank which will mature on January 29, 2024 with an annual interest rate of 2.85%</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0D0D0D"/>
              </w:rPr>
              <w:t>29,800</w:t>
            </w:r>
          </w:p>
        </w:tc>
        <w:tc>
          <w:tcPr>
            <w:tcW w:w="106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0D0D0D"/>
                <w:w w:val="74"/>
              </w:rPr>
              <w:t>-</w:t>
            </w:r>
          </w:p>
        </w:tc>
        <w:tc>
          <w:tcPr>
            <w:tcW w:w="100" w:type="dxa"/>
            <w:vAlign w:val="bottom"/>
          </w:tcPr>
          <w:p>
            <w:pPr>
              <w:spacing w:after="0"/>
              <w:rPr>
                <w:sz w:val="17"/>
                <w:szCs w:val="17"/>
                <w:color w:val="auto"/>
              </w:rPr>
            </w:pPr>
          </w:p>
        </w:tc>
      </w:tr>
      <w:tr>
        <w:trPr>
          <w:trHeight w:val="20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Deposit in Bank of Ningbo which will mature on February 17, 2024 with an annual interest rate of 2.85%</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0D0D0D"/>
              </w:rPr>
              <w:t>44,700</w:t>
            </w: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D0D0D"/>
                <w:w w:val="74"/>
              </w:rPr>
              <w:t>-</w:t>
            </w:r>
          </w:p>
        </w:tc>
        <w:tc>
          <w:tcPr>
            <w:tcW w:w="100" w:type="dxa"/>
            <w:vAlign w:val="bottom"/>
            <w:shd w:val="clear" w:color="auto" w:fill="CCEEFF"/>
          </w:tcPr>
          <w:p>
            <w:pPr>
              <w:spacing w:after="0"/>
              <w:rPr>
                <w:sz w:val="17"/>
                <w:szCs w:val="17"/>
                <w:color w:val="auto"/>
              </w:rPr>
            </w:pPr>
          </w:p>
        </w:tc>
      </w:tr>
      <w:tr>
        <w:trPr>
          <w:trHeight w:val="199"/>
        </w:trPr>
        <w:tc>
          <w:tcPr>
            <w:tcW w:w="868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144,530</w:t>
            </w:r>
          </w:p>
        </w:tc>
        <w:tc>
          <w:tcPr>
            <w:tcW w:w="220" w:type="dxa"/>
            <w:vAlign w:val="bottom"/>
            <w:tcBorders>
              <w:top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897"/>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three and six months ended June 30, 2022, respectively, interest income related to time deposits was $951 and $1,539,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Intangible Assets, Net</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Intangible assets consist of software used for finance, manufacturing, and research and development purposes. Assets are valued at cost at the time of acquisition and are amortized over their beneficial periods. If a contract specifies a beneficial period, then the intangible asset is amortized over a term not exceeding the beneficial period. For those intangible assets with contracts that do not specify a beneficial period or for which local law does not specify a beneficial period, management estimates the beneficial period based on the period over which the asset is expected to contribute directly or indirectly to the cash flows in accordance with ASC 350, </w:t>
      </w:r>
      <w:r>
        <w:rPr>
          <w:rFonts w:ascii="Times New Roman" w:cs="Times New Roman" w:eastAsia="Times New Roman" w:hAnsi="Times New Roman"/>
          <w:sz w:val="17"/>
          <w:szCs w:val="17"/>
          <w:i w:val="1"/>
          <w:iCs w:val="1"/>
          <w:color w:val="auto"/>
        </w:rPr>
        <w:t>Intangibles—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Goodwill and Other</w:t>
      </w:r>
      <w:r>
        <w:rPr>
          <w:rFonts w:ascii="Times New Roman" w:cs="Times New Roman" w:eastAsia="Times New Roman" w:hAnsi="Times New Roman"/>
          <w:sz w:val="17"/>
          <w:szCs w:val="17"/>
          <w:color w:val="auto"/>
        </w:rPr>
        <w:t>. The factors include, but are not limited to, the change of technology and the change of type of product. The company estimated these intangible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assets with less than 10 years of beneficial period. Accordingly, they are amortized up to 10 years.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Revenue Recognition</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The Company derives revenue principally from the sale of semiconductor capital equipment. Revenue from contracts with customers is recognized using the following five steps pursuant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440" w:hanging="440"/>
        <w:spacing w:after="0"/>
        <w:tabs>
          <w:tab w:leader="none" w:pos="4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the contract(s) with a customer;</w:t>
      </w:r>
    </w:p>
    <w:p>
      <w:pPr>
        <w:spacing w:after="0" w:line="3" w:lineRule="exact"/>
        <w:rPr>
          <w:rFonts w:ascii="Times New Roman" w:cs="Times New Roman" w:eastAsia="Times New Roman" w:hAnsi="Times New Roman"/>
          <w:sz w:val="17"/>
          <w:szCs w:val="17"/>
          <w:color w:val="auto"/>
        </w:rPr>
      </w:pPr>
    </w:p>
    <w:p>
      <w:pPr>
        <w:ind w:left="440" w:hanging="440"/>
        <w:spacing w:after="0"/>
        <w:tabs>
          <w:tab w:leader="none" w:pos="4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the performance obligations in the contract;</w:t>
      </w:r>
    </w:p>
    <w:p>
      <w:pPr>
        <w:spacing w:after="0" w:line="3" w:lineRule="exact"/>
        <w:rPr>
          <w:rFonts w:ascii="Times New Roman" w:cs="Times New Roman" w:eastAsia="Times New Roman" w:hAnsi="Times New Roman"/>
          <w:sz w:val="17"/>
          <w:szCs w:val="17"/>
          <w:color w:val="auto"/>
        </w:rPr>
      </w:pPr>
    </w:p>
    <w:p>
      <w:pPr>
        <w:ind w:left="440" w:hanging="440"/>
        <w:spacing w:after="0"/>
        <w:tabs>
          <w:tab w:leader="none" w:pos="4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transaction price;</w:t>
      </w:r>
    </w:p>
    <w:p>
      <w:pPr>
        <w:spacing w:after="0" w:line="3" w:lineRule="exact"/>
        <w:rPr>
          <w:rFonts w:ascii="Times New Roman" w:cs="Times New Roman" w:eastAsia="Times New Roman" w:hAnsi="Times New Roman"/>
          <w:sz w:val="17"/>
          <w:szCs w:val="17"/>
          <w:color w:val="auto"/>
        </w:rPr>
      </w:pPr>
    </w:p>
    <w:p>
      <w:pPr>
        <w:ind w:left="440" w:hanging="440"/>
        <w:spacing w:after="0"/>
        <w:tabs>
          <w:tab w:leader="none" w:pos="4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 the transaction price to the performance obligations in the contract; and</w:t>
      </w:r>
    </w:p>
    <w:p>
      <w:pPr>
        <w:spacing w:after="0" w:line="3" w:lineRule="exact"/>
        <w:rPr>
          <w:rFonts w:ascii="Times New Roman" w:cs="Times New Roman" w:eastAsia="Times New Roman" w:hAnsi="Times New Roman"/>
          <w:sz w:val="17"/>
          <w:szCs w:val="17"/>
          <w:color w:val="auto"/>
        </w:rPr>
      </w:pPr>
    </w:p>
    <w:p>
      <w:pPr>
        <w:ind w:left="440" w:hanging="440"/>
        <w:spacing w:after="0"/>
        <w:tabs>
          <w:tab w:leader="none" w:pos="4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 revenue when (or as) the entity satisfies a performance obligation.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contract contains a promise (or promises) to transfer goods or services to a customer. A performance obligation is a promise (or a group of promises) that is distinct.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transaction price is the amount of consideration a company expects to be entitled from a customer in exchange for providing the goods or services.</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 xml:space="preserve">The unit of account for revenue recognition is a performance obligation (a good or service). A contract may contain one or more performance obligations. Performance obligations are accounted for separately if they are distinct. A good or service is distinct if the customer can benefit from the good or service either on its own or together with other resources that are readily available to the customer, and the good or service is distinct in the context of the contract. Otherwise performance obligations are combined with other promised goods or services until the Company identifies a bundle of goods or services that is distinct. Promises in contracts which do not result in the transfer of a good or service are not performance obligations, as well as those promises that are administrative in nature, or are immaterial in the context of the contract. The Company has addressed whether various goods and services promised to the customer represent distinct performance obligations. The Company applied the guidance of ASC Topic 606 in order to verify which promises should be assessed for classification as distinct performance obligations. The Company’s performance obligations in connection with a sale of equipment generally include production, delivery and installation, together with the provision of a warranty. Given that the Company’s products are customized based on specifications of its customers, the Company determines that the promise to the customer is to provide a customized product solution. The product and customization services are inputs into the combined item for which customer has contracted and, as a result, the product and installation services are not separately identifiable and are combined into a single performance obligation. Delivery of goods to a customer is not a separate performance obligation since control of the goods normally does not transfer to the customer before shipment. The Company’s warranties provide assurance that its products will function as expected and in accordance with certain specifications. The Company’s warranties are intended to safeguard the customer against existing defects and do not provide any incremental service to the customer. They are not separate performance obligations and accounted for under </w:t>
      </w:r>
      <w:r>
        <w:rPr>
          <w:rFonts w:ascii="Times New Roman" w:cs="Times New Roman" w:eastAsia="Times New Roman" w:hAnsi="Times New Roman"/>
          <w:sz w:val="17"/>
          <w:szCs w:val="17"/>
          <w:i w:val="1"/>
          <w:iCs w:val="1"/>
          <w:color w:val="auto"/>
        </w:rPr>
        <w:t>ASC 460, Guarantees</w:t>
      </w:r>
      <w:r>
        <w:rPr>
          <w:rFonts w:ascii="Times New Roman" w:cs="Times New Roman" w:eastAsia="Times New Roman" w:hAnsi="Times New Roman"/>
          <w:sz w:val="17"/>
          <w:szCs w:val="17"/>
          <w:color w:val="auto"/>
        </w:rPr>
        <w:t>. Production, delivery and installation of a product, together with provision of a warranty, are a single unit of accounting.</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percentage and per share data)</w:t>
      </w:r>
    </w:p>
    <w:p>
      <w:pPr>
        <w:spacing w:after="0" w:line="1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transaction price is allocated to all the separate performance obligations in an arrangement. It reflects the amount of consideration to which the Company expects to be entitled in exchange for transferring goods or services, which may include an estimate of variable consideration to the extent that it is probable of not being subject to significant reversals in the future based on the Company’s experience with similar arrangements. The transaction price excludes amounts collected on behalf of third parties, such as sales taxes. This is done on a relative selling price basis using standalone selling prices (“SSP”). The SSP represents the price at which the Company would sell that good or service on a standalone basis at the inception of the contract. Given the requirement for establishing SSP for all performance obligations, if the SSP is directly observable through standalone sales, then such sales should be considered in the establishment of the SSP for the performance obligation.</w:t>
      </w:r>
    </w:p>
    <w:p>
      <w:pPr>
        <w:spacing w:after="0" w:line="16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For some sale contracts, in addition to the sale of semiconductor capital equipment, the Company also provides certain spare parts to the customers. The Company defers revenue associated with spare parts sold together with its tool products, including production, delivery, installation and warranty which are accounted for as one performance obligation, based on stand-alone observable selling prices for which it receives payments in advance and recognizes the revenue upon the subsequent shipment of the spare parts, which is expected within one year. The deferred revenue was $2,950 and $3,180 at June 30, 2022 and December 31, 2021, respectively.</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Revenue is recognized when the Company satisfies each performance obligation by transferring control of the promised goods or services to the customer. Goods or services can transfer at a point in time (upon the acceptance of the products or upon the arrival at the destination as stipulated in the shipment terms) in a sale arrangement. In general, the Company recognizes revenue when a tool has been demonstrated to meet the customer’s predetermined specifications and is accepted by the customer. If terms of the sale provide for a lapsing customer acceptance period, the Company recognizes revenue as of the earlier of the expiration of the lapsing acceptance period and customer acceptance. In the following circumstances, however, the Company recognizes revenue upon shipment or delivery, when legal title to the tool is passed to a customer as follows:</w:t>
      </w:r>
    </w:p>
    <w:p>
      <w:pPr>
        <w:spacing w:after="0" w:line="177" w:lineRule="exact"/>
        <w:rPr>
          <w:sz w:val="20"/>
          <w:szCs w:val="20"/>
          <w:color w:val="auto"/>
        </w:rPr>
      </w:pPr>
    </w:p>
    <w:p>
      <w:pPr>
        <w:ind w:left="440" w:right="20" w:hanging="440"/>
        <w:spacing w:after="0" w:line="254" w:lineRule="auto"/>
        <w:tabs>
          <w:tab w:leader="none" w:pos="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customer has previously accepted the same tool with the same specifications and the Company can objectively demonstrate that the tool meets all of the required acceptance criteria;</w:t>
      </w:r>
    </w:p>
    <w:p>
      <w:pPr>
        <w:spacing w:after="0" w:line="1" w:lineRule="exact"/>
        <w:rPr>
          <w:rFonts w:ascii="Times New Roman" w:cs="Times New Roman" w:eastAsia="Times New Roman" w:hAnsi="Times New Roman"/>
          <w:sz w:val="17"/>
          <w:szCs w:val="17"/>
          <w:color w:val="auto"/>
        </w:rPr>
      </w:pPr>
    </w:p>
    <w:p>
      <w:pPr>
        <w:ind w:left="440" w:right="160" w:hanging="440"/>
        <w:spacing w:after="0" w:line="244" w:lineRule="auto"/>
        <w:tabs>
          <w:tab w:leader="none" w:pos="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sales contract or purchase order contains no acceptance agreement or lapsing acceptance provision and the Company can objectively demonstrate that the tool meets all of the required acceptance criteria;</w:t>
      </w:r>
    </w:p>
    <w:p>
      <w:pPr>
        <w:ind w:left="440" w:right="160" w:hanging="440"/>
        <w:spacing w:after="0" w:line="244" w:lineRule="auto"/>
        <w:tabs>
          <w:tab w:leader="none" w:pos="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customer withholds acceptance due to issues unrelated to product performance, in which case revenue is recognized when the system is performing as intended and meets predetermined specifications; or</w:t>
      </w:r>
    </w:p>
    <w:p>
      <w:pPr>
        <w:ind w:left="440" w:hanging="440"/>
        <w:spacing w:after="0"/>
        <w:tabs>
          <w:tab w:leader="none" w:pos="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Company’s sales arrangements do not include a general right of return.</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offers maintenance services, which consist principally of the installation and replacement of parts and small-scale modifications to the equipment. The related revenue and costs of revenue are recognized when parts have been delivered and installed and the customers have obtained control of the parts.</w:t>
      </w:r>
    </w:p>
    <w:p>
      <w:pPr>
        <w:spacing w:after="0" w:line="1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Company incurs costs related to the acquisition of its contracts with customers in the form of sales commissions. Sales commissions are paid to third party representatives and distributors. Contractual agreements with these parties outline commission structures and rates to be paid. Generally speaking, the contracts are all individual procurement decisions by the customers and are not for significant periods of time, nor do they include renewal provisions. As such, all contracts have an economic life of significantly less than a year. Accordingly, the Company expenses sales commissions when incurred. These costs are recorded within sales and marketing expenses. The Company, therefore, does not have contract assets.</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does not incur any costs to fulfill the contracts with customers that are not already reported in compliance with another applicable standard (for example, inventory or plant, property and equipment).</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receives payments from customers prior to the transfer of control either upon contract sign-off and/or the delivery of evaluation tools, they are recorded as advances from customers.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percentage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Basic and Diluted Net Income per Common Share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Basic and diluted net income per common share are calculated as follows, as adjusted to give effect to the Stock Split: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gridSpan w:val="5"/>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w w:val="98"/>
              </w:rPr>
              <w:t>Three Months Ended June 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5"/>
          </w:tcPr>
          <w:p>
            <w:pPr>
              <w:ind w:left="10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04"/>
        </w:trPr>
        <w:tc>
          <w:tcPr>
            <w:tcW w:w="5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7"/>
                <w:szCs w:val="17"/>
                <w:color w:val="auto"/>
              </w:rPr>
            </w:pPr>
          </w:p>
        </w:tc>
      </w:tr>
      <w:tr>
        <w:trPr>
          <w:trHeight w:val="199"/>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Numerator:</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7,334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9,305</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13,156</w:t>
            </w:r>
          </w:p>
        </w:tc>
      </w:tr>
      <w:tr>
        <w:trPr>
          <w:trHeight w:val="204"/>
        </w:trPr>
        <w:tc>
          <w:tcPr>
            <w:tcW w:w="5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2,855</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1,119</w:t>
            </w:r>
          </w:p>
        </w:tc>
      </w:tr>
      <w:tr>
        <w:trPr>
          <w:trHeight w:val="239"/>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available to common stockholders, basic</w:t>
            </w: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12,236</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6,450</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4"/>
        </w:trPr>
        <w:tc>
          <w:tcPr>
            <w:tcW w:w="550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Less: Dilutive effect arising from stock-based awards by ACM Shanghai</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230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7"/>
                <w:szCs w:val="17"/>
                <w:color w:val="auto"/>
              </w:rPr>
              <w:t>147</w:t>
            </w:r>
          </w:p>
        </w:tc>
        <w:tc>
          <w:tcPr>
            <w:tcW w:w="22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r>
      <w:tr>
        <w:trPr>
          <w:trHeight w:val="20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income available to common stockholders, diluted</w:t>
            </w:r>
          </w:p>
        </w:tc>
        <w:tc>
          <w:tcPr>
            <w:tcW w:w="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12,006</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6,303</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5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r>
      <w:tr>
        <w:trPr>
          <w:trHeight w:val="19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shares outstanding, basic (1)</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59,177,643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57,370,977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59,003,484</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56,868,585</w:t>
            </w:r>
          </w:p>
        </w:tc>
      </w:tr>
      <w:tr>
        <w:trPr>
          <w:trHeight w:val="204"/>
        </w:trPr>
        <w:tc>
          <w:tcPr>
            <w:tcW w:w="5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6,301,034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8,052,255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6,769,489</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8,169,999</w:t>
            </w:r>
          </w:p>
        </w:tc>
        <w:tc>
          <w:tcPr>
            <w:tcW w:w="100" w:type="dxa"/>
            <w:vAlign w:val="bottom"/>
          </w:tcPr>
          <w:p>
            <w:pPr>
              <w:spacing w:after="0"/>
              <w:rPr>
                <w:sz w:val="17"/>
                <w:szCs w:val="17"/>
                <w:color w:val="auto"/>
              </w:rPr>
            </w:pPr>
          </w:p>
        </w:tc>
      </w:tr>
      <w:tr>
        <w:trPr>
          <w:trHeight w:val="239"/>
        </w:trPr>
        <w:tc>
          <w:tcPr>
            <w:tcW w:w="5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Weighted average shares outstanding, diluted</w:t>
            </w: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65,478,677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65,423,232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65,772,973</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65,038,584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89"/>
        </w:trPr>
        <w:tc>
          <w:tcPr>
            <w:tcW w:w="5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per common share:</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5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0.11</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0.21</w:t>
            </w:r>
          </w:p>
        </w:tc>
      </w:tr>
      <w:tr>
        <w:trPr>
          <w:trHeight w:val="20"/>
        </w:trPr>
        <w:tc>
          <w:tcPr>
            <w:tcW w:w="5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500" w:type="dxa"/>
            <w:vAlign w:val="bottom"/>
            <w:tcBorders>
              <w:bottom w:val="single" w:sz="8" w:color="CCEEFF"/>
            </w:tcBorders>
            <w:shd w:val="clear" w:color="auto" w:fill="CCEEFF"/>
          </w:tcPr>
          <w:p>
            <w:pPr>
              <w:ind w:left="120"/>
              <w:spacing w:after="0" w:line="189" w:lineRule="exact"/>
              <w:rPr>
                <w:sz w:val="20"/>
                <w:szCs w:val="20"/>
                <w:color w:val="auto"/>
              </w:rPr>
            </w:pPr>
            <w:r>
              <w:rPr>
                <w:rFonts w:ascii="Times New Roman" w:cs="Times New Roman" w:eastAsia="Times New Roman" w:hAnsi="Times New Roman"/>
                <w:sz w:val="17"/>
                <w:szCs w:val="17"/>
                <w:color w:val="auto"/>
              </w:rPr>
              <w:t>Diluted</w:t>
            </w: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0.18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7"/>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0.10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0.10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0.19</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83" w:lineRule="exact"/>
        <w:rPr>
          <w:sz w:val="20"/>
          <w:szCs w:val="20"/>
          <w:color w:val="auto"/>
        </w:rPr>
      </w:pPr>
    </w:p>
    <w:p>
      <w:pPr>
        <w:ind w:left="440" w:hanging="440"/>
        <w:spacing w:after="0"/>
        <w:tabs>
          <w:tab w:leader="none" w:pos="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period results have been adjusted to reflect the three-for-one stock split effected in the form of a stock dividend in March 2022. See Note 1 for details.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cash dividends during the three and six months ended June 30, 2022 or 2021, the net income per common share attributable to each class is the same under the “two-class” method. As such, the two classes of common stock have been presented on a combined basis in the condensed consolidated statements of operations and comprehensive income and in the above computation of net income per common share.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Diluted net income per common share reflects the potential dilution from securities, including stock options and issued warrants, that could share in ACM’s earnings. Certain potential dilutive securities were excluded from the net income per share calculation because the impact would be anti-dilutive. ACM’s potential dilutive securities consist of stock options for the three and six months ended June 30, 2022 and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Concentration of Credit Risk</w:t>
      </w:r>
    </w:p>
    <w:p>
      <w:pPr>
        <w:spacing w:after="0" w:line="2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credit risk consist principally of cash and cash equivalents, time deposits, and accounts receivable. The Company deposits and invests its cash with financial institutions that management believes are creditworthy.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is potentially subject to concentrations of credit risks in its accounts receivable. For the three months ended June 30, 2022 and 2021, four customers accounted for 59.7% and two customers accounted for 73.3% of revenue, respectively. For the six months ended June 30, 2022 and 2021, four customers accounted for 55.0% and two customers accounted for 57.3% of revenue, respectively.</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of June 30, 2022 and December 31, 2021, four customers accounted for 70.4% and two customers accounted for 53.8%, respectively, of the Company’s accounts receivables. The Company believes that the receivable balances from these largest customers do not represent a significant credit risk based on past collection experience.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Recent Accounting Pronouncements Not Yet Adopted</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In June 2016 the Financial Accounting Standards Board, or FASB, issued Accounting Standards Update, or ASU, 2016-13, </w:t>
      </w:r>
      <w:r>
        <w:rPr>
          <w:rFonts w:ascii="Times New Roman" w:cs="Times New Roman" w:eastAsia="Times New Roman" w:hAnsi="Times New Roman"/>
          <w:sz w:val="17"/>
          <w:szCs w:val="17"/>
          <w:i w:val="1"/>
          <w:iCs w:val="1"/>
          <w:color w:val="auto"/>
        </w:rPr>
        <w:t>Financial Instruments-Credit Losses (Topic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326): Measurement of Credit Losses on Financial Instruments</w:t>
      </w:r>
      <w:r>
        <w:rPr>
          <w:rFonts w:ascii="Times New Roman" w:cs="Times New Roman" w:eastAsia="Times New Roman" w:hAnsi="Times New Roman"/>
          <w:sz w:val="17"/>
          <w:szCs w:val="17"/>
          <w:color w:val="auto"/>
        </w:rPr>
        <w:t>. ASU 2016-13 replaced the pre-existing incurred loss impairment methodology with a methodology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reflects expected credit losses and requires consideration of a broader range of reasonable and supportable information to inform credit loss estimates. ASU 2016-13 requires use of a forward-looking expected credit loss model for accounts receivables, loans and other financial instruments. ASU 2016-13 is effective for fiscal years beginning after December 15, 2019, with early adoption permitted but the effective date is changed by ASU 2019-10 below.</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percentage and per share data)</w:t>
      </w:r>
    </w:p>
    <w:p>
      <w:pPr>
        <w:spacing w:after="0" w:line="1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 xml:space="preserve">In November 2019 the FASB issued ASU 2019-10,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Credit Losses (Topic 326), Derivatives and Hedging (Topic 815), and Leases (Topic 842):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Effective Dates. </w:t>
      </w:r>
      <w:r>
        <w:rPr>
          <w:rFonts w:ascii="Times New Roman" w:cs="Times New Roman" w:eastAsia="Times New Roman" w:hAnsi="Times New Roman"/>
          <w:sz w:val="17"/>
          <w:szCs w:val="17"/>
          <w:color w:val="auto"/>
        </w:rPr>
        <w:t>In advance of the issuance of ASU 2019-10, the Company adopted ASU 2017-12,</w:t>
      </w:r>
      <w:r>
        <w:rPr>
          <w:rFonts w:ascii="Times New Roman" w:cs="Times New Roman" w:eastAsia="Times New Roman" w:hAnsi="Times New Roman"/>
          <w:sz w:val="17"/>
          <w:szCs w:val="17"/>
          <w:i w:val="1"/>
          <w:iCs w:val="1"/>
          <w:color w:val="auto"/>
        </w:rPr>
        <w:t xml:space="preserve"> Derivatives and Hedging (Topic 815) </w:t>
      </w:r>
      <w:r>
        <w:rPr>
          <w:rFonts w:ascii="Times New Roman" w:cs="Times New Roman" w:eastAsia="Times New Roman" w:hAnsi="Times New Roman"/>
          <w:sz w:val="17"/>
          <w:szCs w:val="17"/>
          <w:color w:val="auto"/>
        </w:rPr>
        <w:t>and ASU 2016-02,</w:t>
      </w:r>
      <w:r>
        <w:rPr>
          <w:rFonts w:ascii="Times New Roman" w:cs="Times New Roman" w:eastAsia="Times New Roman" w:hAnsi="Times New Roman"/>
          <w:sz w:val="17"/>
          <w:szCs w:val="17"/>
          <w:i w:val="1"/>
          <w:iCs w:val="1"/>
          <w:color w:val="auto"/>
        </w:rPr>
        <w:t xml:space="preserve"> Leases (Topic 842) since January 1, 2019. </w:t>
      </w:r>
      <w:r>
        <w:rPr>
          <w:rFonts w:ascii="Times New Roman" w:cs="Times New Roman" w:eastAsia="Times New Roman" w:hAnsi="Times New Roman"/>
          <w:sz w:val="17"/>
          <w:szCs w:val="17"/>
          <w:color w:val="auto"/>
        </w:rPr>
        <w:t>ASU2019-10 defers the effective date of ASU 2016-13 for public filers that are considered small reporting companies (“SRC”)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defined by the U.S. Securities and Exchange Commission (“SEC”) to fiscal years beginning after December 15, 2022, including interim periods within those fiscal years. Since the Company was eligible to be an SRC based on its SRC determination as of November 15, 2019 (which is the issuance date of ASU 2019-10) in accordance with SEC regulations, the Company will adopt amendments in ASU 2016-13 for the year beginning January 1, 2023. Adoption of the standard requires using a modified retrospective approach through a cumulative-effect adjustment to retained earnings as of the effective date to align existing credit loss methodology with the new standard. The Company is evaluating the impact of this standard on its condensed consolidated financial statements, including accounting policies, processes and systems and expects the standard will not have a significant impact on its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 REVENUE FROM CONTRACTS WITH CUSTOMERS</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assesses revenues based upon the nature or type of goods or services it provides and the geographic location of the related businesses. The following tables present disaggregated revenue information:</w:t>
      </w:r>
    </w:p>
    <w:p>
      <w:pPr>
        <w:sectPr>
          <w:pgSz w:w="11900" w:h="16838" w:orient="portrait"/>
          <w:cols w:equalWidth="0" w:num="1">
            <w:col w:w="11240"/>
          </w:cols>
          <w:pgMar w:left="320" w:top="118" w:right="339" w:bottom="1440" w:gutter="0" w:footer="0" w:header="0"/>
        </w:sectPr>
      </w:pPr>
    </w:p>
    <w:p>
      <w:pPr>
        <w:spacing w:after="0" w:line="155"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22860</wp:posOffset>
            </wp:positionV>
            <wp:extent cx="156464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64640" cy="15875"/>
                    </a:xfrm>
                    <a:prstGeom prst="rect">
                      <a:avLst/>
                    </a:prstGeom>
                    <a:noFill/>
                  </pic:spPr>
                </pic:pic>
              </a:graphicData>
            </a:graphic>
          </wp:anchor>
        </w:drawing>
      </w:r>
    </w:p>
    <w:p>
      <w:pPr>
        <w:spacing w:after="0" w:line="20" w:lineRule="exact"/>
        <w:rPr>
          <w:sz w:val="20"/>
          <w:szCs w:val="20"/>
          <w:color w:val="auto"/>
        </w:rPr>
      </w:pPr>
    </w:p>
    <w:p>
      <w:pPr>
        <w:ind w:left="6380"/>
        <w:spacing w:after="0"/>
        <w:tabs>
          <w:tab w:leader="none" w:pos="7700" w:val="left"/>
        </w:tabs>
        <w:rPr>
          <w:sz w:val="20"/>
          <w:szCs w:val="20"/>
          <w:color w:val="auto"/>
        </w:rPr>
      </w:pPr>
      <w:r>
        <w:rPr>
          <w:rFonts w:ascii="Times New Roman" w:cs="Times New Roman" w:eastAsia="Times New Roman" w:hAnsi="Times New Roman"/>
          <w:sz w:val="17"/>
          <w:szCs w:val="17"/>
          <w:b w:val="1"/>
          <w:bCs w:val="1"/>
          <w:color w:val="auto"/>
        </w:rPr>
        <w:t>2022</w:t>
      </w:r>
      <w:r>
        <w:rPr>
          <w:sz w:val="20"/>
          <w:szCs w:val="20"/>
          <w:color w:val="auto"/>
        </w:rPr>
        <w:tab/>
      </w:r>
      <w:r>
        <w:rPr>
          <w:rFonts w:ascii="Times New Roman" w:cs="Times New Roman" w:eastAsia="Times New Roman" w:hAnsi="Times New Roman"/>
          <w:sz w:val="17"/>
          <w:szCs w:val="17"/>
          <w:b w:val="1"/>
          <w:bCs w:val="1"/>
          <w:color w:val="auto"/>
        </w:rPr>
        <w:t>2021</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22860</wp:posOffset>
            </wp:positionV>
            <wp:extent cx="156464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64640" cy="1587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460" w:val="left"/>
        </w:tabs>
        <w:rPr>
          <w:sz w:val="20"/>
          <w:szCs w:val="20"/>
          <w:color w:val="auto"/>
        </w:rPr>
      </w:pPr>
      <w:r>
        <w:rPr>
          <w:rFonts w:ascii="Times New Roman" w:cs="Times New Roman" w:eastAsia="Times New Roman" w:hAnsi="Times New Roman"/>
          <w:sz w:val="17"/>
          <w:szCs w:val="17"/>
          <w:b w:val="1"/>
          <w:bCs w:val="1"/>
          <w:color w:val="auto"/>
        </w:rPr>
        <w:t>2022</w:t>
      </w:r>
      <w:r>
        <w:rPr>
          <w:sz w:val="20"/>
          <w:szCs w:val="20"/>
          <w:color w:val="auto"/>
        </w:rPr>
        <w:tab/>
      </w:r>
      <w:r>
        <w:rPr>
          <w:rFonts w:ascii="Times New Roman" w:cs="Times New Roman" w:eastAsia="Times New Roman" w:hAnsi="Times New Roman"/>
          <w:sz w:val="17"/>
          <w:szCs w:val="17"/>
          <w:b w:val="1"/>
          <w:bCs w:val="1"/>
          <w:color w:val="auto"/>
        </w:rPr>
        <w:t>2021</w:t>
      </w:r>
    </w:p>
    <w:p>
      <w:pPr>
        <w:spacing w:after="0" w:line="44" w:lineRule="exact"/>
        <w:rPr>
          <w:sz w:val="20"/>
          <w:szCs w:val="20"/>
          <w:color w:val="auto"/>
        </w:rPr>
      </w:pPr>
    </w:p>
    <w:p>
      <w:pPr>
        <w:sectPr>
          <w:pgSz w:w="11900" w:h="16838" w:orient="portrait"/>
          <w:cols w:equalWidth="0" w:num="2">
            <w:col w:w="8280" w:space="580"/>
            <w:col w:w="238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4"/>
        </w:trPr>
        <w:tc>
          <w:tcPr>
            <w:tcW w:w="59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Single wafer cleaning, Tahoe and semi-critical cleaning equipment</w:t>
            </w:r>
          </w:p>
        </w:tc>
        <w:tc>
          <w:tcPr>
            <w:tcW w:w="340" w:type="dxa"/>
            <w:vAlign w:val="bottom"/>
            <w:shd w:val="clear" w:color="auto" w:fill="CCEEFF"/>
          </w:tcPr>
          <w:p>
            <w:pPr>
              <w:jc w:val="right"/>
              <w:ind w:right="177"/>
              <w:spacing w:after="0" w:line="184"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37"/>
              <w:spacing w:after="0" w:line="184" w:lineRule="exact"/>
              <w:rPr>
                <w:sz w:val="20"/>
                <w:szCs w:val="20"/>
                <w:color w:val="auto"/>
              </w:rPr>
            </w:pPr>
            <w:r>
              <w:rPr>
                <w:rFonts w:ascii="Times New Roman" w:cs="Times New Roman" w:eastAsia="Times New Roman" w:hAnsi="Times New Roman"/>
                <w:sz w:val="17"/>
                <w:szCs w:val="17"/>
                <w:color w:val="auto"/>
              </w:rPr>
              <w:t>72,583</w:t>
            </w:r>
          </w:p>
        </w:tc>
        <w:tc>
          <w:tcPr>
            <w:tcW w:w="480" w:type="dxa"/>
            <w:vAlign w:val="bottom"/>
            <w:shd w:val="clear" w:color="auto" w:fill="CCEEFF"/>
          </w:tcPr>
          <w:p>
            <w:pPr>
              <w:jc w:val="right"/>
              <w:ind w:right="197"/>
              <w:spacing w:after="0" w:line="184"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7"/>
                <w:szCs w:val="17"/>
                <w:color w:val="auto"/>
              </w:rPr>
              <w:t>45,461</w:t>
            </w:r>
          </w:p>
        </w:tc>
        <w:tc>
          <w:tcPr>
            <w:tcW w:w="560" w:type="dxa"/>
            <w:vAlign w:val="bottom"/>
            <w:gridSpan w:val="2"/>
            <w:shd w:val="clear" w:color="auto" w:fill="CCEEFF"/>
          </w:tcPr>
          <w:p>
            <w:pPr>
              <w:jc w:val="right"/>
              <w:ind w:right="240"/>
              <w:spacing w:after="0" w:line="184"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7"/>
              <w:spacing w:after="0" w:line="184" w:lineRule="exact"/>
              <w:rPr>
                <w:sz w:val="20"/>
                <w:szCs w:val="20"/>
                <w:color w:val="auto"/>
              </w:rPr>
            </w:pPr>
            <w:r>
              <w:rPr>
                <w:rFonts w:ascii="Times New Roman" w:cs="Times New Roman" w:eastAsia="Times New Roman" w:hAnsi="Times New Roman"/>
                <w:sz w:val="17"/>
                <w:szCs w:val="17"/>
                <w:color w:val="auto"/>
              </w:rPr>
              <w:t>98,616</w:t>
            </w:r>
          </w:p>
        </w:tc>
        <w:tc>
          <w:tcPr>
            <w:tcW w:w="500" w:type="dxa"/>
            <w:vAlign w:val="bottom"/>
            <w:shd w:val="clear" w:color="auto" w:fill="CCEEFF"/>
          </w:tcPr>
          <w:p>
            <w:pPr>
              <w:jc w:val="right"/>
              <w:ind w:right="217"/>
              <w:spacing w:after="0" w:line="184"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line="184" w:lineRule="exact"/>
              <w:rPr>
                <w:sz w:val="20"/>
                <w:szCs w:val="20"/>
                <w:color w:val="auto"/>
              </w:rPr>
            </w:pPr>
            <w:r>
              <w:rPr>
                <w:rFonts w:ascii="Times New Roman" w:cs="Times New Roman" w:eastAsia="Times New Roman" w:hAnsi="Times New Roman"/>
                <w:sz w:val="17"/>
                <w:szCs w:val="17"/>
                <w:color w:val="auto"/>
              </w:rPr>
              <w:t>77,874</w:t>
            </w:r>
          </w:p>
        </w:tc>
      </w:tr>
      <w:tr>
        <w:trPr>
          <w:trHeight w:val="199"/>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ECP (front-end and packaging), furnace and other technologies</w:t>
            </w:r>
          </w:p>
        </w:tc>
        <w:tc>
          <w:tcPr>
            <w:tcW w:w="340" w:type="dxa"/>
            <w:vAlign w:val="bottom"/>
          </w:tcPr>
          <w:p>
            <w:pPr>
              <w:spacing w:after="0"/>
              <w:rPr>
                <w:sz w:val="17"/>
                <w:szCs w:val="17"/>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20,500</w:t>
            </w:r>
          </w:p>
        </w:tc>
        <w:tc>
          <w:tcPr>
            <w:tcW w:w="4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32,748</w:t>
            </w:r>
          </w:p>
        </w:tc>
        <w:tc>
          <w:tcPr>
            <w:tcW w:w="5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5,550</w:t>
            </w:r>
          </w:p>
        </w:tc>
      </w:tr>
      <w:tr>
        <w:trPr>
          <w:trHeight w:val="204"/>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Advanced packaging (excluding ECP), services &amp; spares</w:t>
            </w: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11,312</w:t>
            </w:r>
          </w:p>
        </w:tc>
        <w:tc>
          <w:tcPr>
            <w:tcW w:w="4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8,403</w:t>
            </w: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15,217</w:t>
            </w:r>
          </w:p>
        </w:tc>
        <w:tc>
          <w:tcPr>
            <w:tcW w:w="5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5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Revenue By Product Category</w:t>
            </w: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104,395</w:t>
            </w:r>
          </w:p>
        </w:tc>
        <w:tc>
          <w:tcPr>
            <w:tcW w:w="480" w:type="dxa"/>
            <w:vAlign w:val="bottom"/>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53,864</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146,581</w:t>
            </w:r>
          </w:p>
        </w:tc>
        <w:tc>
          <w:tcPr>
            <w:tcW w:w="500" w:type="dxa"/>
            <w:vAlign w:val="bottom"/>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97,596</w:t>
            </w:r>
          </w:p>
        </w:tc>
      </w:tr>
      <w:tr>
        <w:trPr>
          <w:trHeight w:val="20"/>
        </w:trPr>
        <w:tc>
          <w:tcPr>
            <w:tcW w:w="59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5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spacing w:after="0"/>
              <w:rPr>
                <w:sz w:val="16"/>
                <w:szCs w:val="16"/>
                <w:color w:val="auto"/>
              </w:rPr>
            </w:pPr>
          </w:p>
        </w:tc>
      </w:tr>
      <w:tr>
        <w:trPr>
          <w:trHeight w:val="199"/>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Wet cleaning and other front-end processing tools</w:t>
            </w: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79,553</w:t>
            </w:r>
          </w:p>
        </w:tc>
        <w:tc>
          <w:tcPr>
            <w:tcW w:w="48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45,974</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111,254</w:t>
            </w:r>
          </w:p>
        </w:tc>
        <w:tc>
          <w:tcPr>
            <w:tcW w:w="50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77,874</w:t>
            </w:r>
          </w:p>
        </w:tc>
      </w:tr>
      <w:tr>
        <w:trPr>
          <w:trHeight w:val="204"/>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Advanced packaging, other processing tools, services and spares</w:t>
            </w: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24,842</w:t>
            </w:r>
          </w:p>
        </w:tc>
        <w:tc>
          <w:tcPr>
            <w:tcW w:w="4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7,890</w:t>
            </w: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35,327</w:t>
            </w:r>
          </w:p>
        </w:tc>
        <w:tc>
          <w:tcPr>
            <w:tcW w:w="5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19,722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5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Revenue Front-end and Back-End</w:t>
            </w: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104,395</w:t>
            </w:r>
          </w:p>
        </w:tc>
        <w:tc>
          <w:tcPr>
            <w:tcW w:w="480" w:type="dxa"/>
            <w:vAlign w:val="bottom"/>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53,864</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146,581</w:t>
            </w:r>
          </w:p>
        </w:tc>
        <w:tc>
          <w:tcPr>
            <w:tcW w:w="500" w:type="dxa"/>
            <w:vAlign w:val="bottom"/>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97,596</w:t>
            </w:r>
          </w:p>
        </w:tc>
      </w:tr>
      <w:tr>
        <w:trPr>
          <w:trHeight w:val="20"/>
        </w:trPr>
        <w:tc>
          <w:tcPr>
            <w:tcW w:w="59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sectPr>
          <w:pgSz w:w="11900" w:h="16838" w:orient="portrait"/>
          <w:cols w:equalWidth="0" w:num="1">
            <w:col w:w="11240"/>
          </w:cols>
          <w:pgMar w:left="320" w:top="118" w:right="339" w:bottom="1440" w:gutter="0" w:footer="0" w:header="0"/>
          <w:type w:val="continuous"/>
        </w:sectPr>
      </w:pPr>
    </w:p>
    <w:p>
      <w:pPr>
        <w:jc w:val="center"/>
        <w:ind w:left="61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22860</wp:posOffset>
            </wp:positionV>
            <wp:extent cx="156464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64640" cy="15875"/>
                    </a:xfrm>
                    <a:prstGeom prst="rect">
                      <a:avLst/>
                    </a:prstGeom>
                    <a:noFill/>
                  </pic:spPr>
                </pic:pic>
              </a:graphicData>
            </a:graphic>
          </wp:anchor>
        </w:drawing>
      </w:r>
    </w:p>
    <w:p>
      <w:pPr>
        <w:spacing w:after="0" w:line="20" w:lineRule="exact"/>
        <w:rPr>
          <w:sz w:val="20"/>
          <w:szCs w:val="20"/>
          <w:color w:val="auto"/>
        </w:rPr>
      </w:pPr>
    </w:p>
    <w:p>
      <w:pPr>
        <w:ind w:left="6380"/>
        <w:spacing w:after="0"/>
        <w:tabs>
          <w:tab w:leader="none" w:pos="7700" w:val="left"/>
        </w:tabs>
        <w:rPr>
          <w:sz w:val="20"/>
          <w:szCs w:val="20"/>
          <w:color w:val="auto"/>
        </w:rPr>
      </w:pPr>
      <w:r>
        <w:rPr>
          <w:rFonts w:ascii="Times New Roman" w:cs="Times New Roman" w:eastAsia="Times New Roman" w:hAnsi="Times New Roman"/>
          <w:sz w:val="17"/>
          <w:szCs w:val="17"/>
          <w:b w:val="1"/>
          <w:bCs w:val="1"/>
          <w:color w:val="auto"/>
        </w:rPr>
        <w:t>2022</w:t>
      </w:r>
      <w:r>
        <w:rPr>
          <w:sz w:val="20"/>
          <w:szCs w:val="20"/>
          <w:color w:val="auto"/>
        </w:rPr>
        <w:tab/>
      </w:r>
      <w:r>
        <w:rPr>
          <w:rFonts w:ascii="Times New Roman" w:cs="Times New Roman" w:eastAsia="Times New Roman" w:hAnsi="Times New Roman"/>
          <w:sz w:val="17"/>
          <w:szCs w:val="17"/>
          <w:b w:val="1"/>
          <w:bCs w:val="1"/>
          <w:color w:val="auto"/>
        </w:rPr>
        <w:t>2021</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22860</wp:posOffset>
            </wp:positionV>
            <wp:extent cx="156464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64640" cy="1587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460" w:val="left"/>
        </w:tabs>
        <w:rPr>
          <w:sz w:val="20"/>
          <w:szCs w:val="20"/>
          <w:color w:val="auto"/>
        </w:rPr>
      </w:pPr>
      <w:r>
        <w:rPr>
          <w:rFonts w:ascii="Times New Roman" w:cs="Times New Roman" w:eastAsia="Times New Roman" w:hAnsi="Times New Roman"/>
          <w:sz w:val="17"/>
          <w:szCs w:val="17"/>
          <w:b w:val="1"/>
          <w:bCs w:val="1"/>
          <w:color w:val="auto"/>
        </w:rPr>
        <w:t>2022</w:t>
      </w:r>
      <w:r>
        <w:rPr>
          <w:sz w:val="20"/>
          <w:szCs w:val="20"/>
          <w:color w:val="auto"/>
        </w:rPr>
        <w:tab/>
      </w:r>
      <w:r>
        <w:rPr>
          <w:rFonts w:ascii="Times New Roman" w:cs="Times New Roman" w:eastAsia="Times New Roman" w:hAnsi="Times New Roman"/>
          <w:sz w:val="17"/>
          <w:szCs w:val="17"/>
          <w:b w:val="1"/>
          <w:bCs w:val="1"/>
          <w:color w:val="auto"/>
        </w:rPr>
        <w:t>2021</w:t>
      </w:r>
    </w:p>
    <w:p>
      <w:pPr>
        <w:spacing w:after="0" w:line="44" w:lineRule="exact"/>
        <w:rPr>
          <w:sz w:val="20"/>
          <w:szCs w:val="20"/>
          <w:color w:val="auto"/>
        </w:rPr>
      </w:pPr>
    </w:p>
    <w:p>
      <w:pPr>
        <w:sectPr>
          <w:pgSz w:w="11900" w:h="16838" w:orient="portrait"/>
          <w:cols w:equalWidth="0" w:num="2">
            <w:col w:w="8280" w:space="580"/>
            <w:col w:w="238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4"/>
        </w:trPr>
        <w:tc>
          <w:tcPr>
            <w:tcW w:w="59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Mainland China</w:t>
            </w:r>
          </w:p>
        </w:tc>
        <w:tc>
          <w:tcPr>
            <w:tcW w:w="340" w:type="dxa"/>
            <w:vAlign w:val="bottom"/>
            <w:shd w:val="clear" w:color="auto" w:fill="CCEEFF"/>
          </w:tcPr>
          <w:p>
            <w:pPr>
              <w:jc w:val="right"/>
              <w:ind w:right="177"/>
              <w:spacing w:after="0" w:line="184"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7"/>
                <w:szCs w:val="17"/>
                <w:color w:val="auto"/>
              </w:rPr>
              <w:t>100,275</w:t>
            </w:r>
          </w:p>
        </w:tc>
        <w:tc>
          <w:tcPr>
            <w:tcW w:w="600" w:type="dxa"/>
            <w:vAlign w:val="bottom"/>
            <w:gridSpan w:val="2"/>
            <w:shd w:val="clear" w:color="auto" w:fill="CCEEFF"/>
          </w:tcPr>
          <w:p>
            <w:pPr>
              <w:jc w:val="right"/>
              <w:ind w:right="197"/>
              <w:spacing w:after="0" w:line="184"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7"/>
                <w:szCs w:val="17"/>
                <w:color w:val="auto"/>
              </w:rPr>
              <w:t>53,736</w:t>
            </w:r>
          </w:p>
        </w:tc>
        <w:tc>
          <w:tcPr>
            <w:tcW w:w="400" w:type="dxa"/>
            <w:vAlign w:val="bottom"/>
            <w:gridSpan w:val="2"/>
            <w:shd w:val="clear" w:color="auto" w:fill="CCEEFF"/>
          </w:tcPr>
          <w:p>
            <w:pPr>
              <w:jc w:val="right"/>
              <w:spacing w:after="0" w:line="184" w:lineRule="exact"/>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220"/>
              <w:spacing w:after="0" w:line="184" w:lineRule="exact"/>
              <w:rPr>
                <w:sz w:val="20"/>
                <w:szCs w:val="20"/>
                <w:color w:val="auto"/>
              </w:rPr>
            </w:pPr>
            <w:r>
              <w:rPr>
                <w:rFonts w:ascii="Times New Roman" w:cs="Times New Roman" w:eastAsia="Times New Roman" w:hAnsi="Times New Roman"/>
                <w:sz w:val="17"/>
                <w:szCs w:val="17"/>
                <w:color w:val="auto"/>
              </w:rPr>
              <w:t>142,405</w:t>
            </w:r>
          </w:p>
        </w:tc>
        <w:tc>
          <w:tcPr>
            <w:tcW w:w="240" w:type="dxa"/>
            <w:vAlign w:val="bottom"/>
            <w:shd w:val="clear" w:color="auto" w:fill="CCEEFF"/>
          </w:tcPr>
          <w:p>
            <w:pPr>
              <w:jc w:val="right"/>
              <w:ind w:right="77"/>
              <w:spacing w:after="0" w:line="184"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line="184" w:lineRule="exact"/>
              <w:rPr>
                <w:sz w:val="20"/>
                <w:szCs w:val="20"/>
                <w:color w:val="auto"/>
              </w:rPr>
            </w:pPr>
            <w:r>
              <w:rPr>
                <w:rFonts w:ascii="Times New Roman" w:cs="Times New Roman" w:eastAsia="Times New Roman" w:hAnsi="Times New Roman"/>
                <w:sz w:val="17"/>
                <w:szCs w:val="17"/>
                <w:color w:val="auto"/>
              </w:rPr>
              <w:t>97,432</w:t>
            </w:r>
          </w:p>
        </w:tc>
      </w:tr>
      <w:tr>
        <w:trPr>
          <w:trHeight w:val="204"/>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Other Regions</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4,120</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4,176</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164</w:t>
            </w:r>
          </w:p>
        </w:tc>
      </w:tr>
      <w:tr>
        <w:trPr>
          <w:trHeight w:val="239"/>
        </w:trPr>
        <w:tc>
          <w:tcPr>
            <w:tcW w:w="59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104,395</w:t>
            </w:r>
          </w:p>
        </w:tc>
        <w:tc>
          <w:tcPr>
            <w:tcW w:w="2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53,864</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146,581</w:t>
            </w:r>
          </w:p>
        </w:tc>
        <w:tc>
          <w:tcPr>
            <w:tcW w:w="2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97,596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388"/>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Below are the accounts receivables and contract liabilities balances as of:</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5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4"/>
        </w:trPr>
        <w:tc>
          <w:tcPr>
            <w:tcW w:w="5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r>
      <w:tr>
        <w:trPr>
          <w:trHeight w:val="199"/>
        </w:trPr>
        <w:tc>
          <w:tcPr>
            <w:tcW w:w="5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11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19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D0D0D"/>
              </w:rPr>
              <w:t>Accounts receivable</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D0D0D"/>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0D0D0D"/>
              </w:rPr>
              <w:t>154,627</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0D0D0D"/>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D0D0D"/>
              </w:rPr>
              <w:t>105,553</w:t>
            </w:r>
          </w:p>
        </w:tc>
      </w:tr>
      <w:tr>
        <w:trPr>
          <w:trHeight w:val="199"/>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0D0D0D"/>
              </w:rPr>
              <w:t>Advances from customers</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0D0D0D"/>
              </w:rPr>
              <w:t>94,421</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D0D0D"/>
              </w:rPr>
              <w:t>52,824</w:t>
            </w:r>
          </w:p>
        </w:tc>
      </w:tr>
      <w:tr>
        <w:trPr>
          <w:trHeight w:val="19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0D0D0D"/>
              </w:rPr>
              <w:t>2,950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D0D0D"/>
              </w:rPr>
              <w:t>3,180</w:t>
            </w:r>
          </w:p>
        </w:tc>
      </w:tr>
    </w:tbl>
    <w:p>
      <w:pPr>
        <w:spacing w:after="0" w:line="1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During the six-months ended June 30, 2022, advances from customers increased $41.6 million, due to an increase of payments made by customers for first tools under evaluation, and an increase in pre-payments made by customers prior to delivery of repeat tools.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49"/>
        </w:trPr>
        <w:tc>
          <w:tcPr>
            <w:tcW w:w="33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08"/>
        </w:trPr>
        <w:tc>
          <w:tcPr>
            <w:tcW w:w="94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5480" w:type="dxa"/>
            <w:vAlign w:val="bottom"/>
            <w:gridSpan w:val="2"/>
          </w:tcPr>
          <w:p>
            <w:pPr>
              <w:jc w:val="center"/>
              <w:ind w:right="857"/>
              <w:spacing w:after="0"/>
              <w:rPr>
                <w:sz w:val="20"/>
                <w:szCs w:val="20"/>
                <w:color w:val="auto"/>
              </w:rPr>
            </w:pPr>
            <w:r>
              <w:rPr>
                <w:rFonts w:ascii="Times New Roman" w:cs="Times New Roman" w:eastAsia="Times New Roman" w:hAnsi="Times New Roman"/>
                <w:sz w:val="17"/>
                <w:szCs w:val="17"/>
                <w:b w:val="1"/>
                <w:bCs w:val="1"/>
                <w:color w:val="auto"/>
                <w:w w:val="97"/>
              </w:rPr>
              <w:t>ACM RESEARCH, INC.</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9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480" w:type="dxa"/>
            <w:vAlign w:val="bottom"/>
            <w:gridSpan w:val="2"/>
          </w:tcPr>
          <w:p>
            <w:pPr>
              <w:jc w:val="center"/>
              <w:ind w:right="877"/>
              <w:spacing w:after="0"/>
              <w:rPr>
                <w:sz w:val="20"/>
                <w:szCs w:val="20"/>
                <w:color w:val="auto"/>
              </w:rPr>
            </w:pPr>
            <w:r>
              <w:rPr>
                <w:rFonts w:ascii="Times New Roman" w:cs="Times New Roman" w:eastAsia="Times New Roman" w:hAnsi="Times New Roman"/>
                <w:sz w:val="17"/>
                <w:szCs w:val="17"/>
                <w:b w:val="1"/>
                <w:bCs w:val="1"/>
                <w:color w:val="auto"/>
                <w:w w:val="97"/>
              </w:rPr>
              <w:t>Notes to the Condensed Consolidated Financial Statements</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9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480" w:type="dxa"/>
            <w:vAlign w:val="bottom"/>
            <w:gridSpan w:val="2"/>
          </w:tcPr>
          <w:p>
            <w:pPr>
              <w:jc w:val="center"/>
              <w:ind w:right="857"/>
              <w:spacing w:after="0"/>
              <w:rPr>
                <w:sz w:val="20"/>
                <w:szCs w:val="20"/>
                <w:color w:val="auto"/>
              </w:rPr>
            </w:pPr>
            <w:r>
              <w:rPr>
                <w:rFonts w:ascii="Times New Roman" w:cs="Times New Roman" w:eastAsia="Times New Roman" w:hAnsi="Times New Roman"/>
                <w:sz w:val="17"/>
                <w:szCs w:val="17"/>
                <w:i w:val="1"/>
                <w:iCs w:val="1"/>
                <w:color w:val="auto"/>
                <w:w w:val="97"/>
              </w:rPr>
              <w:t>(In thousands, except share, percentage and per share data)</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1"/>
        </w:trPr>
        <w:tc>
          <w:tcPr>
            <w:tcW w:w="3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4 – ACCOUNTS RECEIVABLE</w:t>
            </w:r>
          </w:p>
        </w:tc>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8"/>
        </w:trPr>
        <w:tc>
          <w:tcPr>
            <w:tcW w:w="3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Accounts receivable consisted of the following:</w:t>
            </w:r>
          </w:p>
        </w:tc>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9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4"/>
        </w:trPr>
        <w:tc>
          <w:tcPr>
            <w:tcW w:w="9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r>
      <w:tr>
        <w:trPr>
          <w:trHeight w:val="199"/>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53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154,627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105,553</w:t>
            </w:r>
          </w:p>
        </w:tc>
        <w:tc>
          <w:tcPr>
            <w:tcW w:w="100" w:type="dxa"/>
            <w:vAlign w:val="bottom"/>
            <w:shd w:val="clear" w:color="auto" w:fill="CCEEFF"/>
          </w:tcPr>
          <w:p>
            <w:pPr>
              <w:spacing w:after="0"/>
              <w:rPr>
                <w:sz w:val="17"/>
                <w:szCs w:val="17"/>
                <w:color w:val="auto"/>
              </w:rPr>
            </w:pPr>
          </w:p>
        </w:tc>
      </w:tr>
      <w:tr>
        <w:trPr>
          <w:trHeight w:val="204"/>
        </w:trPr>
        <w:tc>
          <w:tcPr>
            <w:tcW w:w="3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Allowance for doubtful accounts</w:t>
            </w:r>
          </w:p>
        </w:tc>
        <w:tc>
          <w:tcPr>
            <w:tcW w:w="5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39"/>
        </w:trPr>
        <w:tc>
          <w:tcPr>
            <w:tcW w:w="3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53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154,627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105,553</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$49.1 million increase in accounts receivable for the first six months of 2022 corresponds to a $49.0 million increase in revenue for the same period, and was also impacted by shift of shipments towards the latter part of the period that resulted from the COVID-19 related restrictions.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reviews accounts receivable on a periodic basis and makes general and specific allowances when there is doubt as to the collectability of individual balances. Based on the age of the balance, a customer’s payment history and credit worthiness, current economic trends and reasonable and supportable forecasts the Company determined there were no collectability issues as of June 30, 2022 and December 31, 2021, and no allowance for doubtful accounts was necessary.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5 – INVENTORIES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Inventory consisted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4"/>
        </w:trPr>
        <w:tc>
          <w:tcPr>
            <w:tcW w:w="8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r>
      <w:tr>
        <w:trPr>
          <w:trHeight w:val="19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Raw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138,995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90,552</w:t>
            </w:r>
          </w:p>
        </w:tc>
        <w:tc>
          <w:tcPr>
            <w:tcW w:w="100" w:type="dxa"/>
            <w:vAlign w:val="bottom"/>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Work in process</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45,682</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35,840</w:t>
            </w:r>
          </w:p>
        </w:tc>
      </w:tr>
      <w:tr>
        <w:trPr>
          <w:trHeight w:val="204"/>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103,403</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91,724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Total inventory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288,080</w:t>
            </w:r>
          </w:p>
        </w:tc>
        <w:tc>
          <w:tcPr>
            <w:tcW w:w="220" w:type="dxa"/>
            <w:vAlign w:val="bottom"/>
          </w:tcPr>
          <w:p>
            <w:pPr>
              <w:spacing w:after="0"/>
              <w:rPr>
                <w:sz w:val="17"/>
                <w:szCs w:val="17"/>
                <w:color w:val="auto"/>
              </w:rPr>
            </w:pP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218,116</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7"/>
          <w:szCs w:val="17"/>
          <w:color w:val="auto"/>
        </w:rPr>
        <w:t>Inventory is recognized at the lower of cost or net realizable value on a moving weighted average basis. At June 30, 2022 and December 31, 2021, the value of finished goods inventory, which is comprised of first-tools, for which customers were contractually obligated to take ownership upon acceptance totaled $77,639 and $71,889, respectively.</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$58.3 million increase in raw materials and work-in-process inventory at June 30, 2022 compared to December 31, 2021 was due to additional purchase of supplies to support a higher level of expected total shipments for the next several quarters, and to reduce the risk of supply chain delays to meet anticipated customer demand for the Company’s products. The $11.7 million increase in finished goods inventory at June 30, 2022 compared to December 31, 2021 primarily reflects a higher value of first-tools under evaluation existing or prospective customers, due to shipments made net of customer acceptances during the period.</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Company’s products each require a certain degree of customization, and the substantial majority of the work-in-process inventory and finished goods inventory are built to meet a specific customer order for repeat shipment of first tool delivery. At the end of each period, the Company assesses the status of each item in work-in-process and finished goods and inventory. The Company recognizes a loss or impairment if in management’s judgement the inventory cannot be sold or used for production, if it has been damaged or in other way should be considered as obsolete, or if the net realizable value is lower than the cost.</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At the end of each period the Company also assess the status of its raw materials. The Company recognizes a loss or impairment for any raw materials aged more than three years for which the Company determines it is not likely to be used in future production. The three year aging is based on the Company’s assessment of technology change, its requirement to maintain stock for warranty coverage, and other factors.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During the three and six months ended June 30, 2022, inventory write-downs of $0 and $582 were recognized in cost of revenue, respectively. No inventory write-downs were recognized in cost of revenue for the six months ended June 30, 2021. Write-downs were due to an internal assessment that certain inventory could not be sold or used for production due to damage or obsolescence.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49"/>
        </w:trPr>
        <w:tc>
          <w:tcPr>
            <w:tcW w:w="81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08"/>
        </w:trPr>
        <w:tc>
          <w:tcPr>
            <w:tcW w:w="940" w:type="dxa"/>
            <w:vAlign w:val="bottom"/>
            <w:tcBorders>
              <w:top w:val="single" w:sz="8" w:color="0000EE"/>
            </w:tcBorders>
          </w:tcPr>
          <w:p>
            <w:pPr>
              <w:spacing w:after="0"/>
              <w:rPr>
                <w:sz w:val="24"/>
                <w:szCs w:val="24"/>
                <w:color w:val="auto"/>
              </w:rPr>
            </w:pPr>
          </w:p>
        </w:tc>
        <w:tc>
          <w:tcPr>
            <w:tcW w:w="7240" w:type="dxa"/>
            <w:vAlign w:val="bottom"/>
          </w:tcPr>
          <w:p>
            <w:pPr>
              <w:jc w:val="center"/>
              <w:ind w:left="2057"/>
              <w:spacing w:after="0"/>
              <w:rPr>
                <w:sz w:val="20"/>
                <w:szCs w:val="20"/>
                <w:color w:val="auto"/>
              </w:rPr>
            </w:pPr>
            <w:r>
              <w:rPr>
                <w:rFonts w:ascii="Times New Roman" w:cs="Times New Roman" w:eastAsia="Times New Roman" w:hAnsi="Times New Roman"/>
                <w:sz w:val="17"/>
                <w:szCs w:val="17"/>
                <w:b w:val="1"/>
                <w:bCs w:val="1"/>
                <w:color w:val="auto"/>
                <w:w w:val="97"/>
              </w:rPr>
              <w:t>ACM RESEARCH, INC.</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940" w:type="dxa"/>
            <w:vAlign w:val="bottom"/>
          </w:tcPr>
          <w:p>
            <w:pPr>
              <w:spacing w:after="0"/>
              <w:rPr>
                <w:sz w:val="17"/>
                <w:szCs w:val="17"/>
                <w:color w:val="auto"/>
              </w:rPr>
            </w:pPr>
          </w:p>
        </w:tc>
        <w:tc>
          <w:tcPr>
            <w:tcW w:w="7240" w:type="dxa"/>
            <w:vAlign w:val="bottom"/>
          </w:tcPr>
          <w:p>
            <w:pPr>
              <w:jc w:val="center"/>
              <w:ind w:left="2037"/>
              <w:spacing w:after="0"/>
              <w:rPr>
                <w:sz w:val="20"/>
                <w:szCs w:val="20"/>
                <w:color w:val="auto"/>
              </w:rPr>
            </w:pPr>
            <w:r>
              <w:rPr>
                <w:rFonts w:ascii="Times New Roman" w:cs="Times New Roman" w:eastAsia="Times New Roman" w:hAnsi="Times New Roman"/>
                <w:sz w:val="17"/>
                <w:szCs w:val="17"/>
                <w:b w:val="1"/>
                <w:bCs w:val="1"/>
                <w:color w:val="auto"/>
                <w:w w:val="97"/>
              </w:rPr>
              <w:t>Notes to the Condensed Consolidated Financial Statements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940" w:type="dxa"/>
            <w:vAlign w:val="bottom"/>
          </w:tcPr>
          <w:p>
            <w:pPr>
              <w:spacing w:after="0"/>
              <w:rPr>
                <w:sz w:val="18"/>
                <w:szCs w:val="18"/>
                <w:color w:val="auto"/>
              </w:rPr>
            </w:pPr>
          </w:p>
        </w:tc>
        <w:tc>
          <w:tcPr>
            <w:tcW w:w="7240" w:type="dxa"/>
            <w:vAlign w:val="bottom"/>
          </w:tcPr>
          <w:p>
            <w:pPr>
              <w:jc w:val="center"/>
              <w:ind w:left="2057"/>
              <w:spacing w:after="0"/>
              <w:rPr>
                <w:sz w:val="20"/>
                <w:szCs w:val="20"/>
                <w:color w:val="auto"/>
              </w:rPr>
            </w:pPr>
            <w:r>
              <w:rPr>
                <w:rFonts w:ascii="Times New Roman" w:cs="Times New Roman" w:eastAsia="Times New Roman" w:hAnsi="Times New Roman"/>
                <w:sz w:val="17"/>
                <w:szCs w:val="17"/>
                <w:i w:val="1"/>
                <w:iCs w:val="1"/>
                <w:color w:val="auto"/>
                <w:w w:val="97"/>
              </w:rPr>
              <w:t>(In thousands, except share, percentage and per share data)</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1"/>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6 – PROPERTY, PLANT AND EQUIPMENT, NET</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8"/>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Property, plant and equipment consisted of the following:</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9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4"/>
        </w:trPr>
        <w:tc>
          <w:tcPr>
            <w:tcW w:w="94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r>
      <w:tr>
        <w:trPr>
          <w:trHeight w:val="199"/>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Buildings and plants</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39,333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199"/>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Manufacturing equipment</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7,973</w:t>
            </w:r>
          </w:p>
        </w:tc>
      </w:tr>
      <w:tr>
        <w:trPr>
          <w:trHeight w:val="199"/>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Office equipment</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2,012</w:t>
            </w:r>
          </w:p>
        </w:tc>
      </w:tr>
      <w:tr>
        <w:trPr>
          <w:trHeight w:val="199"/>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Transportation equipment</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217</w:t>
            </w:r>
          </w:p>
        </w:tc>
      </w:tr>
      <w:tr>
        <w:trPr>
          <w:trHeight w:val="204"/>
        </w:trPr>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w:t>
            </w:r>
          </w:p>
        </w:tc>
        <w:tc>
          <w:tcPr>
            <w:tcW w:w="5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5,874</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cost</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57,002</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14,336</w:t>
            </w:r>
          </w:p>
        </w:tc>
      </w:tr>
      <w:tr>
        <w:trPr>
          <w:trHeight w:val="199"/>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Total accumulated depreciation and amortization</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(7,614)</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(5,900)</w:t>
            </w:r>
          </w:p>
        </w:tc>
      </w:tr>
      <w:tr>
        <w:trPr>
          <w:trHeight w:val="204"/>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5,606</w:t>
            </w:r>
          </w:p>
        </w:tc>
      </w:tr>
      <w:tr>
        <w:trPr>
          <w:trHeight w:val="239"/>
        </w:trPr>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property, plant and equipment, net</w:t>
            </w:r>
          </w:p>
        </w:tc>
        <w:tc>
          <w:tcPr>
            <w:tcW w:w="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D0D0D"/>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D0D0D"/>
              </w:rPr>
              <w:t>57,266</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14,042</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Depreciation and amortization expense was $1,123 and $467 for the three months ended June 30, 2022 and 2021, respectively, and $2,206 and $906 for the six months ended June 30, 2022 and 202, respectively. Buildings and plants represent Lingang housing property transferred to ACM Shengwei in January 2022 at a value of $41,497, which includes the purchase price and accumulated interest, and with estimated useful lives of 30-years (note 8). Buildings and plants are pledged as security for loans from China Merchants Bank (note 12). Construction in progress primarily reflects costs incurred related to the construction of several facilities in Lingang by ACM Shengwei, and are scheduled to begin production in 2023 and beyond.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7 – LAND USE RIGHT, NET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A summary of land use right is as follows: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4"/>
        </w:trPr>
        <w:tc>
          <w:tcPr>
            <w:tcW w:w="8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r>
      <w:tr>
        <w:trPr>
          <w:trHeight w:val="19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 use right purchase amount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9,966</w:t>
            </w:r>
          </w:p>
        </w:tc>
        <w:tc>
          <w:tcPr>
            <w:tcW w:w="100" w:type="dxa"/>
            <w:vAlign w:val="bottom"/>
            <w:shd w:val="clear" w:color="auto" w:fill="CCEEFF"/>
          </w:tcPr>
          <w:p>
            <w:pPr>
              <w:spacing w:after="0"/>
              <w:rPr>
                <w:sz w:val="17"/>
                <w:szCs w:val="17"/>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1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(379)</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(299)</w:t>
            </w:r>
          </w:p>
        </w:tc>
      </w:tr>
      <w:tr>
        <w:trPr>
          <w:trHeight w:val="239"/>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 use right,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9,667</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2020 ACM Shanghai, through its wholly-owned subsidiary ACM Shengwei, entered into an agreement for a 50-year land use right in the Lingang region of Shanghai. In July 2020, ACM Shengwei began a multi-year construction project for a new 1,000,000 square foot development and production center that will incorporate new manufacturing systems and automation technologies and will provide floor space to support significantly increased production capacity and related research and development activities.</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amortization for the three months ended June 30, 2022 and 2021 was $50 and $49, respectively, and for the six months ended June 30, 2022 and 2021 was $99 and $98,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annual amortization of land use right for each of the next five years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660" w:type="dxa"/>
            <w:vAlign w:val="bottom"/>
            <w:tcBorders>
              <w:bottom w:val="single" w:sz="8" w:color="auto"/>
            </w:tcBorders>
          </w:tcPr>
          <w:p>
            <w:pPr>
              <w:spacing w:after="0"/>
              <w:rPr>
                <w:sz w:val="19"/>
                <w:szCs w:val="19"/>
                <w:color w:val="auto"/>
              </w:rPr>
            </w:pPr>
          </w:p>
        </w:tc>
        <w:tc>
          <w:tcPr>
            <w:tcW w:w="7840" w:type="dxa"/>
            <w:vAlign w:val="bottom"/>
            <w:tcBorders>
              <w:bottom w:val="single" w:sz="8" w:color="auto"/>
            </w:tcBorders>
          </w:tcPr>
          <w:p>
            <w:pPr>
              <w:jc w:val="right"/>
              <w:ind w:right="4543"/>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2022</w:t>
            </w:r>
          </w:p>
        </w:tc>
        <w:tc>
          <w:tcPr>
            <w:tcW w:w="784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7"/>
                <w:szCs w:val="17"/>
                <w:color w:val="auto"/>
              </w:rPr>
            </w:pPr>
          </w:p>
        </w:tc>
      </w:tr>
      <w:tr>
        <w:trPr>
          <w:trHeight w:val="199"/>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78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200</w:t>
            </w:r>
          </w:p>
        </w:tc>
      </w:tr>
      <w:tr>
        <w:trPr>
          <w:trHeight w:val="19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78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200</w:t>
            </w:r>
          </w:p>
        </w:tc>
      </w:tr>
      <w:tr>
        <w:trPr>
          <w:trHeight w:val="199"/>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78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200</w:t>
            </w:r>
          </w:p>
        </w:tc>
      </w:tr>
      <w:tr>
        <w:trPr>
          <w:trHeight w:val="19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78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200</w:t>
            </w:r>
          </w:p>
        </w:tc>
      </w:tr>
      <w:tr>
        <w:trPr>
          <w:trHeight w:val="525"/>
        </w:trPr>
        <w:tc>
          <w:tcPr>
            <w:tcW w:w="2660" w:type="dxa"/>
            <w:vAlign w:val="bottom"/>
          </w:tcPr>
          <w:p>
            <w:pPr>
              <w:spacing w:after="0"/>
              <w:rPr>
                <w:sz w:val="24"/>
                <w:szCs w:val="24"/>
                <w:color w:val="auto"/>
              </w:rPr>
            </w:pPr>
          </w:p>
        </w:tc>
        <w:tc>
          <w:tcPr>
            <w:tcW w:w="7840" w:type="dxa"/>
            <w:vAlign w:val="bottom"/>
          </w:tcPr>
          <w:p>
            <w:pPr>
              <w:jc w:val="right"/>
              <w:ind w:right="4723"/>
              <w:spacing w:after="0"/>
              <w:rPr>
                <w:sz w:val="20"/>
                <w:szCs w:val="20"/>
                <w:color w:val="auto"/>
              </w:rPr>
            </w:pPr>
            <w:r>
              <w:rPr>
                <w:rFonts w:ascii="Times New Roman" w:cs="Times New Roman" w:eastAsia="Times New Roman" w:hAnsi="Times New Roman"/>
                <w:sz w:val="13"/>
                <w:szCs w:val="13"/>
                <w:color w:val="auto"/>
              </w:rPr>
              <w:t>21</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
        </w:trPr>
        <w:tc>
          <w:tcPr>
            <w:tcW w:w="2660" w:type="dxa"/>
            <w:vAlign w:val="bottom"/>
            <w:tcBorders>
              <w:bottom w:val="single" w:sz="8" w:color="auto"/>
            </w:tcBorders>
          </w:tcPr>
          <w:p>
            <w:pPr>
              <w:spacing w:after="0"/>
              <w:rPr>
                <w:sz w:val="3"/>
                <w:szCs w:val="3"/>
                <w:color w:val="auto"/>
              </w:rPr>
            </w:pPr>
          </w:p>
        </w:tc>
        <w:tc>
          <w:tcPr>
            <w:tcW w:w="78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08"/>
        </w:trPr>
        <w:tc>
          <w:tcPr>
            <w:tcW w:w="940" w:type="dxa"/>
            <w:vAlign w:val="bottom"/>
            <w:tcBorders>
              <w:top w:val="single" w:sz="8" w:color="0000EE"/>
            </w:tcBorders>
          </w:tcPr>
          <w:p>
            <w:pPr>
              <w:spacing w:after="0"/>
              <w:rPr>
                <w:sz w:val="24"/>
                <w:szCs w:val="24"/>
                <w:color w:val="auto"/>
              </w:rPr>
            </w:pPr>
          </w:p>
        </w:tc>
        <w:tc>
          <w:tcPr>
            <w:tcW w:w="7740" w:type="dxa"/>
            <w:vAlign w:val="bottom"/>
          </w:tcPr>
          <w:p>
            <w:pPr>
              <w:jc w:val="center"/>
              <w:ind w:left="1557"/>
              <w:spacing w:after="0"/>
              <w:rPr>
                <w:sz w:val="20"/>
                <w:szCs w:val="20"/>
                <w:color w:val="auto"/>
              </w:rPr>
            </w:pPr>
            <w:r>
              <w:rPr>
                <w:rFonts w:ascii="Times New Roman" w:cs="Times New Roman" w:eastAsia="Times New Roman" w:hAnsi="Times New Roman"/>
                <w:sz w:val="17"/>
                <w:szCs w:val="17"/>
                <w:b w:val="1"/>
                <w:bCs w:val="1"/>
                <w:color w:val="auto"/>
                <w:w w:val="97"/>
              </w:rPr>
              <w:t>ACM RESEARCH, INC.</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940" w:type="dxa"/>
            <w:vAlign w:val="bottom"/>
          </w:tcPr>
          <w:p>
            <w:pPr>
              <w:spacing w:after="0"/>
              <w:rPr>
                <w:sz w:val="17"/>
                <w:szCs w:val="17"/>
                <w:color w:val="auto"/>
              </w:rPr>
            </w:pPr>
          </w:p>
        </w:tc>
        <w:tc>
          <w:tcPr>
            <w:tcW w:w="7740" w:type="dxa"/>
            <w:vAlign w:val="bottom"/>
          </w:tcPr>
          <w:p>
            <w:pPr>
              <w:jc w:val="center"/>
              <w:ind w:left="1537"/>
              <w:spacing w:after="0"/>
              <w:rPr>
                <w:sz w:val="20"/>
                <w:szCs w:val="20"/>
                <w:color w:val="auto"/>
              </w:rPr>
            </w:pPr>
            <w:r>
              <w:rPr>
                <w:rFonts w:ascii="Times New Roman" w:cs="Times New Roman" w:eastAsia="Times New Roman" w:hAnsi="Times New Roman"/>
                <w:sz w:val="17"/>
                <w:szCs w:val="17"/>
                <w:b w:val="1"/>
                <w:bCs w:val="1"/>
                <w:color w:val="auto"/>
                <w:w w:val="97"/>
              </w:rPr>
              <w:t>Notes to the Condensed Consolidated Financial Statements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940" w:type="dxa"/>
            <w:vAlign w:val="bottom"/>
          </w:tcPr>
          <w:p>
            <w:pPr>
              <w:spacing w:after="0"/>
              <w:rPr>
                <w:sz w:val="18"/>
                <w:szCs w:val="18"/>
                <w:color w:val="auto"/>
              </w:rPr>
            </w:pPr>
          </w:p>
        </w:tc>
        <w:tc>
          <w:tcPr>
            <w:tcW w:w="7740" w:type="dxa"/>
            <w:vAlign w:val="bottom"/>
          </w:tcPr>
          <w:p>
            <w:pPr>
              <w:jc w:val="center"/>
              <w:ind w:left="1557"/>
              <w:spacing w:after="0"/>
              <w:rPr>
                <w:sz w:val="20"/>
                <w:szCs w:val="20"/>
                <w:color w:val="auto"/>
              </w:rPr>
            </w:pPr>
            <w:r>
              <w:rPr>
                <w:rFonts w:ascii="Times New Roman" w:cs="Times New Roman" w:eastAsia="Times New Roman" w:hAnsi="Times New Roman"/>
                <w:sz w:val="17"/>
                <w:szCs w:val="17"/>
                <w:i w:val="1"/>
                <w:iCs w:val="1"/>
                <w:color w:val="auto"/>
                <w:w w:val="97"/>
              </w:rPr>
              <w:t>(In thousands, except share, percentage and per share data)</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1"/>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8 – OTHER LONG-TERM 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8"/>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long-term assets consisted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94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4"/>
        </w:trPr>
        <w:tc>
          <w:tcPr>
            <w:tcW w:w="94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r>
      <w:tr>
        <w:trPr>
          <w:trHeight w:val="19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Prepayment for property - Lingang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42,111</w:t>
            </w:r>
          </w:p>
        </w:tc>
        <w:tc>
          <w:tcPr>
            <w:tcW w:w="100" w:type="dxa"/>
            <w:vAlign w:val="bottom"/>
            <w:shd w:val="clear" w:color="auto" w:fill="CCEEFF"/>
          </w:tcPr>
          <w:p>
            <w:pPr>
              <w:spacing w:after="0"/>
              <w:rPr>
                <w:sz w:val="17"/>
                <w:szCs w:val="17"/>
                <w:color w:val="auto"/>
              </w:rPr>
            </w:pPr>
          </w:p>
        </w:tc>
      </w:tr>
      <w:tr>
        <w:trPr>
          <w:trHeight w:val="199"/>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Prepayment for property, plant and equipment and other non-current assets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440</w:t>
            </w:r>
          </w:p>
        </w:tc>
      </w:tr>
      <w:tr>
        <w:trPr>
          <w:trHeight w:val="19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Prepayment for property - lease deposit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429</w:t>
            </w:r>
          </w:p>
        </w:tc>
      </w:tr>
      <w:tr>
        <w:trPr>
          <w:trHeight w:val="199"/>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Security deposit for land use right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773</w:t>
            </w:r>
          </w:p>
        </w:tc>
      </w:tr>
      <w:tr>
        <w:trPr>
          <w:trHeight w:val="204"/>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other long-term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2,520</w:t>
            </w:r>
          </w:p>
        </w:tc>
        <w:tc>
          <w:tcPr>
            <w:tcW w:w="220" w:type="dxa"/>
            <w:vAlign w:val="bottom"/>
          </w:tcPr>
          <w:p>
            <w:pPr>
              <w:spacing w:after="0"/>
              <w:rPr>
                <w:sz w:val="17"/>
                <w:szCs w:val="17"/>
                <w:color w:val="auto"/>
              </w:rPr>
            </w:pP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45,017</w:t>
            </w:r>
          </w:p>
        </w:tc>
      </w:tr>
      <w:tr>
        <w:trPr>
          <w:trHeight w:val="20"/>
        </w:trPr>
        <w:tc>
          <w:tcPr>
            <w:tcW w:w="9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Prepayment for property – Lingang is for the housing in Lingang, Shanghai and consists of (1) the contractual amount to acquire the property and (2) capitalized interest charges on the long-term loan related to acquisition of the property, which amounted to $1,048 at the time of transfer in 2022 and $986 as of December 31, 2021. Pursuant to contractual agreements, ownership of the housing in Lingang, Shanghai was transferred to ACM Shengwei in January 2022 at a value of $41,497 at the time of transfer, and $42,111 as of December 31, 2021, which reflected the purchase price and cumulative capitalized interest charges related to the long-term loan from China Merchants Bank (note 12). Subsequent to the transfer of ownership, Prepayment for property – Lingang, was reclassed to property plant and equipment (note 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9 – SHORT-TERM BORROWINGS</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Short-term borrowings consisted of the following:</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7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4"/>
        </w:trPr>
        <w:tc>
          <w:tcPr>
            <w:tcW w:w="7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Line of credit up to RMB 100,000 from Bank of Shanghai Pudong Branch,</w:t>
            </w: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due on June 7,2022 with an annual interest rate of 2.7% and fully repaid on June 7,2022 (1)</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4,616</w:t>
            </w:r>
          </w:p>
        </w:tc>
        <w:tc>
          <w:tcPr>
            <w:tcW w:w="0" w:type="dxa"/>
            <w:vAlign w:val="bottom"/>
          </w:tcPr>
          <w:p>
            <w:pPr>
              <w:spacing w:after="0"/>
              <w:rPr>
                <w:sz w:val="1"/>
                <w:szCs w:val="1"/>
                <w:color w:val="auto"/>
              </w:rPr>
            </w:pPr>
          </w:p>
        </w:tc>
      </w:tr>
      <w:tr>
        <w:trPr>
          <w:trHeight w:val="199"/>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Line of credit up to RMB 150,000 from China Everbright Bank,</w:t>
            </w: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due on October 21,2022 with annual interest rate of 1.95%.</w:t>
            </w: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3,408</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3,407</w:t>
            </w:r>
          </w:p>
        </w:tc>
        <w:tc>
          <w:tcPr>
            <w:tcW w:w="0" w:type="dxa"/>
            <w:vAlign w:val="bottom"/>
          </w:tcPr>
          <w:p>
            <w:pPr>
              <w:spacing w:after="0"/>
              <w:rPr>
                <w:sz w:val="1"/>
                <w:szCs w:val="1"/>
                <w:color w:val="auto"/>
              </w:rPr>
            </w:pPr>
          </w:p>
        </w:tc>
      </w:tr>
      <w:tr>
        <w:trPr>
          <w:trHeight w:val="199"/>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Line of credit up to RMB 60,000 from Bank of Communications,</w:t>
            </w: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due on October 25,2022 with an annual interest rate of 3.85%.</w:t>
            </w:r>
          </w:p>
        </w:tc>
        <w:tc>
          <w:tcPr>
            <w:tcW w:w="1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1,490</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D0D0D"/>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0D0D0D"/>
              </w:rPr>
              <w:t>4,898</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0D0D0D"/>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D0D0D"/>
              </w:rPr>
              <w:t>9,591</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 Guaranteed by CleanChip</w:t>
            </w:r>
          </w:p>
        </w:tc>
        <w:tc>
          <w:tcPr>
            <w:tcW w:w="1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44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For the three months ended June 30, 2022 and 2021, interest expense related to short-term borrowings amounted to $62 and $191, respectively, and the six months ended June 30, 2022 and 2021, interest expense related to short-term borrowings amounted to $125 and $380, respectively.</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49"/>
        </w:trPr>
        <w:tc>
          <w:tcPr>
            <w:tcW w:w="81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08"/>
        </w:trPr>
        <w:tc>
          <w:tcPr>
            <w:tcW w:w="940" w:type="dxa"/>
            <w:vAlign w:val="bottom"/>
            <w:tcBorders>
              <w:top w:val="single" w:sz="8" w:color="0000EE"/>
            </w:tcBorders>
          </w:tcPr>
          <w:p>
            <w:pPr>
              <w:spacing w:after="0"/>
              <w:rPr>
                <w:sz w:val="24"/>
                <w:szCs w:val="24"/>
                <w:color w:val="auto"/>
              </w:rPr>
            </w:pPr>
          </w:p>
        </w:tc>
        <w:tc>
          <w:tcPr>
            <w:tcW w:w="7240" w:type="dxa"/>
            <w:vAlign w:val="bottom"/>
          </w:tcPr>
          <w:p>
            <w:pPr>
              <w:jc w:val="center"/>
              <w:ind w:left="2057"/>
              <w:spacing w:after="0"/>
              <w:rPr>
                <w:sz w:val="20"/>
                <w:szCs w:val="20"/>
                <w:color w:val="auto"/>
              </w:rPr>
            </w:pPr>
            <w:r>
              <w:rPr>
                <w:rFonts w:ascii="Times New Roman" w:cs="Times New Roman" w:eastAsia="Times New Roman" w:hAnsi="Times New Roman"/>
                <w:sz w:val="17"/>
                <w:szCs w:val="17"/>
                <w:b w:val="1"/>
                <w:bCs w:val="1"/>
                <w:color w:val="auto"/>
                <w:w w:val="97"/>
              </w:rPr>
              <w:t>ACM RESEARCH, INC.</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940" w:type="dxa"/>
            <w:vAlign w:val="bottom"/>
          </w:tcPr>
          <w:p>
            <w:pPr>
              <w:spacing w:after="0"/>
              <w:rPr>
                <w:sz w:val="17"/>
                <w:szCs w:val="17"/>
                <w:color w:val="auto"/>
              </w:rPr>
            </w:pPr>
          </w:p>
        </w:tc>
        <w:tc>
          <w:tcPr>
            <w:tcW w:w="7240" w:type="dxa"/>
            <w:vAlign w:val="bottom"/>
          </w:tcPr>
          <w:p>
            <w:pPr>
              <w:jc w:val="center"/>
              <w:ind w:left="2037"/>
              <w:spacing w:after="0"/>
              <w:rPr>
                <w:sz w:val="20"/>
                <w:szCs w:val="20"/>
                <w:color w:val="auto"/>
              </w:rPr>
            </w:pPr>
            <w:r>
              <w:rPr>
                <w:rFonts w:ascii="Times New Roman" w:cs="Times New Roman" w:eastAsia="Times New Roman" w:hAnsi="Times New Roman"/>
                <w:sz w:val="17"/>
                <w:szCs w:val="17"/>
                <w:b w:val="1"/>
                <w:bCs w:val="1"/>
                <w:color w:val="auto"/>
                <w:w w:val="97"/>
              </w:rPr>
              <w:t>Notes to the Condensed Consolidated Financial Statements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940" w:type="dxa"/>
            <w:vAlign w:val="bottom"/>
          </w:tcPr>
          <w:p>
            <w:pPr>
              <w:spacing w:after="0"/>
              <w:rPr>
                <w:sz w:val="18"/>
                <w:szCs w:val="18"/>
                <w:color w:val="auto"/>
              </w:rPr>
            </w:pPr>
          </w:p>
        </w:tc>
        <w:tc>
          <w:tcPr>
            <w:tcW w:w="7240" w:type="dxa"/>
            <w:vAlign w:val="bottom"/>
          </w:tcPr>
          <w:p>
            <w:pPr>
              <w:jc w:val="center"/>
              <w:ind w:left="2057"/>
              <w:spacing w:after="0"/>
              <w:rPr>
                <w:sz w:val="20"/>
                <w:szCs w:val="20"/>
                <w:color w:val="auto"/>
              </w:rPr>
            </w:pPr>
            <w:r>
              <w:rPr>
                <w:rFonts w:ascii="Times New Roman" w:cs="Times New Roman" w:eastAsia="Times New Roman" w:hAnsi="Times New Roman"/>
                <w:sz w:val="17"/>
                <w:szCs w:val="17"/>
                <w:i w:val="1"/>
                <w:iCs w:val="1"/>
                <w:color w:val="auto"/>
                <w:w w:val="97"/>
              </w:rPr>
              <w:t>(In thousands, except share, percentage and per share data)</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1"/>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10 – OTHER PAYABLES AND ACCRUED EXPENSES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8"/>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payables and accrued expenses consisted of the following:</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9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4"/>
        </w:trPr>
        <w:tc>
          <w:tcPr>
            <w:tcW w:w="94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r>
      <w:tr>
        <w:trPr>
          <w:trHeight w:val="199"/>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commissions</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13,722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12,507</w:t>
            </w:r>
          </w:p>
        </w:tc>
        <w:tc>
          <w:tcPr>
            <w:tcW w:w="100" w:type="dxa"/>
            <w:vAlign w:val="bottom"/>
            <w:shd w:val="clear" w:color="auto" w:fill="CCEEFF"/>
          </w:tcPr>
          <w:p>
            <w:pPr>
              <w:spacing w:after="0"/>
              <w:rPr>
                <w:sz w:val="17"/>
                <w:szCs w:val="17"/>
                <w:color w:val="auto"/>
              </w:rPr>
            </w:pPr>
          </w:p>
        </w:tc>
      </w:tr>
      <w:tr>
        <w:trPr>
          <w:trHeight w:val="199"/>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Accrued warranty</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6,631</w:t>
            </w:r>
          </w:p>
        </w:tc>
      </w:tr>
      <w:tr>
        <w:trPr>
          <w:trHeight w:val="199"/>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payroll</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5,684</w:t>
            </w:r>
          </w:p>
        </w:tc>
      </w:tr>
      <w:tr>
        <w:trPr>
          <w:trHeight w:val="199"/>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Accrued professional fees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785</w:t>
            </w:r>
          </w:p>
        </w:tc>
      </w:tr>
      <w:tr>
        <w:trPr>
          <w:trHeight w:val="199"/>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machine testing fees</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149</w:t>
            </w:r>
          </w:p>
        </w:tc>
      </w:tr>
      <w:tr>
        <w:trPr>
          <w:trHeight w:val="204"/>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5,979</w:t>
            </w:r>
          </w:p>
        </w:tc>
      </w:tr>
      <w:tr>
        <w:trPr>
          <w:trHeight w:val="239"/>
        </w:trPr>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39,195</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31,735</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 LEASES</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leases space under non-cancelable operating leases for several office and manufacturing locations. These leases do not have significant rent escalation holidays, concessions, leasehold improvement incentives, or other build-out clauses. Further, the leases do not contain contingent rent provisions.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Most leases include one or more options to renew. The exercise of lease renewal options is typically at the Company’s sole discretion; therefore, the majority of renewals to extend the lease terms are not included in the Company’s right-of-use assets and lease liabilities as they are not reasonably certain of exercise. The Company regularly evaluates the renewal options, and when they are reasonably certain of exercise, the Company includes the renewal period in its lease term.</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most of the Company’s leases do not provide an implicit rate, the Company uses its incremental borrowing rate based on the information available at the lease commencement date in determining the present value of the lease payments. The Company has a centrally managed treasury function; therefore, based on the applicable lease terms and the current economic environment, it applies a portfolio approach for determining the incremental borrowing rate.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lease expense were as follows:</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3"/>
        </w:trPr>
        <w:tc>
          <w:tcPr>
            <w:tcW w:w="5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80" w:type="dxa"/>
            <w:vAlign w:val="bottom"/>
            <w:gridSpan w:val="6"/>
          </w:tcPr>
          <w:p>
            <w:pPr>
              <w:ind w:left="16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04"/>
        </w:trPr>
        <w:tc>
          <w:tcPr>
            <w:tcW w:w="5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3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7"/>
                <w:szCs w:val="17"/>
                <w:color w:val="auto"/>
              </w:rPr>
            </w:pPr>
          </w:p>
        </w:tc>
      </w:tr>
      <w:tr>
        <w:trPr>
          <w:trHeight w:val="19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w:t>
            </w:r>
          </w:p>
        </w:tc>
        <w:tc>
          <w:tcPr>
            <w:tcW w:w="100" w:type="dxa"/>
            <w:vAlign w:val="bottom"/>
            <w:shd w:val="clear" w:color="auto" w:fill="CCEEFF"/>
          </w:tcPr>
          <w:p>
            <w:pPr>
              <w:spacing w:after="0"/>
              <w:rPr>
                <w:sz w:val="17"/>
                <w:szCs w:val="17"/>
                <w:color w:val="auto"/>
              </w:rPr>
            </w:pPr>
          </w:p>
        </w:tc>
      </w:tr>
      <w:tr>
        <w:trPr>
          <w:trHeight w:val="204"/>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Short-term lease cost</w:t>
            </w: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388</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153</w:t>
            </w:r>
          </w:p>
        </w:tc>
      </w:tr>
      <w:tr>
        <w:trPr>
          <w:trHeight w:val="239"/>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cost</w:t>
            </w:r>
          </w:p>
        </w:tc>
        <w:tc>
          <w:tcPr>
            <w:tcW w:w="5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1,745</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388"/>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w w:val="99"/>
              </w:rPr>
              <w:t>Supplemental cash flow information related to operating leases was as follows:</w:t>
            </w: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3"/>
        </w:trPr>
        <w:tc>
          <w:tcPr>
            <w:tcW w:w="5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80" w:type="dxa"/>
            <w:vAlign w:val="bottom"/>
            <w:gridSpan w:val="6"/>
          </w:tcPr>
          <w:p>
            <w:pPr>
              <w:ind w:left="16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04"/>
        </w:trPr>
        <w:tc>
          <w:tcPr>
            <w:tcW w:w="5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3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7"/>
                <w:szCs w:val="17"/>
                <w:color w:val="auto"/>
              </w:rPr>
            </w:pPr>
          </w:p>
        </w:tc>
      </w:tr>
      <w:tr>
        <w:trPr>
          <w:trHeight w:val="199"/>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cash outflow from operating leases</w:t>
            </w:r>
          </w:p>
        </w:tc>
        <w:tc>
          <w:tcPr>
            <w:tcW w:w="1380" w:type="dxa"/>
            <w:vAlign w:val="bottom"/>
            <w:gridSpan w:val="2"/>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734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1,745</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1,328</w:t>
            </w:r>
          </w:p>
        </w:tc>
      </w:tr>
      <w:tr>
        <w:trPr>
          <w:trHeight w:val="515"/>
        </w:trPr>
        <w:tc>
          <w:tcPr>
            <w:tcW w:w="540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jc w:val="right"/>
              <w:ind w:right="205"/>
              <w:spacing w:after="0"/>
              <w:rPr>
                <w:sz w:val="20"/>
                <w:szCs w:val="20"/>
                <w:color w:val="auto"/>
              </w:rPr>
            </w:pPr>
            <w:r>
              <w:rPr>
                <w:rFonts w:ascii="Times New Roman" w:cs="Times New Roman" w:eastAsia="Times New Roman" w:hAnsi="Times New Roman"/>
                <w:sz w:val="13"/>
                <w:szCs w:val="13"/>
                <w:color w:val="auto"/>
              </w:rPr>
              <w:t>23</w:t>
            </w:r>
          </w:p>
        </w:tc>
        <w:tc>
          <w:tcPr>
            <w:tcW w:w="8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0"/>
        </w:trPr>
        <w:tc>
          <w:tcPr>
            <w:tcW w:w="54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08"/>
        </w:trPr>
        <w:tc>
          <w:tcPr>
            <w:tcW w:w="940" w:type="dxa"/>
            <w:vAlign w:val="bottom"/>
            <w:tcBorders>
              <w:top w:val="single" w:sz="8" w:color="0000EE"/>
            </w:tcBorders>
          </w:tcPr>
          <w:p>
            <w:pPr>
              <w:spacing w:after="0"/>
              <w:rPr>
                <w:sz w:val="24"/>
                <w:szCs w:val="24"/>
                <w:color w:val="auto"/>
              </w:rPr>
            </w:pPr>
          </w:p>
        </w:tc>
        <w:tc>
          <w:tcPr>
            <w:tcW w:w="7660" w:type="dxa"/>
            <w:vAlign w:val="bottom"/>
          </w:tcPr>
          <w:p>
            <w:pPr>
              <w:jc w:val="center"/>
              <w:ind w:left="1637"/>
              <w:spacing w:after="0"/>
              <w:rPr>
                <w:sz w:val="20"/>
                <w:szCs w:val="20"/>
                <w:color w:val="auto"/>
              </w:rPr>
            </w:pPr>
            <w:r>
              <w:rPr>
                <w:rFonts w:ascii="Times New Roman" w:cs="Times New Roman" w:eastAsia="Times New Roman" w:hAnsi="Times New Roman"/>
                <w:sz w:val="17"/>
                <w:szCs w:val="17"/>
                <w:b w:val="1"/>
                <w:bCs w:val="1"/>
                <w:color w:val="auto"/>
                <w:w w:val="97"/>
              </w:rPr>
              <w:t>ACM RESEARCH, INC.</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940" w:type="dxa"/>
            <w:vAlign w:val="bottom"/>
          </w:tcPr>
          <w:p>
            <w:pPr>
              <w:spacing w:after="0"/>
              <w:rPr>
                <w:sz w:val="17"/>
                <w:szCs w:val="17"/>
                <w:color w:val="auto"/>
              </w:rPr>
            </w:pPr>
          </w:p>
        </w:tc>
        <w:tc>
          <w:tcPr>
            <w:tcW w:w="7660" w:type="dxa"/>
            <w:vAlign w:val="bottom"/>
          </w:tcPr>
          <w:p>
            <w:pPr>
              <w:jc w:val="center"/>
              <w:ind w:left="1617"/>
              <w:spacing w:after="0"/>
              <w:rPr>
                <w:sz w:val="20"/>
                <w:szCs w:val="20"/>
                <w:color w:val="auto"/>
              </w:rPr>
            </w:pPr>
            <w:r>
              <w:rPr>
                <w:rFonts w:ascii="Times New Roman" w:cs="Times New Roman" w:eastAsia="Times New Roman" w:hAnsi="Times New Roman"/>
                <w:sz w:val="17"/>
                <w:szCs w:val="17"/>
                <w:b w:val="1"/>
                <w:bCs w:val="1"/>
                <w:color w:val="auto"/>
                <w:w w:val="97"/>
              </w:rPr>
              <w:t>Notes to the Condensed Consolidated Financial Statements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940" w:type="dxa"/>
            <w:vAlign w:val="bottom"/>
          </w:tcPr>
          <w:p>
            <w:pPr>
              <w:spacing w:after="0"/>
              <w:rPr>
                <w:sz w:val="18"/>
                <w:szCs w:val="18"/>
                <w:color w:val="auto"/>
              </w:rPr>
            </w:pPr>
          </w:p>
        </w:tc>
        <w:tc>
          <w:tcPr>
            <w:tcW w:w="7660" w:type="dxa"/>
            <w:vAlign w:val="bottom"/>
          </w:tcPr>
          <w:p>
            <w:pPr>
              <w:jc w:val="center"/>
              <w:ind w:left="1637"/>
              <w:spacing w:after="0"/>
              <w:rPr>
                <w:sz w:val="20"/>
                <w:szCs w:val="20"/>
                <w:color w:val="auto"/>
              </w:rPr>
            </w:pPr>
            <w:r>
              <w:rPr>
                <w:rFonts w:ascii="Times New Roman" w:cs="Times New Roman" w:eastAsia="Times New Roman" w:hAnsi="Times New Roman"/>
                <w:sz w:val="17"/>
                <w:szCs w:val="17"/>
                <w:i w:val="1"/>
                <w:iCs w:val="1"/>
                <w:color w:val="auto"/>
                <w:w w:val="97"/>
              </w:rPr>
              <w:t>(In thousands, except share, percentage and per share data)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1"/>
        </w:trPr>
        <w:tc>
          <w:tcPr>
            <w:tcW w:w="8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 of June 30, 2022, maturities of outstanding lease liabilities for all operating leases were as follows: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3"/>
        </w:trPr>
        <w:tc>
          <w:tcPr>
            <w:tcW w:w="9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r>
      <w:tr>
        <w:trPr>
          <w:trHeight w:val="199"/>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w:t>
            </w:r>
          </w:p>
        </w:tc>
        <w:tc>
          <w:tcPr>
            <w:tcW w:w="100" w:type="dxa"/>
            <w:vAlign w:val="bottom"/>
            <w:shd w:val="clear" w:color="auto" w:fill="CCEEFF"/>
          </w:tcPr>
          <w:p>
            <w:pPr>
              <w:spacing w:after="0"/>
              <w:rPr>
                <w:sz w:val="17"/>
                <w:szCs w:val="17"/>
                <w:color w:val="auto"/>
              </w:rPr>
            </w:pPr>
          </w:p>
        </w:tc>
      </w:tr>
      <w:tr>
        <w:trPr>
          <w:trHeight w:val="199"/>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7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1,359</w:t>
            </w:r>
          </w:p>
        </w:tc>
        <w:tc>
          <w:tcPr>
            <w:tcW w:w="100" w:type="dxa"/>
            <w:vAlign w:val="bottom"/>
          </w:tcPr>
          <w:p>
            <w:pPr>
              <w:spacing w:after="0"/>
              <w:rPr>
                <w:sz w:val="17"/>
                <w:szCs w:val="17"/>
                <w:color w:val="auto"/>
              </w:rPr>
            </w:pPr>
          </w:p>
        </w:tc>
      </w:tr>
      <w:tr>
        <w:trPr>
          <w:trHeight w:val="199"/>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7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w:t>
            </w:r>
          </w:p>
        </w:tc>
        <w:tc>
          <w:tcPr>
            <w:tcW w:w="100" w:type="dxa"/>
            <w:vAlign w:val="bottom"/>
            <w:shd w:val="clear" w:color="auto" w:fill="CCEEFF"/>
          </w:tcPr>
          <w:p>
            <w:pPr>
              <w:spacing w:after="0"/>
              <w:rPr>
                <w:sz w:val="17"/>
                <w:szCs w:val="17"/>
                <w:color w:val="auto"/>
              </w:rPr>
            </w:pPr>
          </w:p>
        </w:tc>
      </w:tr>
      <w:tr>
        <w:trPr>
          <w:trHeight w:val="199"/>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7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17"/>
                <w:szCs w:val="17"/>
                <w:color w:val="auto"/>
              </w:rPr>
            </w:pPr>
          </w:p>
        </w:tc>
      </w:tr>
      <w:tr>
        <w:trPr>
          <w:trHeight w:val="199"/>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7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7"/>
                <w:szCs w:val="17"/>
                <w:color w:val="auto"/>
              </w:rPr>
            </w:pPr>
          </w:p>
        </w:tc>
      </w:tr>
      <w:tr>
        <w:trPr>
          <w:trHeight w:val="204"/>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7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7"/>
                <w:szCs w:val="17"/>
                <w:color w:val="auto"/>
              </w:rPr>
            </w:pPr>
          </w:p>
        </w:tc>
      </w:tr>
      <w:tr>
        <w:trPr>
          <w:trHeight w:val="239"/>
        </w:trPr>
        <w:tc>
          <w:tcPr>
            <w:tcW w:w="8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payments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right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4"/>
        </w:trPr>
        <w:tc>
          <w:tcPr>
            <w:tcW w:w="860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Less: Interest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(206)</w:t>
            </w:r>
          </w:p>
        </w:tc>
      </w:tr>
      <w:tr>
        <w:trPr>
          <w:trHeight w:val="239"/>
        </w:trPr>
        <w:tc>
          <w:tcPr>
            <w:tcW w:w="8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right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388"/>
        </w:trPr>
        <w:tc>
          <w:tcPr>
            <w:tcW w:w="8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weighted average remaining lease terms and discount rates for all operating leases were as follows: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9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4"/>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r>
      <w:tr>
        <w:trPr>
          <w:trHeight w:val="224"/>
        </w:trPr>
        <w:tc>
          <w:tcPr>
            <w:tcW w:w="94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r>
      <w:tr>
        <w:trPr>
          <w:trHeight w:val="199"/>
        </w:trPr>
        <w:tc>
          <w:tcPr>
            <w:tcW w:w="8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Remaining lease term and discount rate: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1.75</w:t>
            </w:r>
          </w:p>
        </w:tc>
        <w:tc>
          <w:tcPr>
            <w:tcW w:w="1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shd w:val="clear" w:color="auto" w:fill="CCEEFF"/>
          </w:tcPr>
          <w:p>
            <w:pPr>
              <w:spacing w:after="0"/>
              <w:rPr>
                <w:sz w:val="17"/>
                <w:szCs w:val="17"/>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ind w:left="620"/>
              <w:spacing w:after="0"/>
              <w:rPr>
                <w:sz w:val="20"/>
                <w:szCs w:val="20"/>
                <w:color w:val="auto"/>
              </w:rPr>
            </w:pPr>
            <w:r>
              <w:rPr>
                <w:rFonts w:ascii="Times New Roman" w:cs="Times New Roman" w:eastAsia="Times New Roman" w:hAnsi="Times New Roman"/>
                <w:sz w:val="17"/>
                <w:szCs w:val="17"/>
                <w:color w:val="auto"/>
              </w:rPr>
              <w:t>4.34%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w w:val="95"/>
              </w:rPr>
              <w:t>4.54%</w:t>
            </w:r>
          </w:p>
        </w:tc>
      </w:tr>
      <w:tr>
        <w:trPr>
          <w:trHeight w:val="382"/>
        </w:trPr>
        <w:tc>
          <w:tcPr>
            <w:tcW w:w="8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12 – LONG-TERM BORROWINGS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8"/>
        </w:trPr>
        <w:tc>
          <w:tcPr>
            <w:tcW w:w="8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borrowings consisted of the following:</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9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4"/>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5"/>
              </w:rPr>
              <w:t>June 30,</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r>
      <w:tr>
        <w:trPr>
          <w:trHeight w:val="224"/>
        </w:trPr>
        <w:tc>
          <w:tcPr>
            <w:tcW w:w="94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100" w:type="dxa"/>
            <w:vAlign w:val="bottom"/>
          </w:tcPr>
          <w:p>
            <w:pPr>
              <w:spacing w:after="0"/>
              <w:rPr>
                <w:sz w:val="19"/>
                <w:szCs w:val="19"/>
                <w:color w:val="auto"/>
              </w:rPr>
            </w:pPr>
          </w:p>
        </w:tc>
      </w:tr>
      <w:tr>
        <w:trPr>
          <w:trHeight w:val="199"/>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 from China Merchants Bank</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16,675</w:t>
            </w:r>
          </w:p>
        </w:tc>
        <w:tc>
          <w:tcPr>
            <w:tcW w:w="1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18,390</w:t>
            </w:r>
          </w:p>
        </w:tc>
        <w:tc>
          <w:tcPr>
            <w:tcW w:w="100" w:type="dxa"/>
            <w:vAlign w:val="bottom"/>
            <w:shd w:val="clear" w:color="auto" w:fill="CCEEFF"/>
          </w:tcPr>
          <w:p>
            <w:pPr>
              <w:spacing w:after="0"/>
              <w:rPr>
                <w:sz w:val="17"/>
                <w:szCs w:val="17"/>
                <w:color w:val="auto"/>
              </w:rPr>
            </w:pPr>
          </w:p>
        </w:tc>
      </w:tr>
      <w:tr>
        <w:trPr>
          <w:trHeight w:val="199"/>
        </w:trPr>
        <w:tc>
          <w:tcPr>
            <w:tcW w:w="8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Loans from Bank of China</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6,295</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6,977</w:t>
            </w:r>
          </w:p>
        </w:tc>
        <w:tc>
          <w:tcPr>
            <w:tcW w:w="100" w:type="dxa"/>
            <w:vAlign w:val="bottom"/>
          </w:tcPr>
          <w:p>
            <w:pPr>
              <w:spacing w:after="0"/>
              <w:rPr>
                <w:sz w:val="17"/>
                <w:szCs w:val="17"/>
                <w:color w:val="auto"/>
              </w:rPr>
            </w:pPr>
          </w:p>
        </w:tc>
      </w:tr>
      <w:tr>
        <w:trPr>
          <w:trHeight w:val="199"/>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(2,328)</w:t>
            </w:r>
          </w:p>
        </w:tc>
        <w:tc>
          <w:tcPr>
            <w:tcW w:w="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(2,410)</w:t>
            </w:r>
          </w:p>
        </w:tc>
      </w:tr>
      <w:tr>
        <w:trPr>
          <w:trHeight w:val="25"/>
        </w:trPr>
        <w:tc>
          <w:tcPr>
            <w:tcW w:w="94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9"/>
        </w:trPr>
        <w:tc>
          <w:tcPr>
            <w:tcW w:w="94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20,642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22,957</w:t>
            </w:r>
          </w:p>
        </w:tc>
        <w:tc>
          <w:tcPr>
            <w:tcW w:w="10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loan from China Merchants Bank is for the purpose of purchasing housing property in Lingang, Shanghai. The loan is repayable in 120 total installments with the last installment due in November 2030, with an annual interest rate of 4.65%. The loan is pledged by the property of ACM Shengwei and guaranteed by ACM Shanghai. The housing property transferred to ACM Shengwei in January 2022 (note 6). As of June 30, 2022, the right certificate of the pledged property has not been obtained and the procedures of the formal pledge registration in the China Merchants Bank had not been completed. On July 27, 2022, a notification was received by ACM Shengwei from China Merchants Bank stating that the absence of the right certificate shall not be regarded as a default as the project developer has not yet delivered the right certificate to ACM Shengwei due to COVID-related administrative delays.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Scheduled principal payments for the outstanding long-term loan as of June 30, 2022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20" w:type="dxa"/>
            <w:vAlign w:val="bottom"/>
          </w:tcPr>
          <w:p>
            <w:pPr>
              <w:spacing w:after="0"/>
              <w:rPr>
                <w:sz w:val="19"/>
                <w:szCs w:val="19"/>
                <w:color w:val="auto"/>
              </w:rPr>
            </w:pPr>
          </w:p>
        </w:tc>
        <w:tc>
          <w:tcPr>
            <w:tcW w:w="9380" w:type="dxa"/>
            <w:vAlign w:val="bottom"/>
            <w:gridSpan w:val="3"/>
          </w:tcPr>
          <w:p>
            <w:pPr>
              <w:jc w:val="right"/>
              <w:ind w:right="7157"/>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9"/>
        </w:trPr>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8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w:t>
            </w:r>
          </w:p>
        </w:tc>
        <w:tc>
          <w:tcPr>
            <w:tcW w:w="100" w:type="dxa"/>
            <w:vAlign w:val="bottom"/>
            <w:shd w:val="clear" w:color="auto" w:fill="CCEEFF"/>
          </w:tcPr>
          <w:p>
            <w:pPr>
              <w:spacing w:after="0"/>
              <w:rPr>
                <w:sz w:val="17"/>
                <w:szCs w:val="17"/>
                <w:color w:val="auto"/>
              </w:rPr>
            </w:pPr>
          </w:p>
        </w:tc>
      </w:tr>
      <w:tr>
        <w:trPr>
          <w:trHeight w:val="199"/>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8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2,367</w:t>
            </w:r>
          </w:p>
        </w:tc>
        <w:tc>
          <w:tcPr>
            <w:tcW w:w="100" w:type="dxa"/>
            <w:vAlign w:val="bottom"/>
          </w:tcPr>
          <w:p>
            <w:pPr>
              <w:spacing w:after="0"/>
              <w:rPr>
                <w:sz w:val="17"/>
                <w:szCs w:val="17"/>
                <w:color w:val="auto"/>
              </w:rPr>
            </w:pPr>
          </w:p>
        </w:tc>
      </w:tr>
      <w:tr>
        <w:trPr>
          <w:trHeight w:val="199"/>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8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7,067</w:t>
            </w:r>
          </w:p>
        </w:tc>
        <w:tc>
          <w:tcPr>
            <w:tcW w:w="100" w:type="dxa"/>
            <w:vAlign w:val="bottom"/>
            <w:shd w:val="clear" w:color="auto" w:fill="CCEEFF"/>
          </w:tcPr>
          <w:p>
            <w:pPr>
              <w:spacing w:after="0"/>
              <w:rPr>
                <w:sz w:val="17"/>
                <w:szCs w:val="17"/>
                <w:color w:val="auto"/>
              </w:rPr>
            </w:pPr>
          </w:p>
        </w:tc>
      </w:tr>
      <w:tr>
        <w:trPr>
          <w:trHeight w:val="199"/>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8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w:t>
            </w:r>
          </w:p>
        </w:tc>
        <w:tc>
          <w:tcPr>
            <w:tcW w:w="100" w:type="dxa"/>
            <w:vAlign w:val="bottom"/>
          </w:tcPr>
          <w:p>
            <w:pPr>
              <w:spacing w:after="0"/>
              <w:rPr>
                <w:sz w:val="17"/>
                <w:szCs w:val="17"/>
                <w:color w:val="auto"/>
              </w:rPr>
            </w:pPr>
          </w:p>
        </w:tc>
      </w:tr>
      <w:tr>
        <w:trPr>
          <w:trHeight w:val="199"/>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8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w:t>
            </w:r>
          </w:p>
        </w:tc>
        <w:tc>
          <w:tcPr>
            <w:tcW w:w="100" w:type="dxa"/>
            <w:vAlign w:val="bottom"/>
            <w:shd w:val="clear" w:color="auto" w:fill="CCEEFF"/>
          </w:tcPr>
          <w:p>
            <w:pPr>
              <w:spacing w:after="0"/>
              <w:rPr>
                <w:sz w:val="17"/>
                <w:szCs w:val="17"/>
                <w:color w:val="auto"/>
              </w:rPr>
            </w:pPr>
          </w:p>
        </w:tc>
      </w:tr>
      <w:tr>
        <w:trPr>
          <w:trHeight w:val="204"/>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8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8,571</w:t>
            </w:r>
          </w:p>
        </w:tc>
        <w:tc>
          <w:tcPr>
            <w:tcW w:w="100" w:type="dxa"/>
            <w:vAlign w:val="bottom"/>
          </w:tcPr>
          <w:p>
            <w:pPr>
              <w:spacing w:after="0"/>
              <w:rPr>
                <w:sz w:val="17"/>
                <w:szCs w:val="17"/>
                <w:color w:val="auto"/>
              </w:rPr>
            </w:pPr>
          </w:p>
        </w:tc>
      </w:tr>
      <w:tr>
        <w:trPr>
          <w:trHeight w:val="239"/>
        </w:trPr>
        <w:tc>
          <w:tcPr>
            <w:tcW w:w="1020" w:type="dxa"/>
            <w:vAlign w:val="bottom"/>
            <w:tcBorders>
              <w:bottom w:val="single" w:sz="8" w:color="CCEEFF"/>
            </w:tcBorders>
            <w:shd w:val="clear" w:color="auto" w:fill="CCEEFF"/>
          </w:tcPr>
          <w:p>
            <w:pPr>
              <w:spacing w:after="0"/>
              <w:rPr>
                <w:sz w:val="20"/>
                <w:szCs w:val="20"/>
                <w:color w:val="auto"/>
              </w:rPr>
            </w:pPr>
          </w:p>
        </w:tc>
        <w:tc>
          <w:tcPr>
            <w:tcW w:w="9000" w:type="dxa"/>
            <w:vAlign w:val="bottom"/>
            <w:tcBorders>
              <w:bottom w:val="single" w:sz="8" w:color="CCEEFF"/>
            </w:tcBorders>
            <w:gridSpan w:val="2"/>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22,970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515"/>
        </w:trPr>
        <w:tc>
          <w:tcPr>
            <w:tcW w:w="1020" w:type="dxa"/>
            <w:vAlign w:val="bottom"/>
          </w:tcPr>
          <w:p>
            <w:pPr>
              <w:spacing w:after="0"/>
              <w:rPr>
                <w:sz w:val="24"/>
                <w:szCs w:val="24"/>
                <w:color w:val="auto"/>
              </w:rPr>
            </w:pPr>
          </w:p>
        </w:tc>
        <w:tc>
          <w:tcPr>
            <w:tcW w:w="8880" w:type="dxa"/>
            <w:vAlign w:val="bottom"/>
          </w:tcPr>
          <w:p>
            <w:pPr>
              <w:jc w:val="right"/>
              <w:ind w:right="4125"/>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
        </w:trPr>
        <w:tc>
          <w:tcPr>
            <w:tcW w:w="1020" w:type="dxa"/>
            <w:vAlign w:val="bottom"/>
            <w:tcBorders>
              <w:bottom w:val="single" w:sz="8" w:color="auto"/>
            </w:tcBorders>
          </w:tcPr>
          <w:p>
            <w:pPr>
              <w:spacing w:after="0"/>
              <w:rPr>
                <w:sz w:val="3"/>
                <w:szCs w:val="3"/>
                <w:color w:val="auto"/>
              </w:rPr>
            </w:pPr>
          </w:p>
        </w:tc>
        <w:tc>
          <w:tcPr>
            <w:tcW w:w="8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percentage and per share data)</w:t>
      </w:r>
    </w:p>
    <w:p>
      <w:pPr>
        <w:spacing w:after="0" w:line="1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For the three months ended June 30, 2022 and 2021, respectively, interest related to long-term borrowings of $244 and $227 was incurred, of which $244 and $3 was charged to interest expenses and $0 and $224 was capitalized as property plant and equipment and other long-term assets, respectively.</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For the six months ended June 30, 2022 and 2021, respectively, interest related to long-term borrowings of $502 and $544 was incurred, of which $442 and $3 was charged to interest expenses and $60 and $541 was capitalized as property plant and equipment and other long-term assets,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 OTHER LONG-TERM LIABILITIES</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Other long-term liabilities represent government subsidies received from PRC governmental authorities for development and commercialization of certain technology but not yet recognized. Other long-term liabilities consisted of the following unearned government subsidies: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4"/>
        </w:trPr>
        <w:tc>
          <w:tcPr>
            <w:tcW w:w="8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r>
      <w:tr>
        <w:trPr>
          <w:trHeight w:val="19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Subsidies to Stress Free Polishing project, commenced in 2008 and 2017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0D0D0D"/>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D0D0D"/>
              </w:rPr>
              <w:t>791</w:t>
            </w:r>
          </w:p>
        </w:tc>
        <w:tc>
          <w:tcPr>
            <w:tcW w:w="100" w:type="dxa"/>
            <w:vAlign w:val="bottom"/>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Subsidies to Electro Copper Plating project, commenced in 2014</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D0D0D"/>
              </w:rPr>
              <w:t>160</w:t>
            </w:r>
          </w:p>
        </w:tc>
      </w:tr>
      <w:tr>
        <w:trPr>
          <w:trHeight w:val="19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Subsidies to other cleaning tools,commenced in 2020</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D0D0D"/>
              </w:rPr>
              <w:t>1,014</w:t>
            </w:r>
          </w:p>
        </w:tc>
      </w:tr>
      <w:tr>
        <w:trPr>
          <w:trHeight w:val="199"/>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Subsidies to SW Lingang R&amp;D development in 2021</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D0D0D"/>
              </w:rPr>
              <w:t>5,958</w:t>
            </w:r>
          </w:p>
        </w:tc>
      </w:tr>
      <w:tr>
        <w:trPr>
          <w:trHeight w:val="204"/>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D0D0D"/>
              </w:rPr>
              <w:t>524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8,063</w:t>
            </w:r>
          </w:p>
        </w:tc>
        <w:tc>
          <w:tcPr>
            <w:tcW w:w="220" w:type="dxa"/>
            <w:vAlign w:val="bottom"/>
          </w:tcPr>
          <w:p>
            <w:pPr>
              <w:spacing w:after="0"/>
              <w:rPr>
                <w:sz w:val="17"/>
                <w:szCs w:val="17"/>
                <w:color w:val="auto"/>
              </w:rPr>
            </w:pP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0D0D0D"/>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D0D0D"/>
              </w:rPr>
              <w:t>8,447</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 LONG-TERM INVESTMENT</w:t>
      </w:r>
    </w:p>
    <w:p>
      <w:pPr>
        <w:spacing w:after="0" w:line="20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On September 6, 2017, ACM and Ninebell Co., Ltd. (“Ninebell”), a Korean company that is one of the Company’s principal material suppliers, entered into an ordinary share purchase agreement, effective as of September 11, 2017, pursuant to which Ninebell issued to ACM ordinary shares representing 20% of Ninebell’s post-closing equity for a purchase price of $1,200, and a common stock purchase agreement, effective as of September 11, 2017, pursuant to which ACM issued 133,334 shares of Class A common stock to Ninebell for a purchase price of $1,000 at $7.50 per share. The investment in Ninebell is accounted for under the equity method.</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June 27, 2019, ACM Shanghai and Shengyi Semiconductor Technology Co., Ltd. (“Shengyi”), a company based in Wuxi, China that is one of the Company’s component suppliers, entered into an agreement pursuant to which Shengyi issued to ACM Shanghai shares representing 15% of Shengyi’s post-closing equity for a purchase price of $109. The investment in Shengyi is accounted for under the equity method.</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September 5, 2019, ACM Shanghai, entered into a Partnership Agreement with six other investors, as limited partners, and Beijing Shixi Qingliu Investment Co., Ltd., as general partner and manager, with respect to the formation of Hefei Shixi Chanheng Integrated Circuit Industry Venture Capital Fund Partnership (LP) (“Hefei Shixi”), a Chinese limited partnership based in Hefei, China. Pursuant to such Partnership Agreement, on September 30, 2019, ACM Shanghai invested RMB 30,000 ($4,200), which represented 10% of the partnership’s total subscribed capital. The investment in Hefei Shixi is accounted for under the equity method.</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October 29, 2021, ACM Shanghai and Waferworks (Shanghai) Co., Ltd (“Waferworks”), a company based in Shanghai and one of the Company’s customers, entered into an agreement pursuant to which Waferworks issued to ACM Shanghai shares representing 0.25% of Waferworks’ post-closing equity for a purchase price of $1,568. As there is no readily determinable fair value, the Company measures the investment in Waferworks at cost minus impairment, if any.</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percentage and per share data)</w:t>
      </w:r>
    </w:p>
    <w:p>
      <w:pPr>
        <w:spacing w:after="0" w:line="1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Company treats the equity investment in the consolidated financial statements under the equity method and are classified as long-term investments. Under the equity method, the investment is initially recorded at cost, adjusted for any excess of the Company’s share of the incorporated-date fair values of the investee’s identifiable net assets over the cost of the investment (if any). Thereafter, the investment is adjusted for the post incorporation change in the Company’s share of the investee’s net assets and any impairment loss relating to the investment. The Company concluded that the investments were not impaired and did not record any impairment charges related to the investments for any prior periods.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4"/>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Equity investee:</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r>
      <w:tr>
        <w:trPr>
          <w:trHeight w:val="19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Ninebell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3,051</w:t>
            </w:r>
          </w:p>
        </w:tc>
        <w:tc>
          <w:tcPr>
            <w:tcW w:w="100" w:type="dxa"/>
            <w:vAlign w:val="bottom"/>
            <w:shd w:val="clear" w:color="auto" w:fill="CCEEFF"/>
          </w:tcPr>
          <w:p>
            <w:pPr>
              <w:spacing w:after="0"/>
              <w:rPr>
                <w:sz w:val="17"/>
                <w:szCs w:val="17"/>
                <w:color w:val="auto"/>
              </w:rPr>
            </w:pPr>
          </w:p>
        </w:tc>
      </w:tr>
      <w:tr>
        <w:trPr>
          <w:trHeight w:val="199"/>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Shengyi</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280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211</w:t>
            </w:r>
          </w:p>
        </w:tc>
      </w:tr>
      <w:tr>
        <w:trPr>
          <w:trHeight w:val="204"/>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Hefei Shixi</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7,390</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7,864</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Subtotal</w:t>
            </w:r>
          </w:p>
        </w:tc>
        <w:tc>
          <w:tcPr>
            <w:tcW w:w="3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11,122</w:t>
            </w: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11,126</w:t>
            </w:r>
          </w:p>
        </w:tc>
      </w:tr>
      <w:tr>
        <w:trPr>
          <w:trHeight w:val="19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investee:</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Waferworks</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1,490</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1,568</w:t>
            </w:r>
          </w:p>
        </w:tc>
      </w:tr>
      <w:tr>
        <w:trPr>
          <w:trHeight w:val="239"/>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6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12,612</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12,694</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For the three months ended June 30, 2022 and 2021, the Company’s share of equity investees’ net income was $472 and $295, respectively, and $401 and $615 for the six months ended June 30, 2022 and 2021, respectively, which amounts were included in equity income in net income of affiliates in the accompanying condensed consolidated statements of operations and comprehensive income.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 TRADING SECURITIES</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Pursuant to a Partnership Agreement dated June 9, 2020 (the “Partnership Agreement”) and a Supplementary Agreement thereto dated June 15, 2020 (the “Supplementary Agreement”), ACM Shanghai became a limited partner of Qingdao Fortune-Tech Xinxing Capital Partnership (L.P.), a Chinese limited partnership based in Shanghai (the “Partnership”) of which China Fortune-Tech Capital Co., Ltd serves as general partner and thirteen unaffiliated entities serve, with ACM Shanghai, as limited partners. The Partnership was formed to establish a special fund that would purchase, in a strategic placement, shares of SMIC to be listed on the STAR Market. The limited partners of the Partnership contributed to the fund a total of RMB 2.224 billion ($315,000), of which ACM Shanghai contributed RMB 100 million ($14.2 million), or 4.3% of the total contribution, on June 18, 2020.</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Upon the closing of the SMIC offering in July 2020, the initial number of SMIC shares owned by the Partnership was apportioned to all of the limited partners in proportion to their respective capital contributions (4.3% in the case of ACM Shanghai). An individual limited partner will be able to instruct the general partner to sell, on behalf of the limited partner, all or a portion of the limited partner’s apportioned shares, subject to compliance with all laws, regulations, trading rules, the Partnership Agreement and the Supplementary Agreement. Alternatively, limited partners holding at least thirty percent of the total SMIC shares held by the Partnership will be able, pursuant to a call auction in accordance with the Supplementary Agreement, to cause the general partner to arrange to sell all of the shares desired to be offered by each of the limited partners that complies with procedural requirements provided in the Supplementary Agreement.</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As SMIC was listed on the STAR Market in July 2020, ACM Shanghai’s investment is accounted for as trading securities and is stated at fair market value, which is classified as Level 1 of the hierarchy established under ASC 820,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xml:space="preserve"> with valuations based on quoted prices for identical securities in active markets at June 30, 2022 and December 31, 2021.</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49"/>
        </w:trPr>
        <w:tc>
          <w:tcPr>
            <w:tcW w:w="81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08"/>
        </w:trPr>
        <w:tc>
          <w:tcPr>
            <w:tcW w:w="940" w:type="dxa"/>
            <w:vAlign w:val="bottom"/>
            <w:tcBorders>
              <w:top w:val="single" w:sz="8" w:color="0000EE"/>
            </w:tcBorders>
          </w:tcPr>
          <w:p>
            <w:pPr>
              <w:spacing w:after="0"/>
              <w:rPr>
                <w:sz w:val="24"/>
                <w:szCs w:val="24"/>
                <w:color w:val="auto"/>
              </w:rPr>
            </w:pPr>
          </w:p>
        </w:tc>
        <w:tc>
          <w:tcPr>
            <w:tcW w:w="7240" w:type="dxa"/>
            <w:vAlign w:val="bottom"/>
          </w:tcPr>
          <w:p>
            <w:pPr>
              <w:jc w:val="center"/>
              <w:ind w:left="2057"/>
              <w:spacing w:after="0"/>
              <w:rPr>
                <w:sz w:val="20"/>
                <w:szCs w:val="20"/>
                <w:color w:val="auto"/>
              </w:rPr>
            </w:pPr>
            <w:r>
              <w:rPr>
                <w:rFonts w:ascii="Times New Roman" w:cs="Times New Roman" w:eastAsia="Times New Roman" w:hAnsi="Times New Roman"/>
                <w:sz w:val="17"/>
                <w:szCs w:val="17"/>
                <w:b w:val="1"/>
                <w:bCs w:val="1"/>
                <w:color w:val="auto"/>
                <w:w w:val="97"/>
              </w:rPr>
              <w:t>ACM RESEARCH, INC.</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940" w:type="dxa"/>
            <w:vAlign w:val="bottom"/>
          </w:tcPr>
          <w:p>
            <w:pPr>
              <w:spacing w:after="0"/>
              <w:rPr>
                <w:sz w:val="17"/>
                <w:szCs w:val="17"/>
                <w:color w:val="auto"/>
              </w:rPr>
            </w:pPr>
          </w:p>
        </w:tc>
        <w:tc>
          <w:tcPr>
            <w:tcW w:w="7240" w:type="dxa"/>
            <w:vAlign w:val="bottom"/>
          </w:tcPr>
          <w:p>
            <w:pPr>
              <w:jc w:val="center"/>
              <w:ind w:left="2037"/>
              <w:spacing w:after="0"/>
              <w:rPr>
                <w:sz w:val="20"/>
                <w:szCs w:val="20"/>
                <w:color w:val="auto"/>
              </w:rPr>
            </w:pPr>
            <w:r>
              <w:rPr>
                <w:rFonts w:ascii="Times New Roman" w:cs="Times New Roman" w:eastAsia="Times New Roman" w:hAnsi="Times New Roman"/>
                <w:sz w:val="17"/>
                <w:szCs w:val="17"/>
                <w:b w:val="1"/>
                <w:bCs w:val="1"/>
                <w:color w:val="auto"/>
                <w:w w:val="97"/>
              </w:rPr>
              <w:t>Notes to the Condensed Consolidated Financial Statements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940" w:type="dxa"/>
            <w:vAlign w:val="bottom"/>
          </w:tcPr>
          <w:p>
            <w:pPr>
              <w:spacing w:after="0"/>
              <w:rPr>
                <w:sz w:val="18"/>
                <w:szCs w:val="18"/>
                <w:color w:val="auto"/>
              </w:rPr>
            </w:pPr>
          </w:p>
        </w:tc>
        <w:tc>
          <w:tcPr>
            <w:tcW w:w="7240" w:type="dxa"/>
            <w:vAlign w:val="bottom"/>
          </w:tcPr>
          <w:p>
            <w:pPr>
              <w:jc w:val="center"/>
              <w:ind w:left="2057"/>
              <w:spacing w:after="0"/>
              <w:rPr>
                <w:sz w:val="20"/>
                <w:szCs w:val="20"/>
                <w:color w:val="auto"/>
              </w:rPr>
            </w:pPr>
            <w:r>
              <w:rPr>
                <w:rFonts w:ascii="Times New Roman" w:cs="Times New Roman" w:eastAsia="Times New Roman" w:hAnsi="Times New Roman"/>
                <w:sz w:val="17"/>
                <w:szCs w:val="17"/>
                <w:i w:val="1"/>
                <w:iCs w:val="1"/>
                <w:color w:val="auto"/>
                <w:w w:val="97"/>
              </w:rPr>
              <w:t>(In thousands, except share, percentage and per share data)</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1"/>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components of trading securities were as follows: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9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4"/>
        </w:trPr>
        <w:tc>
          <w:tcPr>
            <w:tcW w:w="94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r>
      <w:tr>
        <w:trPr>
          <w:trHeight w:val="199"/>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Trading securities listed in Shanghai Stock Exchange</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Cost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14,598</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15,363</w:t>
            </w:r>
          </w:p>
        </w:tc>
      </w:tr>
      <w:tr>
        <w:trPr>
          <w:trHeight w:val="216"/>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Market value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23,894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29,498</w:t>
            </w:r>
          </w:p>
        </w:tc>
      </w:tr>
    </w:tbl>
    <w:p>
      <w:pPr>
        <w:spacing w:after="0" w:line="162" w:lineRule="exact"/>
        <w:rPr>
          <w:sz w:val="20"/>
          <w:szCs w:val="20"/>
          <w:color w:val="auto"/>
        </w:rPr>
      </w:pPr>
    </w:p>
    <w:p>
      <w:pPr>
        <w:sectPr>
          <w:pgSz w:w="11900" w:h="16838" w:orient="portrait"/>
          <w:cols w:equalWidth="0" w:num="1">
            <w:col w:w="11240"/>
          </w:cols>
          <w:pgMar w:left="320" w:top="114" w:right="339" w:bottom="1440" w:gutter="0" w:footer="0" w:header="0"/>
        </w:sectPr>
      </w:pPr>
    </w:p>
    <w:p>
      <w:pPr>
        <w:jc w:val="center"/>
        <w:ind w:left="61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22860</wp:posOffset>
            </wp:positionV>
            <wp:extent cx="156464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64640" cy="15875"/>
                    </a:xfrm>
                    <a:prstGeom prst="rect">
                      <a:avLst/>
                    </a:prstGeom>
                    <a:noFill/>
                  </pic:spPr>
                </pic:pic>
              </a:graphicData>
            </a:graphic>
          </wp:anchor>
        </w:drawing>
      </w:r>
    </w:p>
    <w:p>
      <w:pPr>
        <w:spacing w:after="0" w:line="20" w:lineRule="exact"/>
        <w:rPr>
          <w:sz w:val="20"/>
          <w:szCs w:val="20"/>
          <w:color w:val="auto"/>
        </w:rPr>
      </w:pPr>
    </w:p>
    <w:p>
      <w:pPr>
        <w:ind w:left="6380"/>
        <w:spacing w:after="0"/>
        <w:tabs>
          <w:tab w:leader="none" w:pos="7700" w:val="left"/>
        </w:tabs>
        <w:rPr>
          <w:sz w:val="20"/>
          <w:szCs w:val="20"/>
          <w:color w:val="auto"/>
        </w:rPr>
      </w:pPr>
      <w:r>
        <w:rPr>
          <w:rFonts w:ascii="Times New Roman" w:cs="Times New Roman" w:eastAsia="Times New Roman" w:hAnsi="Times New Roman"/>
          <w:sz w:val="17"/>
          <w:szCs w:val="17"/>
          <w:b w:val="1"/>
          <w:bCs w:val="1"/>
          <w:color w:val="auto"/>
        </w:rPr>
        <w:t>2022</w:t>
      </w:r>
      <w:r>
        <w:rPr>
          <w:sz w:val="20"/>
          <w:szCs w:val="20"/>
          <w:color w:val="auto"/>
        </w:rPr>
        <w:tab/>
      </w:r>
      <w:r>
        <w:rPr>
          <w:rFonts w:ascii="Times New Roman" w:cs="Times New Roman" w:eastAsia="Times New Roman" w:hAnsi="Times New Roman"/>
          <w:sz w:val="17"/>
          <w:szCs w:val="17"/>
          <w:b w:val="1"/>
          <w:bCs w:val="1"/>
          <w:color w:val="auto"/>
        </w:rPr>
        <w:t>2021</w:t>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22860</wp:posOffset>
            </wp:positionV>
            <wp:extent cx="156464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64640" cy="15875"/>
                    </a:xfrm>
                    <a:prstGeom prst="rect">
                      <a:avLst/>
                    </a:prstGeom>
                    <a:noFill/>
                  </pic:spPr>
                </pic:pic>
              </a:graphicData>
            </a:graphic>
          </wp:anchor>
        </w:drawing>
      </w:r>
    </w:p>
    <w:p>
      <w:pPr>
        <w:spacing w:after="0" w:line="20" w:lineRule="exact"/>
        <w:rPr>
          <w:sz w:val="20"/>
          <w:szCs w:val="20"/>
          <w:color w:val="auto"/>
        </w:rPr>
      </w:pPr>
    </w:p>
    <w:p>
      <w:pPr>
        <w:ind w:left="120"/>
        <w:spacing w:after="0"/>
        <w:tabs>
          <w:tab w:leader="none" w:pos="1460" w:val="left"/>
        </w:tabs>
        <w:rPr>
          <w:sz w:val="20"/>
          <w:szCs w:val="20"/>
          <w:color w:val="auto"/>
        </w:rPr>
      </w:pPr>
      <w:r>
        <w:rPr>
          <w:rFonts w:ascii="Times New Roman" w:cs="Times New Roman" w:eastAsia="Times New Roman" w:hAnsi="Times New Roman"/>
          <w:sz w:val="17"/>
          <w:szCs w:val="17"/>
          <w:b w:val="1"/>
          <w:bCs w:val="1"/>
          <w:color w:val="auto"/>
        </w:rPr>
        <w:t>2022</w:t>
      </w:r>
      <w:r>
        <w:rPr>
          <w:sz w:val="20"/>
          <w:szCs w:val="20"/>
          <w:color w:val="auto"/>
        </w:rPr>
        <w:tab/>
      </w:r>
      <w:r>
        <w:rPr>
          <w:rFonts w:ascii="Times New Roman" w:cs="Times New Roman" w:eastAsia="Times New Roman" w:hAnsi="Times New Roman"/>
          <w:sz w:val="17"/>
          <w:szCs w:val="17"/>
          <w:b w:val="1"/>
          <w:bCs w:val="1"/>
          <w:color w:val="auto"/>
        </w:rPr>
        <w:t>2021</w:t>
      </w:r>
    </w:p>
    <w:p>
      <w:pPr>
        <w:spacing w:after="0" w:line="24" w:lineRule="exact"/>
        <w:rPr>
          <w:sz w:val="20"/>
          <w:szCs w:val="20"/>
          <w:color w:val="auto"/>
        </w:rPr>
      </w:pPr>
    </w:p>
    <w:p>
      <w:pPr>
        <w:sectPr>
          <w:pgSz w:w="11900" w:h="16838" w:orient="portrait"/>
          <w:cols w:equalWidth="0" w:num="2">
            <w:col w:w="8280" w:space="660"/>
            <w:col w:w="2300"/>
          </w:cols>
          <w:pgMar w:left="320" w:top="114"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44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jc w:val="right"/>
              <w:ind w:right="97"/>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right"/>
              <w:ind w:right="117"/>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gain (loss) on trading securities</w:t>
            </w:r>
          </w:p>
        </w:tc>
        <w:tc>
          <w:tcPr>
            <w:tcW w:w="1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6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3,783</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(4,281)</w:t>
            </w:r>
          </w:p>
        </w:tc>
        <w:tc>
          <w:tcPr>
            <w:tcW w:w="64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2,736</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 RELATED PARTY BALANCES AND TRANSACTIONS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Ninebell</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Ninebell is an equity investee of ACM (note 14) and is the Company’s principal supplier of robotic delivery system subassemblies used in our single-wafer cleaning equipment subassembly providers and an equity investee of the Company. The Company purchases equipment through arms-length transactions from Ninebell for production in the ordinary course of business. The Company pays a portion of the equipment in advance and is obligated for the remaining amounts upon receipt of the product. All related party outstanding balances are short-term in nature and are expected to be settled in cash.</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Shengyi</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Shengyi is an equity investee of ACM Shanghai (note 14) and is one of the Company’s component suppliers in China. The Company purchases components from Shengyi for production in the ordinary course of business. The Company incurs a service fee related to installation and hook-up fees which is recorded within cost of revenue on the Company’s condensed consolidated statements of operations and comprehensive income (loss). The Company pays a portion of the raw materials in advance and is obligated for the remaining amounts upon receipt of the product.</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percentage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reflect related party transactions in our condensed consolidated financial statements: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5"/>
              </w:rPr>
              <w:t>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December 31,</w:t>
            </w:r>
          </w:p>
        </w:tc>
      </w:tr>
      <w:tr>
        <w:trPr>
          <w:trHeight w:val="204"/>
        </w:trPr>
        <w:tc>
          <w:tcPr>
            <w:tcW w:w="5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Prepaid expenses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center"/>
              <w:ind w:right="97"/>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center"/>
              <w:ind w:right="117"/>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100" w:type="dxa"/>
            <w:vAlign w:val="bottom"/>
          </w:tcPr>
          <w:p>
            <w:pPr>
              <w:spacing w:after="0"/>
              <w:rPr>
                <w:sz w:val="17"/>
                <w:szCs w:val="17"/>
                <w:color w:val="auto"/>
              </w:rPr>
            </w:pPr>
          </w:p>
        </w:tc>
      </w:tr>
      <w:tr>
        <w:trPr>
          <w:trHeight w:val="23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Ninebell</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3,073</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393"/>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5"/>
              </w:rPr>
              <w:t>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December 31,</w:t>
            </w:r>
          </w:p>
        </w:tc>
      </w:tr>
      <w:tr>
        <w:trPr>
          <w:trHeight w:val="204"/>
        </w:trPr>
        <w:tc>
          <w:tcPr>
            <w:tcW w:w="5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Accounts payable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center"/>
              <w:ind w:right="97"/>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center"/>
              <w:ind w:right="117"/>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100" w:type="dxa"/>
            <w:vAlign w:val="bottom"/>
          </w:tcPr>
          <w:p>
            <w:pPr>
              <w:spacing w:after="0"/>
              <w:rPr>
                <w:sz w:val="17"/>
                <w:szCs w:val="17"/>
                <w:color w:val="auto"/>
              </w:rPr>
            </w:pPr>
          </w:p>
        </w:tc>
      </w:tr>
      <w:tr>
        <w:trPr>
          <w:trHeight w:val="19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Ninebell</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5,703</w:t>
            </w:r>
          </w:p>
        </w:tc>
        <w:tc>
          <w:tcPr>
            <w:tcW w:w="100" w:type="dxa"/>
            <w:vAlign w:val="bottom"/>
            <w:shd w:val="clear" w:color="auto" w:fill="CCEEFF"/>
          </w:tcPr>
          <w:p>
            <w:pPr>
              <w:spacing w:after="0"/>
              <w:rPr>
                <w:sz w:val="17"/>
                <w:szCs w:val="17"/>
                <w:color w:val="auto"/>
              </w:rPr>
            </w:pPr>
          </w:p>
        </w:tc>
      </w:tr>
      <w:tr>
        <w:trPr>
          <w:trHeight w:val="204"/>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Shengyi</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1,941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2,196</w:t>
            </w:r>
          </w:p>
        </w:tc>
      </w:tr>
      <w:tr>
        <w:trPr>
          <w:trHeight w:val="23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9,062</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393"/>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5"/>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w w:val="98"/>
              </w:rPr>
              <w:t>Three Months Ended June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ind w:left="10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04"/>
        </w:trPr>
        <w:tc>
          <w:tcPr>
            <w:tcW w:w="5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Purchase of materials</w:t>
            </w: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center"/>
              <w:ind w:right="97"/>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center"/>
              <w:ind w:right="117"/>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100" w:type="dxa"/>
            <w:vAlign w:val="bottom"/>
          </w:tcPr>
          <w:p>
            <w:pPr>
              <w:spacing w:after="0"/>
              <w:rPr>
                <w:sz w:val="17"/>
                <w:szCs w:val="17"/>
                <w:color w:val="auto"/>
              </w:rPr>
            </w:pPr>
          </w:p>
        </w:tc>
      </w:tr>
      <w:tr>
        <w:trPr>
          <w:trHeight w:val="19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Ninebell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17,666</w:t>
            </w:r>
          </w:p>
        </w:tc>
        <w:tc>
          <w:tcPr>
            <w:tcW w:w="220" w:type="dxa"/>
            <w:vAlign w:val="bottom"/>
            <w:gridSpan w:val="2"/>
            <w:shd w:val="clear" w:color="auto" w:fill="CCEEFF"/>
          </w:tcPr>
          <w:p>
            <w:pPr>
              <w:spacing w:after="0"/>
              <w:rPr>
                <w:sz w:val="17"/>
                <w:szCs w:val="17"/>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14,378</w:t>
            </w:r>
          </w:p>
        </w:tc>
        <w:tc>
          <w:tcPr>
            <w:tcW w:w="100" w:type="dxa"/>
            <w:vAlign w:val="bottom"/>
            <w:shd w:val="clear" w:color="auto" w:fill="CCEEFF"/>
          </w:tcPr>
          <w:p>
            <w:pPr>
              <w:spacing w:after="0"/>
              <w:rPr>
                <w:sz w:val="17"/>
                <w:szCs w:val="17"/>
                <w:color w:val="auto"/>
              </w:rPr>
            </w:pPr>
          </w:p>
        </w:tc>
      </w:tr>
      <w:tr>
        <w:trPr>
          <w:trHeight w:val="204"/>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Shengyi</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287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1,462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645</w:t>
            </w:r>
          </w:p>
        </w:tc>
      </w:tr>
      <w:tr>
        <w:trPr>
          <w:trHeight w:val="23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19,128</w:t>
            </w:r>
          </w:p>
        </w:tc>
        <w:tc>
          <w:tcPr>
            <w:tcW w:w="220" w:type="dxa"/>
            <w:vAlign w:val="bottom"/>
            <w:tcBorders>
              <w:bottom w:val="single" w:sz="8" w:color="CCEEFF"/>
            </w:tcBorders>
            <w:gridSpan w:val="2"/>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393"/>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5"/>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w w:val="98"/>
              </w:rPr>
              <w:t>Three Months Ended June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ind w:left="10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04"/>
        </w:trPr>
        <w:tc>
          <w:tcPr>
            <w:tcW w:w="5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Service fee charged by</w:t>
            </w: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7"/>
                <w:szCs w:val="17"/>
                <w:color w:val="auto"/>
              </w:rPr>
            </w:pPr>
          </w:p>
        </w:tc>
      </w:tr>
      <w:tr>
        <w:trPr>
          <w:trHeight w:val="204"/>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Shengyi</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tcPr>
          <w:p>
            <w:pPr>
              <w:spacing w:after="0"/>
              <w:rPr>
                <w:sz w:val="17"/>
                <w:szCs w:val="17"/>
                <w:color w:val="auto"/>
              </w:rPr>
            </w:pP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38</w:t>
            </w:r>
          </w:p>
        </w:tc>
        <w:tc>
          <w:tcPr>
            <w:tcW w:w="200" w:type="dxa"/>
            <w:vAlign w:val="bottom"/>
          </w:tcPr>
          <w:p>
            <w:pPr>
              <w:spacing w:after="0"/>
              <w:rPr>
                <w:sz w:val="17"/>
                <w:szCs w:val="17"/>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259</w:t>
            </w: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 COMMON STOCK</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March 2022, ACM effectuated the Stock Split, which was a 3-for-1 stock split of Class A and Class B common stock in the form of a stock dividend. Each stockholder of record at the close of business on March 16, 2022, received a dividend of two additional shares of Class A common stock for each then-held share of Class A common stock and two additional shares of Class B common stock for each then-held share of Class B common stock, which were distributed after the close of trading on March 23, 2022.</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ACM is authorized to issue 150,000,000 shares of Class A common stock and 5,307,816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of ACM unless such Board of Directors declares different dividends to the Class A common stock and Class B common stock by getting approval from a majority of common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three months ended June 30, 2022, ACM issued 106,525 shares of Class A common stock upon option exercises by employees and non-employees.</w:t>
      </w:r>
    </w:p>
    <w:p>
      <w:pPr>
        <w:spacing w:after="0" w:line="2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During the six months ended June 30, 2022, ACM issued 531,874 shares of Class A common stock upon option exercises by employees and non-employees, and an additional 1,002 shares of Class A common stock upon conversion of an equal number of shares of Class B common stock.</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During the three months ended June 30, 2021, ACM issued 372,282 shares of Class A common stock upon option exercises by employees and non-employees and an additional 185,001 shares of Class A common stock upon conversion of an equal number of shares of Class B common stock.</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During the six months ended June 30, 2021, ACM issued 1,302,102 shares of Class A common stock upon option exercises by employees and non-employees and an additional 285,003 shares of Class A common stock upon conversion of an equal number of shares of Class B common stock. During the three and six months ended June 30, 2021, ACM issued 728,043 shares of Class A common stock upon the exercise of warrants to purchase shares of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June 30, 2022 and December 31, 2021, the number of shares of Class A common stock issued and outstanding was 54,141,805 and 53,608,929,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June 30, 2022 and December 31, 2021, the number of shares of Class B common stock issued and outstanding was 5,086,812 and 5,087,814, respectively.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percentage and per share data)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 STOCK-BASED COMPENSATION</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In January 2020, ACM Shanghai adopted a 2019 Stock Option Incentive Plan (the “Subsidiary Stock Option Plan”) that provides for, among other incentives, the granting to officers, directors, employees of options to purchase shares of ACM Shanghai’s common stock. The fair value of the stock options granted is estimated at the date of grant based on the Black-Scholes option pricing model using assumptions generally consistent with those used for ACM’s stock options. Because ACM Shanghai shares have a short history of trading on a public market, the expected volatility is estimated with reference to the average historical volatility of a group of publicly traded companies that are believed to have similar characteristics to ACM Shanghai.</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ACM’s stock-based compensation consists of employee and non-employee awards issued under its 1998 Stock Option Plan, its 2016 Omnibus Incentive Plan and as standalone options. The vesting condition may consist of a service period determined by the Board of Directors for a grant or certain performance conditions determined by the Board of Directors for a grant. The fair value of the stock options granted with service period based condition is estimated at the date of grant using the Black-Scholes option pricing model. The fair value of the stock options granted with market based condition is estimated at the date of grant using the Monte Carlo simulation model.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components of stock-based compensation expense included in the consolidated statements of operations: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580" w:type="dxa"/>
            <w:vAlign w:val="bottom"/>
            <w:gridSpan w:val="6"/>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04"/>
        </w:trPr>
        <w:tc>
          <w:tcPr>
            <w:tcW w:w="4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3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7"/>
                <w:szCs w:val="17"/>
                <w:color w:val="auto"/>
              </w:rPr>
            </w:pPr>
          </w:p>
        </w:tc>
      </w:tr>
      <w:tr>
        <w:trPr>
          <w:trHeight w:val="199"/>
        </w:trPr>
        <w:tc>
          <w:tcPr>
            <w:tcW w:w="4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Stock-Based Compensation Expense:</w:t>
            </w:r>
          </w:p>
        </w:tc>
        <w:tc>
          <w:tcPr>
            <w:tcW w:w="1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2420" w:type="dxa"/>
            <w:vAlign w:val="bottom"/>
            <w:gridSpan w:val="2"/>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253</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181</w:t>
            </w:r>
          </w:p>
        </w:tc>
      </w:tr>
      <w:tr>
        <w:trPr>
          <w:trHeight w:val="199"/>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Sales and marketing expense</w:t>
            </w:r>
          </w:p>
        </w:tc>
        <w:tc>
          <w:tcPr>
            <w:tcW w:w="1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928</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983</w:t>
            </w:r>
          </w:p>
        </w:tc>
      </w:tr>
      <w:tr>
        <w:trPr>
          <w:trHeight w:val="19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w:t>
            </w:r>
          </w:p>
        </w:tc>
        <w:tc>
          <w:tcPr>
            <w:tcW w:w="1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279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1,067</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508</w:t>
            </w:r>
          </w:p>
        </w:tc>
      </w:tr>
      <w:tr>
        <w:trPr>
          <w:trHeight w:val="204"/>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w:t>
            </w:r>
          </w:p>
        </w:tc>
        <w:tc>
          <w:tcPr>
            <w:tcW w:w="1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1,095</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873</w:t>
            </w:r>
          </w:p>
        </w:tc>
      </w:tr>
      <w:tr>
        <w:trPr>
          <w:trHeight w:val="239"/>
        </w:trPr>
        <w:tc>
          <w:tcPr>
            <w:tcW w:w="43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1,969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3,343</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2,545</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580" w:type="dxa"/>
            <w:vAlign w:val="bottom"/>
            <w:gridSpan w:val="6"/>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0" w:type="dxa"/>
            <w:vAlign w:val="bottom"/>
          </w:tcPr>
          <w:p>
            <w:pPr>
              <w:spacing w:after="0"/>
              <w:rPr>
                <w:sz w:val="1"/>
                <w:szCs w:val="1"/>
                <w:color w:val="auto"/>
              </w:rPr>
            </w:pPr>
          </w:p>
        </w:tc>
      </w:tr>
      <w:tr>
        <w:trPr>
          <w:trHeight w:val="204"/>
        </w:trPr>
        <w:tc>
          <w:tcPr>
            <w:tcW w:w="4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3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Stock-based compensation expense by type:</w:t>
            </w: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 stock option plan</w:t>
            </w:r>
          </w:p>
        </w:tc>
        <w:tc>
          <w:tcPr>
            <w:tcW w:w="2400" w:type="dxa"/>
            <w:vAlign w:val="bottom"/>
            <w:gridSpan w:val="2"/>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3"/>
              </w:rPr>
              <w:t>1,872</w:t>
            </w: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1,217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3,145</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2,302</w:t>
            </w:r>
          </w:p>
        </w:tc>
        <w:tc>
          <w:tcPr>
            <w:tcW w:w="0" w:type="dxa"/>
            <w:vAlign w:val="bottom"/>
          </w:tcPr>
          <w:p>
            <w:pPr>
              <w:spacing w:after="0"/>
              <w:rPr>
                <w:sz w:val="1"/>
                <w:szCs w:val="1"/>
                <w:color w:val="auto"/>
              </w:rPr>
            </w:pPr>
          </w:p>
        </w:tc>
      </w:tr>
      <w:tr>
        <w:trPr>
          <w:trHeight w:val="199"/>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Non-employee stock option plan</w:t>
            </w: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Subsidiary stock option plan</w:t>
            </w:r>
          </w:p>
        </w:tc>
        <w:tc>
          <w:tcPr>
            <w:tcW w:w="1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85</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173</w:t>
            </w:r>
          </w:p>
        </w:tc>
        <w:tc>
          <w:tcPr>
            <w:tcW w:w="0" w:type="dxa"/>
            <w:vAlign w:val="bottom"/>
          </w:tcPr>
          <w:p>
            <w:pPr>
              <w:spacing w:after="0"/>
              <w:rPr>
                <w:sz w:val="1"/>
                <w:szCs w:val="1"/>
                <w:color w:val="auto"/>
              </w:rPr>
            </w:pPr>
          </w:p>
        </w:tc>
      </w:tr>
      <w:tr>
        <w:trPr>
          <w:trHeight w:val="25"/>
        </w:trPr>
        <w:tc>
          <w:tcPr>
            <w:tcW w:w="43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3"/>
              </w:rPr>
              <w:t>1,969</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1,335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3,343</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2,545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60" w:type="dxa"/>
            <w:vAlign w:val="bottom"/>
            <w:vMerge w:val="restart"/>
          </w:tcPr>
          <w:p>
            <w:pPr>
              <w:jc w:val="right"/>
              <w:ind w:right="205"/>
              <w:spacing w:after="0"/>
              <w:rPr>
                <w:sz w:val="20"/>
                <w:szCs w:val="20"/>
                <w:color w:val="auto"/>
              </w:rPr>
            </w:pPr>
            <w:r>
              <w:rPr>
                <w:rFonts w:ascii="Times New Roman" w:cs="Times New Roman" w:eastAsia="Times New Roman" w:hAnsi="Times New Roman"/>
                <w:sz w:val="13"/>
                <w:szCs w:val="13"/>
                <w:color w:val="auto"/>
              </w:rPr>
              <w:t>29</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32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43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percentage and per share data)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Awards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employee share option activities during the six months ended June 30,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8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Weighted Average</w:t>
            </w:r>
          </w:p>
        </w:tc>
      </w:tr>
      <w:tr>
        <w:trPr>
          <w:trHeight w:val="199"/>
        </w:trPr>
        <w:tc>
          <w:tcPr>
            <w:tcW w:w="5900" w:type="dxa"/>
            <w:vAlign w:val="bottom"/>
          </w:tcPr>
          <w:p>
            <w:pPr>
              <w:spacing w:after="0"/>
              <w:rPr>
                <w:sz w:val="17"/>
                <w:szCs w:val="17"/>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80" w:type="dxa"/>
            <w:vAlign w:val="bottom"/>
          </w:tcPr>
          <w:p>
            <w:pPr>
              <w:spacing w:after="0"/>
              <w:rPr>
                <w:sz w:val="17"/>
                <w:szCs w:val="17"/>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Average Grant</w:t>
            </w: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280" w:type="dxa"/>
            <w:vAlign w:val="bottom"/>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Remaining</w:t>
            </w:r>
          </w:p>
        </w:tc>
      </w:tr>
      <w:tr>
        <w:trPr>
          <w:trHeight w:val="224"/>
        </w:trPr>
        <w:tc>
          <w:tcPr>
            <w:tcW w:w="59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94"/>
              </w:rPr>
              <w:t>Option Shares (1)</w:t>
            </w:r>
          </w:p>
        </w:tc>
        <w:tc>
          <w:tcPr>
            <w:tcW w:w="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Date Fair Value</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Exercise Price</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4"/>
              </w:rPr>
              <w:t>Contractual Term</w:t>
            </w:r>
          </w:p>
        </w:tc>
      </w:tr>
      <w:tr>
        <w:trPr>
          <w:trHeight w:val="19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Outstanding at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8,402,247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2.45</w:t>
            </w: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5.88</w:t>
            </w:r>
          </w:p>
        </w:tc>
        <w:tc>
          <w:tcPr>
            <w:tcW w:w="120" w:type="dxa"/>
            <w:vAlign w:val="bottom"/>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6.53 years</w:t>
            </w:r>
          </w:p>
        </w:tc>
      </w:tr>
      <w:tr>
        <w:trPr>
          <w:trHeight w:val="199"/>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949,500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11.09</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24.58</w:t>
            </w:r>
          </w:p>
        </w:tc>
        <w:tc>
          <w:tcPr>
            <w:tcW w:w="1280" w:type="dxa"/>
            <w:vAlign w:val="bottom"/>
          </w:tcPr>
          <w:p>
            <w:pPr>
              <w:spacing w:after="0"/>
              <w:rPr>
                <w:sz w:val="17"/>
                <w:szCs w:val="17"/>
                <w:color w:val="auto"/>
              </w:rPr>
            </w:pPr>
          </w:p>
        </w:tc>
      </w:tr>
      <w:tr>
        <w:trPr>
          <w:trHeight w:val="19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(284,264)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0.97</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2.40</w:t>
            </w:r>
          </w:p>
        </w:tc>
        <w:tc>
          <w:tcPr>
            <w:tcW w:w="1280" w:type="dxa"/>
            <w:vAlign w:val="bottom"/>
            <w:shd w:val="clear" w:color="auto" w:fill="CCEEFF"/>
          </w:tcPr>
          <w:p>
            <w:pPr>
              <w:spacing w:after="0"/>
              <w:rPr>
                <w:sz w:val="17"/>
                <w:szCs w:val="17"/>
                <w:color w:val="auto"/>
              </w:rPr>
            </w:pPr>
          </w:p>
        </w:tc>
      </w:tr>
      <w:tr>
        <w:trPr>
          <w:trHeight w:val="199"/>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Forfeited/cancelled</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(67,890)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12.08</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26.30</w:t>
            </w:r>
          </w:p>
        </w:tc>
        <w:tc>
          <w:tcPr>
            <w:tcW w:w="1280" w:type="dxa"/>
            <w:vAlign w:val="bottom"/>
          </w:tcPr>
          <w:p>
            <w:pPr>
              <w:spacing w:after="0"/>
              <w:rPr>
                <w:sz w:val="17"/>
                <w:szCs w:val="17"/>
                <w:color w:val="auto"/>
              </w:rPr>
            </w:pPr>
          </w:p>
        </w:tc>
      </w:tr>
      <w:tr>
        <w:trPr>
          <w:trHeight w:val="19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Outstanding at June 30, 2022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8,999,593</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3.34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7.81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6.41 years</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Vested and exercisable at June 30, 2022</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6,015,172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Prior period results have been adjusted to reflect the Stock Split effected in March 2022. See Note 1 for details.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of June 30, 2022 and December 31, 2021, $15,139 and $9,544, respectively, of total unrecognized employee stock-based compensation expense, net of estimated forfeitures, related to stock-based awards for ACM were expected to be recognized over a weighted-average period of 1.47 years and 1.61 years, respectively. Total recognized compensation cost may be adjusted for future changes in estimated forfeitures.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value of options granted to employees with a service period based condition is estimated on the grant date using the Black-Scholes valuation.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460" w:type="dxa"/>
            <w:vAlign w:val="bottom"/>
          </w:tcPr>
          <w:p>
            <w:pPr>
              <w:spacing w:after="0"/>
              <w:rPr>
                <w:sz w:val="17"/>
                <w:szCs w:val="17"/>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Six-months ended</w:t>
            </w:r>
          </w:p>
        </w:tc>
        <w:tc>
          <w:tcPr>
            <w:tcW w:w="6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4"/>
              </w:rPr>
              <w:t>Year-ended</w:t>
            </w:r>
          </w:p>
        </w:tc>
      </w:tr>
      <w:tr>
        <w:trPr>
          <w:trHeight w:val="199"/>
        </w:trPr>
        <w:tc>
          <w:tcPr>
            <w:tcW w:w="8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6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6"/>
              </w:rPr>
              <w:t>December 31,</w:t>
            </w:r>
          </w:p>
        </w:tc>
      </w:tr>
      <w:tr>
        <w:trPr>
          <w:trHeight w:val="224"/>
        </w:trPr>
        <w:tc>
          <w:tcPr>
            <w:tcW w:w="8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2022 (6)</w:t>
            </w:r>
          </w:p>
        </w:tc>
        <w:tc>
          <w:tcPr>
            <w:tcW w:w="20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2021 (6)</w:t>
            </w:r>
          </w:p>
        </w:tc>
        <w:tc>
          <w:tcPr>
            <w:tcW w:w="140" w:type="dxa"/>
            <w:vAlign w:val="bottom"/>
          </w:tcPr>
          <w:p>
            <w:pPr>
              <w:spacing w:after="0"/>
              <w:rPr>
                <w:sz w:val="19"/>
                <w:szCs w:val="19"/>
                <w:color w:val="auto"/>
              </w:rPr>
            </w:pPr>
          </w:p>
        </w:tc>
      </w:tr>
      <w:tr>
        <w:trPr>
          <w:trHeight w:val="19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common share(1)</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16.83-25.45</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27.58-37.33</w:t>
            </w:r>
          </w:p>
        </w:tc>
        <w:tc>
          <w:tcPr>
            <w:tcW w:w="140" w:type="dxa"/>
            <w:vAlign w:val="bottom"/>
            <w:shd w:val="clear" w:color="auto" w:fill="CCEEFF"/>
          </w:tcPr>
          <w:p>
            <w:pPr>
              <w:spacing w:after="0"/>
              <w:rPr>
                <w:sz w:val="17"/>
                <w:szCs w:val="17"/>
                <w:color w:val="auto"/>
              </w:rPr>
            </w:pPr>
          </w:p>
        </w:tc>
      </w:tr>
      <w:tr>
        <w:trPr>
          <w:trHeight w:val="199"/>
        </w:trPr>
        <w:tc>
          <w:tcPr>
            <w:tcW w:w="846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years(2)</w:t>
            </w:r>
          </w:p>
        </w:tc>
        <w:tc>
          <w:tcPr>
            <w:tcW w:w="24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5.50-6.25</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6.25</w:t>
            </w:r>
          </w:p>
        </w:tc>
      </w:tr>
      <w:tr>
        <w:trPr>
          <w:trHeight w:val="19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Volatility(3)</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49.43-50.81%</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48.53-49.47%</w:t>
            </w:r>
          </w:p>
        </w:tc>
      </w:tr>
      <w:tr>
        <w:trPr>
          <w:trHeight w:val="199"/>
        </w:trPr>
        <w:tc>
          <w:tcPr>
            <w:tcW w:w="846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rate(4)</w:t>
            </w:r>
          </w:p>
        </w:tc>
        <w:tc>
          <w:tcPr>
            <w:tcW w:w="2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1.7%-3.04%</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1.00%-1.44%</w:t>
            </w:r>
          </w:p>
        </w:tc>
      </w:tr>
      <w:tr>
        <w:trPr>
          <w:trHeight w:val="19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dividend(5)</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bl>
    <w:p>
      <w:pPr>
        <w:spacing w:after="0" w:line="183" w:lineRule="exact"/>
        <w:rPr>
          <w:sz w:val="20"/>
          <w:szCs w:val="20"/>
          <w:color w:val="auto"/>
        </w:rPr>
      </w:pPr>
    </w:p>
    <w:p>
      <w:pPr>
        <w:ind w:left="440" w:hanging="440"/>
        <w:spacing w:after="0"/>
        <w:tabs>
          <w:tab w:leader="none" w:pos="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Equal to closing value on the grant date.</w:t>
      </w:r>
    </w:p>
    <w:p>
      <w:pPr>
        <w:spacing w:after="0" w:line="20" w:lineRule="exact"/>
        <w:rPr>
          <w:rFonts w:ascii="Times New Roman" w:cs="Times New Roman" w:eastAsia="Times New Roman" w:hAnsi="Times New Roman"/>
          <w:sz w:val="17"/>
          <w:szCs w:val="17"/>
          <w:color w:val="auto"/>
        </w:rPr>
      </w:pPr>
    </w:p>
    <w:p>
      <w:pPr>
        <w:ind w:left="440" w:hanging="440"/>
        <w:spacing w:after="0"/>
        <w:tabs>
          <w:tab w:leader="none" w:pos="4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term of share options is based on the average of the vesting period and the contractual term for each grant according to Staff Accounting Bulletin 110.</w:t>
      </w:r>
    </w:p>
    <w:p>
      <w:pPr>
        <w:spacing w:after="0" w:line="15" w:lineRule="exact"/>
        <w:rPr>
          <w:rFonts w:ascii="Times New Roman" w:cs="Times New Roman" w:eastAsia="Times New Roman" w:hAnsi="Times New Roman"/>
          <w:sz w:val="16"/>
          <w:szCs w:val="16"/>
          <w:color w:val="auto"/>
        </w:rPr>
      </w:pPr>
    </w:p>
    <w:p>
      <w:pPr>
        <w:ind w:left="440" w:hanging="440"/>
        <w:spacing w:after="0"/>
        <w:tabs>
          <w:tab w:leader="none" w:pos="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is calculated based on the historical volatility of ACM’s comparable companies in the period equal to the expected term of each grant.</w:t>
      </w:r>
    </w:p>
    <w:p>
      <w:pPr>
        <w:spacing w:after="0" w:line="3" w:lineRule="exact"/>
        <w:rPr>
          <w:rFonts w:ascii="Times New Roman" w:cs="Times New Roman" w:eastAsia="Times New Roman" w:hAnsi="Times New Roman"/>
          <w:sz w:val="17"/>
          <w:szCs w:val="17"/>
          <w:color w:val="auto"/>
        </w:rPr>
      </w:pPr>
    </w:p>
    <w:p>
      <w:pPr>
        <w:ind w:left="440" w:hanging="440"/>
        <w:spacing w:after="0" w:line="244" w:lineRule="auto"/>
        <w:tabs>
          <w:tab w:leader="none" w:pos="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Risk-free interest rate is based on the yields of U.S. Treasury securities with maturities similar to the expected term of the share options in effect at the time of grant.</w:t>
      </w:r>
    </w:p>
    <w:p>
      <w:pPr>
        <w:ind w:left="440" w:hanging="440"/>
        <w:spacing w:after="0"/>
        <w:tabs>
          <w:tab w:leader="none" w:pos="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dividend is assumed to be 0% as ACM has no history or expectation of paying a dividend on its common stock.</w:t>
      </w:r>
    </w:p>
    <w:p>
      <w:pPr>
        <w:spacing w:after="0" w:line="3" w:lineRule="exact"/>
        <w:rPr>
          <w:rFonts w:ascii="Times New Roman" w:cs="Times New Roman" w:eastAsia="Times New Roman" w:hAnsi="Times New Roman"/>
          <w:sz w:val="17"/>
          <w:szCs w:val="17"/>
          <w:color w:val="auto"/>
        </w:rPr>
      </w:pPr>
    </w:p>
    <w:p>
      <w:pPr>
        <w:ind w:left="440" w:hanging="440"/>
        <w:spacing w:after="0"/>
        <w:tabs>
          <w:tab w:leader="none" w:pos="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period results have been adjusted to reflect the Stock Split effected in March 2022. See Note 1 for details.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percentage and per share data)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Non-employee Awards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non-employee share option activities during the six months ended June 30,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Weighted</w:t>
            </w:r>
          </w:p>
        </w:tc>
      </w:tr>
      <w:tr>
        <w:trPr>
          <w:trHeight w:val="199"/>
        </w:trPr>
        <w:tc>
          <w:tcPr>
            <w:tcW w:w="4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4"/>
              </w:rPr>
              <w:t>Weighted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Average</w:t>
            </w:r>
          </w:p>
        </w:tc>
      </w:tr>
      <w:tr>
        <w:trPr>
          <w:trHeight w:val="199"/>
        </w:trPr>
        <w:tc>
          <w:tcPr>
            <w:tcW w:w="4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Average Grant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Remaining</w:t>
            </w:r>
          </w:p>
        </w:tc>
      </w:tr>
      <w:tr>
        <w:trPr>
          <w:trHeight w:val="224"/>
        </w:trPr>
        <w:tc>
          <w:tcPr>
            <w:tcW w:w="4280" w:type="dxa"/>
            <w:vAlign w:val="bottom"/>
          </w:tcPr>
          <w:p>
            <w:pPr>
              <w:spacing w:after="0"/>
              <w:rPr>
                <w:sz w:val="19"/>
                <w:szCs w:val="19"/>
                <w:color w:val="auto"/>
              </w:rPr>
            </w:pPr>
          </w:p>
        </w:tc>
        <w:tc>
          <w:tcPr>
            <w:tcW w:w="31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Option Shares (1)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Date Fair Value</w:t>
            </w:r>
          </w:p>
        </w:tc>
        <w:tc>
          <w:tcPr>
            <w:tcW w:w="12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Exercise Price</w:t>
            </w: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6"/>
              </w:rPr>
              <w:t>Contractual Term</w:t>
            </w:r>
          </w:p>
        </w:tc>
      </w:tr>
      <w:tr>
        <w:trPr>
          <w:trHeight w:val="19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Outstanding at December 31, 2021</w:t>
            </w:r>
          </w:p>
        </w:tc>
        <w:tc>
          <w:tcPr>
            <w:tcW w:w="164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2,067,018</w:t>
            </w: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0.97</w:t>
            </w:r>
          </w:p>
        </w:tc>
        <w:tc>
          <w:tcPr>
            <w:tcW w:w="100" w:type="dxa"/>
            <w:vAlign w:val="bottom"/>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b w:val="1"/>
                <w:bCs w:val="1"/>
                <w:color w:val="auto"/>
                <w:w w:val="93"/>
              </w:rPr>
              <w:t>3.98 years</w:t>
            </w:r>
          </w:p>
        </w:tc>
        <w:tc>
          <w:tcPr>
            <w:tcW w:w="20" w:type="dxa"/>
            <w:vAlign w:val="bottom"/>
          </w:tcPr>
          <w:p>
            <w:pPr>
              <w:spacing w:after="0"/>
              <w:rPr>
                <w:sz w:val="17"/>
                <w:szCs w:val="17"/>
                <w:color w:val="auto"/>
              </w:rPr>
            </w:pPr>
          </w:p>
        </w:tc>
      </w:tr>
      <w:tr>
        <w:trPr>
          <w:trHeight w:val="199"/>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3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(247,610)</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0.53</w:t>
            </w:r>
          </w:p>
        </w:tc>
        <w:tc>
          <w:tcPr>
            <w:tcW w:w="1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Expired</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Forfeited/cancelled</w:t>
            </w:r>
          </w:p>
        </w:tc>
        <w:tc>
          <w:tcPr>
            <w:tcW w:w="3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(3,392)</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0.40</w:t>
            </w:r>
          </w:p>
        </w:tc>
        <w:tc>
          <w:tcPr>
            <w:tcW w:w="1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4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Outstanding at June 30, 2022</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1,816,016</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0.35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1.03</w:t>
            </w:r>
          </w:p>
        </w:tc>
        <w:tc>
          <w:tcPr>
            <w:tcW w:w="1280" w:type="dxa"/>
            <w:vAlign w:val="bottom"/>
          </w:tcPr>
          <w:p>
            <w:pPr>
              <w:ind w:left="580"/>
              <w:spacing w:after="0"/>
              <w:rPr>
                <w:sz w:val="20"/>
                <w:szCs w:val="20"/>
                <w:color w:val="auto"/>
              </w:rPr>
            </w:pPr>
            <w:r>
              <w:rPr>
                <w:rFonts w:ascii="Times New Roman" w:cs="Times New Roman" w:eastAsia="Times New Roman" w:hAnsi="Times New Roman"/>
                <w:sz w:val="17"/>
                <w:szCs w:val="17"/>
                <w:b w:val="1"/>
                <w:bCs w:val="1"/>
                <w:color w:val="auto"/>
                <w:w w:val="93"/>
              </w:rPr>
              <w:t>3.71 years</w:t>
            </w:r>
          </w:p>
        </w:tc>
        <w:tc>
          <w:tcPr>
            <w:tcW w:w="20" w:type="dxa"/>
            <w:vAlign w:val="bottom"/>
          </w:tcPr>
          <w:p>
            <w:pPr>
              <w:spacing w:after="0"/>
              <w:rPr>
                <w:sz w:val="17"/>
                <w:szCs w:val="17"/>
                <w:color w:val="auto"/>
              </w:rPr>
            </w:pPr>
          </w:p>
        </w:tc>
      </w:tr>
      <w:tr>
        <w:trPr>
          <w:trHeight w:val="19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 and exercisable at June 30, 2022</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1,789,766</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bl>
    <w:p>
      <w:pPr>
        <w:spacing w:after="0" w:line="183" w:lineRule="exact"/>
        <w:rPr>
          <w:sz w:val="20"/>
          <w:szCs w:val="20"/>
          <w:color w:val="auto"/>
        </w:rPr>
      </w:pPr>
    </w:p>
    <w:p>
      <w:pPr>
        <w:ind w:left="440" w:hanging="440"/>
        <w:spacing w:after="0"/>
        <w:tabs>
          <w:tab w:leader="none" w:pos="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period results have been adjusted to reflect the Stock Split effected in March 2022. See Note 1 for details.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of June 30, 2022 and December 31, 2021, $79 and $102, respectively, of total unrecognized non-employee stock-based compensation expense, net of estimated forfeitures, related to stock-based awards were expected to be recognized over a weighted-average period of 0.06 years and 0.06 years, respectively. Total recognized compensation cost may be adjusted for future changes in estimated forfeitures.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ACM Shanghai Option Grants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ACM Shanghai employee stock option activities during the six months ended June 30,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Weighted</w:t>
            </w:r>
          </w:p>
        </w:tc>
      </w:tr>
      <w:tr>
        <w:trPr>
          <w:trHeight w:val="199"/>
        </w:trPr>
        <w:tc>
          <w:tcPr>
            <w:tcW w:w="594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Number of</w:t>
            </w: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2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Average</w:t>
            </w:r>
          </w:p>
        </w:tc>
      </w:tr>
      <w:tr>
        <w:trPr>
          <w:trHeight w:val="199"/>
        </w:trPr>
        <w:tc>
          <w:tcPr>
            <w:tcW w:w="594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Option Shares in</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Average Grant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2"/>
              </w:rPr>
              <w:t>Average</w:t>
            </w:r>
          </w:p>
        </w:tc>
        <w:tc>
          <w:tcPr>
            <w:tcW w:w="12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Remaining</w:t>
            </w:r>
          </w:p>
        </w:tc>
      </w:tr>
      <w:tr>
        <w:trPr>
          <w:trHeight w:val="224"/>
        </w:trPr>
        <w:tc>
          <w:tcPr>
            <w:tcW w:w="5940" w:type="dxa"/>
            <w:vAlign w:val="bottom"/>
          </w:tcPr>
          <w:p>
            <w:pPr>
              <w:spacing w:after="0"/>
              <w:rPr>
                <w:sz w:val="19"/>
                <w:szCs w:val="19"/>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ACM Shanghai</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Date Fair Value</w:t>
            </w:r>
          </w:p>
        </w:tc>
        <w:tc>
          <w:tcPr>
            <w:tcW w:w="12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Exercise Price</w:t>
            </w:r>
          </w:p>
        </w:tc>
        <w:tc>
          <w:tcPr>
            <w:tcW w:w="12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Contractual Term</w:t>
            </w:r>
          </w:p>
        </w:tc>
      </w:tr>
      <w:tr>
        <w:trPr>
          <w:trHeight w:val="19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Outstanding at December 31,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5,377,500</w:t>
            </w: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7"/>
                <w:szCs w:val="17"/>
                <w:b w:val="1"/>
                <w:bCs w:val="1"/>
                <w:color w:val="auto"/>
                <w:w w:val="87"/>
              </w:rPr>
              <w:t>2.04</w:t>
            </w:r>
          </w:p>
        </w:tc>
        <w:tc>
          <w:tcPr>
            <w:tcW w:w="100" w:type="dxa"/>
            <w:vAlign w:val="bottom"/>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b w:val="1"/>
                <w:bCs w:val="1"/>
                <w:color w:val="auto"/>
                <w:w w:val="93"/>
              </w:rPr>
              <w:t>2.50 years</w:t>
            </w:r>
          </w:p>
        </w:tc>
      </w:tr>
      <w:tr>
        <w:trPr>
          <w:trHeight w:val="199"/>
        </w:trPr>
        <w:tc>
          <w:tcPr>
            <w:tcW w:w="5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Outstanding at June 30, 2022</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5,377,500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0.24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7"/>
                <w:szCs w:val="17"/>
                <w:b w:val="1"/>
                <w:bCs w:val="1"/>
                <w:color w:val="auto"/>
              </w:rPr>
              <w:t>2.00</w:t>
            </w:r>
          </w:p>
        </w:tc>
        <w:tc>
          <w:tcPr>
            <w:tcW w:w="1280" w:type="dxa"/>
            <w:vAlign w:val="bottom"/>
          </w:tcPr>
          <w:p>
            <w:pPr>
              <w:ind w:left="580"/>
              <w:spacing w:after="0"/>
              <w:rPr>
                <w:sz w:val="20"/>
                <w:szCs w:val="20"/>
                <w:color w:val="auto"/>
              </w:rPr>
            </w:pPr>
            <w:r>
              <w:rPr>
                <w:rFonts w:ascii="Times New Roman" w:cs="Times New Roman" w:eastAsia="Times New Roman" w:hAnsi="Times New Roman"/>
                <w:sz w:val="17"/>
                <w:szCs w:val="17"/>
                <w:b w:val="1"/>
                <w:bCs w:val="1"/>
                <w:color w:val="auto"/>
                <w:w w:val="93"/>
              </w:rPr>
              <w:t>2.01 years</w:t>
            </w:r>
          </w:p>
        </w:tc>
      </w:tr>
      <w:tr>
        <w:trPr>
          <w:trHeight w:val="19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 and exercisable at June 30, 2022</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bl>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During the three months ended June 30, 2022 and 2021, the Company recognized stock-based compensation expense of $85 and $88, respectively, and during the six months ended June 30, 2022 and 2021, the Company recognized stock-based compensation expense of $175 and $173, respectively, related to stock option grants of ACM Shanghai.</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of June 30, 2022 and December 31, 2021, $341 and $525, respectively, of total unrecognized non-employee stock-based compensation expense, net of estimated forfeitures, related to ACM Shanghai stock-based awards were expected to be recognized over a weighted-average period of 1.01 years and 1.5 years, respectively. Total recognized compensation cost may be adjusted for future changes in estimated forfeitures.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percentage and per share data)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19 – INCOME TAXES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during which such rates are enacted.</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As of each reporting date, management considers new evidence, both positive and negative, that could affect its view of the future realization of deferred tax assets. Prior to September 30, 2019, the Company had recorded a valuation allowance for the full amount of net deferred tax assets in the United States, as the realization of deferred tax assets was uncertain. Since September 30, 2019, the Company has not maintained a valuation allowance except for a partial valuation allowance on certain U.S. deferred tax assets. In order to recognize the remaining U.S. deferred tax assets that continue to be subject to a valuation allowance, the Company will need to generate sufficient U.S. taxable income in future periods before the expiration of the deferred tax assets governed by the tax code.</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ACM Shanghai has shown a three-year historical cumulative profit and has projections of future income. As a result, the Company does not maintain a valuation allowance.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accounts for uncertain tax positions in accordance with the authoritative guidance on income taxes under which the Company may only recognize or continue to recognize tax positions that meet a more likely than not threshold. The Company recognizes accrued interest and penalties related to unrecognized tax benefits as a component of the provision for income taxes.</w:t>
      </w:r>
    </w:p>
    <w:p>
      <w:pPr>
        <w:spacing w:after="0" w:line="1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Company’s effective tax rate differs from statutory rates of 21% for U.S. federal income tax purposes and 12.5% to 25% for Chinese income tax purposes due to the effects of the valuation allowance and certain permanent differences from book-tax differences. As a result, the Company recorded income tax benefit (expense) of $(3,668) and $2,755 during the six months ended June 30, 2022 and 2021, respectively. The increase in our effective income tax rate for the six months ended June 30, 2022 compared to the same period of the prior year was primarily due to a new requirement to capitalize and amortize previously deductible research and experimental expenses resulting from a change in Section 174 made by the Tax Cuts and Jobs Act of 2017 (the “TCJA”) which became effective on January 1, 2022, and a decrease in discrete tax benefits associated with stock-based compensation deductions. Under the TCJA, the Company is required to capitalize, and subsequently amortize R&amp;D expenses over fifteen years for research activities conducted outside of the U.S. The capitalization of overseas R&amp;D expenses resulted in a significant increase in the Company’s global intangible low-taxed income inclusion. Congress is considering legislation, but legislation has not passed, that would defer the capitalization requirement to later years.</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As of June 30, 2022, the Company’s total unrecognized tax benefits of $6,066, as compared to $6,066 and $570 as of December 31, 2021 and 2020, respectively. The significant increase in 2021 was primarily because the Company planned to claim a deduction for realized gains on stock option exercises for China-based employees on its Chinese tax return. As of December 31, 2021, the Company assessed that the deduction did not meet the “more likely than not” threshold given this deduction was not regular and may be subject to scrutiny by the tax authority. If recognized, $5,950 would affect the effective tax rate. The Company will recognize interest and penalties, when they occur, related to uncertain tax provisions as a component of tax expense. $106 thousand of interest or penalties were recognized for the six months ended June 30, 2022.</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percentage and per share data)</w:t>
      </w:r>
    </w:p>
    <w:p>
      <w:pPr>
        <w:spacing w:after="0" w:line="1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files income tax returns in the United States and state and foreign jurisdictions. The federal, state and foreign income tax returns are under the statute of limitations subject to tax examinations for the tax years ended December 31, 1999 through December 31, 2021. To the extent the Company has tax attribute carry-forwards, the tax years in which the attribute was generated may still be adjusted upon examination by the U.S. Internal Revenue Service, state or foreign tax authorities to the extent utilized in a future period.</w:t>
      </w:r>
    </w:p>
    <w:p>
      <w:pPr>
        <w:spacing w:after="0" w:line="1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Company’s effective tax rate differs from statutory rates of 21% for U.S. federal income tax purposes and 12.5% to 25% for Chinese income tax purposes due to the effects of the valuation allowance and certain permanent differences as it pertains to book-tax differences in the treatment of stock-based compensation and non-US research expenses. The Company’s three PRC subsidiaries, ACM Shanghai, ACM Wuxi and Shengwei, are liable for PRC corporate income taxes at the rates of 12.5%, 25% and 25%, respectively. Pursuant to the Corporate Income Tax Law of the PRC, ACM’s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and 2018, with an effective period of three years. In 2021, ACM Shanghai was certified as an eligible integrated circuit production enterprise and is entitled to a preferential income tax rate of 12.5% from January 1, 2020 to December 31, 2022 instead of 15%.</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ACM files income tax returns in the United States and state and foreign jurisdictions. Those federal, state and foreign income tax returns are under the statute of limitations subject to tax examinations for 1999 through 2021. To the extent ACM has tax attribute carryforwards, the tax years in which the attribute was generated may still be adjusted upon examination by the U.S. Internal Revenue Service or state or foreign tax authorities to the extent utilized in a future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Income tax benefit (expense) was as follows: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3"/>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5"/>
          </w:tcPr>
          <w:p>
            <w:pPr>
              <w:ind w:left="4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160" w:type="dxa"/>
            <w:vAlign w:val="bottom"/>
          </w:tcPr>
          <w:p>
            <w:pPr>
              <w:spacing w:after="0"/>
              <w:rPr>
                <w:sz w:val="24"/>
                <w:szCs w:val="24"/>
                <w:color w:val="auto"/>
              </w:rPr>
            </w:pPr>
          </w:p>
        </w:tc>
        <w:tc>
          <w:tcPr>
            <w:tcW w:w="2400" w:type="dxa"/>
            <w:vAlign w:val="bottom"/>
            <w:gridSpan w:val="5"/>
          </w:tcPr>
          <w:p>
            <w:pPr>
              <w:ind w:left="10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04"/>
        </w:trPr>
        <w:tc>
          <w:tcPr>
            <w:tcW w:w="59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2021</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7"/>
                <w:szCs w:val="17"/>
                <w:color w:val="auto"/>
              </w:rPr>
            </w:pPr>
          </w:p>
        </w:tc>
      </w:tr>
      <w:tr>
        <w:trPr>
          <w:trHeight w:val="204"/>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income tax benefit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(7,679)</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(3,668)</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2,755</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20 – COMMITMENTS AND CONTINGENCIES</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leases offices under non-cancelable operating lease agreements. See note 11 for future minimum lease payments under non-cancelable operating lease agreements with initial terms of one year or more.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June 30, 2022, the Company had $2,946 of open capital commitments.</w:t>
      </w:r>
    </w:p>
    <w:p>
      <w:pPr>
        <w:spacing w:after="0" w:line="20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Covenants in Shengwei’s Grant Contract for State-owned Construction Land Use Right in Shanghai City with the China (Shanghai) Pilot Free Trade Zone Lingang Special Area Administration require, among other things, that Shengwei pay liquidated damages in the event that (a) it does not make a total investment (including the costs of construction, fixtures, equipment and grant fees) of at least RMB 450.0 million ($63,400) or (b) within six years after the land use right is obtained, the Company does not (i) generate a minimum specified amount of annual sales of products manufactured on the granted land or (ii) pay to the PRC at least RMB 157.6 million ($22,000) in annual total taxes (including value-added taxes, corporate income tax, personal income taxes, urban maintenance and construction taxes, education surcharges, stamp taxes, and vehicle and shipping taxes) as a result of operations in connection with the granted land. As of June 30, 2022 and December 31, 2021, the Company had paid in total $15,282 and $13,265, respectively for its Lingang-related investments.</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In the normal course of business, the Company is subject to contingencies, including legal proceedings and environmental claims arising out of the normal course of businesses that relate to a wide range of matters, including among others, contracts breach liability. The Company records accruals for such contingencies based upon the assessment of the probability of occurrence and, where determinable, an estimate of the liability. Management may consider many factors in making these assessments including past history, scientific evidence and the specifics of each matter. Some of these contingencies involve claims that are subject to substantial uncertainties and unascertainable damages.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percentage and per share data)</w:t>
      </w:r>
    </w:p>
    <w:p>
      <w:pPr>
        <w:spacing w:after="0" w:line="1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Company’s management has evaluated all such proceedings and claims that existed as of June 30, 2022 or December 31, 2021. In the opinion of management, no provision for liability nor disclosure was required as of June 30, 2022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June 30, 2022, the Company had no outstanding legal proceedings.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21 – SEGMENT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Selected disaggregated revenue information is provided in Note 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balance of selected long-term assets by geography as of June 30, 2022 and December 31, 2021 are presented in the following table: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4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4"/>
        </w:trPr>
        <w:tc>
          <w:tcPr>
            <w:tcW w:w="54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r>
      <w:tr>
        <w:trPr>
          <w:trHeight w:val="19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Long-lived assets by geography:</w:t>
            </w:r>
          </w:p>
        </w:tc>
        <w:tc>
          <w:tcPr>
            <w:tcW w:w="3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Mainland China</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69,413</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71,927</w:t>
            </w:r>
          </w:p>
        </w:tc>
      </w:tr>
      <w:tr>
        <w:trPr>
          <w:trHeight w:val="19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South Korea</w:t>
            </w:r>
          </w:p>
        </w:tc>
        <w:tc>
          <w:tcPr>
            <w:tcW w:w="3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1,408</w:t>
            </w:r>
          </w:p>
        </w:tc>
      </w:tr>
      <w:tr>
        <w:trPr>
          <w:trHeight w:val="204"/>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3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7"/>
                <w:szCs w:val="17"/>
                <w:color w:val="auto"/>
              </w:rPr>
            </w:pPr>
          </w:p>
        </w:tc>
      </w:tr>
      <w:tr>
        <w:trPr>
          <w:trHeight w:val="204"/>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73,017</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73,385</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22 – STATUTORY SURPLUS RESERVE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accordance with the PRC’s Foreign Enterprise Law, ACM Shanghai, ACM Shengwei, and ACM Wuxi are required to make appropriation to reserve funds, comprising the statutory surplus reserve and discretionary surplus reserve, based on after-tax net income in accordance with generally accepted accounting principles of PRC (“PRC GAAP”).</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Appropriations to the statutory surplus reserve are required to be at least 10% of the after-tax net income determined in accordance with PRC GAAP until reserve is equal to 50% of the entities’ registered capital. The amount is calculated annually at the end of each calendar year. The balances of statutory reserve funds were $8,312 as of June 30, 2022 and December 31, 2021, and are presented as statutory reserve on the Company’s condensed consolidated balance sheets.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05" w:lineRule="exact"/>
        <w:rPr>
          <w:sz w:val="20"/>
          <w:szCs w:val="20"/>
          <w:color w:val="auto"/>
        </w:rPr>
      </w:pPr>
    </w:p>
    <w:p>
      <w:pPr>
        <w:jc w:val="both"/>
        <w:spacing w:after="0" w:line="203" w:lineRule="exact"/>
        <w:rPr>
          <w:sz w:val="20"/>
          <w:szCs w:val="20"/>
          <w:color w:val="auto"/>
        </w:rPr>
      </w:pPr>
      <w:r>
        <w:rPr>
          <w:rFonts w:ascii="Times New Roman" w:cs="Times New Roman" w:eastAsia="Times New Roman" w:hAnsi="Times New Roman"/>
          <w:sz w:val="16"/>
          <w:szCs w:val="16"/>
          <w:i w:val="1"/>
          <w:iCs w:val="1"/>
          <w:color w:val="auto"/>
        </w:rPr>
        <w:t>You should read the following discussion of our financial condition and results of operations together with our condensed consolidated financial statements and the related notes and other financial information included elsewhere in this report and our Annual Report on Form 10-K for the fiscal year ended December 31, 2021, or our Annual Report. The following discussion contains forward</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looking statements that reflect our plans, estimates, and beliefs. Our actual results could differ materially from those discussed in the forward</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looking statements. Factors that could cause or contribute to these differences include those discussed in Part I, Item 1A. “Risk Factors” in our Annual Report, as well as those discussed below and elsewhere in this report, particularly in the section titled “Item 1A. Risk Factors” in Part II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Revenue from wet cleaning and other front-end processing tools totaled $79.6 million, or 76.2% of total revenue, for the three months ended June 30, 2022, as compared to $46.0 million, or 85.4% of total revenue, for the same period in 2021. Revenue from wet cleaning and other front-end processing tools totaled $111.3 million, or 75.9% of total revenue, for the six months ended June 30, 2022, as compared to $77.9 million, or 79.8% of total revenue, for the same period in 2021. Selling prices for our wet-cleaning and other front-end processing tools range from $1 million to more than $5 million. Our customers for wet-cleaning and other front-end processing tools have included Huali Microelectronics Corporation, The Huahong Group, Semiconductor Manufacturing International Corporation or SMIC, Shanghai SK Hynix Inc., Yangtze Memory Technologies Co., Ltd, and ChangXin Memory Technologies.</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Revenue from advanced packaging, other back-end processing tools, services and spares totaled $24.8 million, or 23.8% of total revenue, for the three months ended June 30, 2022, as compared to $7.9 million, or 14.6% of total revenue, for the same period in 2021. Revenue from advanced packaging, other back-end processing tools, services and spares totaled $35.3 million, or 24.1% of total revenue, for the six months ended June 30, 2022, as compared to $19.7 million, or 20.2% of total revenue, for the same period in 2021. Selling prices for these tools range from $0.5 million to more than $4 million. Our customers for advanced packaging, and other processing tools have included Jiangyin Changdian Advanced Packaging Co. Ltd., a PRC-based wafer bumping packaging house that is a subsidiary of JCET Group Co., Ltd.; Nantong Tongfu Microelectronics Co., Ltd., a PRC-based chip assembly and testing company that is a subsidiary of Nantong Fujitsu Microelectronics Co., Ltd.; Nepes Co., Ltd., a semiconductor packaging company based in South Korea which acquired the operations of Deca Technologies’ Philippines manufacturing facility in 2020; and Wafer Works Corporation, a PRC-based wafer supplier.</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We estimate, based on third-party reports and on customer and other information, that our current product portfolio addresses approximately $8 billion of the global wafer equipment market. By product line, we estimate an approximately $3.7 billion market opportunity is addressed by our wafer cleaning equipment, $2.9 billion by our furnace equipment, $730 million by our electro-chemical plating or ECP equipment, and more than $650 million by our stress-free polishing, advanced packaging, wafer processing, and other processing equipment. By major equipment segment, Gartner estimates a 2021 worldwide semiconductor wafer fab equipment, or WFE, market size of $88.1 billion, of which $4.1 billion is for wafer cleaning equipment (auto wet stations, single-wafer spray processors, batch spray processors, and other clean process equipment), $3.4 billion is for furnace equipment (tube CVD, oxidation/diffusion furnace, and batch atomic layer deposition), and $764 million is for electro-chemical deposition, or ECD. Based on Gartner’s estimates, total available global market for these equipment segments increased by 30.1% from $6.4 billion in 2020 to $8.3 billion in 2021, and is expected to increase by 8.3% to $8.9 billion in 2022. These segments are part of the worldwide semiconductor WFE market, which based on Gartner’s estimates increased by 35.6% from $64.9 billion in 2020 to $88.1 billion in 2021, and is expected to increase by 10.7% to $97.5 billion in 2022.</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focused our selling efforts on establishing a referenceable base of leading foundry, logic and memory chip makers, whose use of our products can influence decisions by other manufacturers. We believe this customer base has helped us penetrate the mature chip manufacturing markets and build credibility with additional industry leaders. We have used a “demo-to-sales” process to place evaluation equipment, or “first tools,” with a number of selected customers.</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Since 2009 we have delivered more than 290 wet cleaning and other front-end processing tools, more than 230 of which have been accepted by customers and thereby generated revenue to us. The balance of the delivered tools are awaiting customer acceptance should contractual conditions be met. To date, a substantial majority of our sales of single-wafer wet cleaning equipment for front-end manufacturing have been to customers located in Asia, and we anticipate that a substantial majority of our revenue from these products will continue to come from customers located in this region for the foreseeable future.</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We have begun to add to our efforts to further address customers in North America, Western Europe and Southeast Asia by expanding our direct sales and services teams and increasing our global marketing activities. Our U.S. operation includes sales, marketing and services personnel to expand and support major new customer initiatives for the products of ACM Shanghai to additional regions beyond mainland China. As of June 30, 2022, we have delivered one tool for evaluation to a U.S. lab of a global semiconductor capital equipment vendor, and one tool for evaluation to the U.S. facility of a major U.S. semiconductor manufacturer. Both of these evaluations are supported by our U.S. services team.</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are focused on building a strategic portfolio of intellectual property to support and protect our key innovations. Our tools have been developed using our key proprietary technologies:</w:t>
      </w:r>
    </w:p>
    <w:p>
      <w:pPr>
        <w:spacing w:after="0" w:line="157" w:lineRule="exact"/>
        <w:rPr>
          <w:sz w:val="20"/>
          <w:szCs w:val="20"/>
          <w:color w:val="auto"/>
        </w:rPr>
      </w:pPr>
    </w:p>
    <w:p>
      <w:pPr>
        <w:jc w:val="both"/>
        <w:ind w:left="440" w:hanging="440"/>
        <w:spacing w:after="0" w:line="250" w:lineRule="auto"/>
        <w:tabs>
          <w:tab w:leader="none" w:pos="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Space Alternated Phase Shift, or SAPS, technology for flat and patterned (deep via or deep trench with stronger structure) wafer surfaces. </w:t>
      </w:r>
      <w:r>
        <w:rPr>
          <w:rFonts w:ascii="Times New Roman" w:cs="Times New Roman" w:eastAsia="Times New Roman" w:hAnsi="Times New Roman"/>
          <w:sz w:val="17"/>
          <w:szCs w:val="17"/>
          <w:color w:val="auto"/>
        </w:rPr>
        <w:t>SAPS technology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employs alternating phases of megasonic waves to deliver megasonic energy in a highly uniform manner on a microscopic level. We have shown SAPS technology to be more effective than conventional megasonic and jet spray technologies in removing random defects across an entire wafer, with increasing relative effectiveness at more advanced production nodes.</w:t>
      </w:r>
    </w:p>
    <w:p>
      <w:pPr>
        <w:jc w:val="both"/>
        <w:ind w:left="440" w:hanging="440"/>
        <w:spacing w:after="0" w:line="199" w:lineRule="exact"/>
        <w:tabs>
          <w:tab w:leader="none" w:pos="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Timely Energized Bubble Oscillation, or TEBO, technology for patterned wafer surfaces at advanced process nodes</w:t>
      </w:r>
      <w:r>
        <w:rPr>
          <w:rFonts w:ascii="Times New Roman" w:cs="Times New Roman" w:eastAsia="Times New Roman" w:hAnsi="Times New Roman"/>
          <w:sz w:val="17"/>
          <w:szCs w:val="17"/>
          <w:color w:val="auto"/>
        </w:rPr>
        <w:t>. TEBO technology has been developed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 effective, damage-free cleaning for 2D and 3D patterned wafers with fine feature sizes. We have demonstrated the damage-free cleaning capabilities of TEBO technology on patterned wafers for feature nodes as small as 1xnm (16 to 19 nanometers, or nm), and we have shown TEBO technology can be applied in manufacturing processes for patterned chips with 3D architectures having aspect ratios as high as 60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w:t>
      </w:r>
    </w:p>
    <w:p>
      <w:pPr>
        <w:spacing w:after="0" w:line="2" w:lineRule="exact"/>
        <w:rPr>
          <w:rFonts w:ascii="Times New Roman" w:cs="Times New Roman" w:eastAsia="Times New Roman" w:hAnsi="Times New Roman"/>
          <w:sz w:val="17"/>
          <w:szCs w:val="17"/>
          <w:color w:val="auto"/>
        </w:rPr>
      </w:pPr>
    </w:p>
    <w:p>
      <w:pPr>
        <w:ind w:left="440" w:hanging="440"/>
        <w:spacing w:after="0" w:line="243" w:lineRule="auto"/>
        <w:tabs>
          <w:tab w:leader="none" w:pos="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Tahoe technology for cost and environmental savings. </w:t>
      </w:r>
      <w:r>
        <w:rPr>
          <w:rFonts w:ascii="Times New Roman" w:cs="Times New Roman" w:eastAsia="Times New Roman" w:hAnsi="Times New Roman"/>
          <w:sz w:val="17"/>
          <w:szCs w:val="17"/>
          <w:color w:val="auto"/>
        </w:rPr>
        <w:t>Tahoe technology delivers high cleaning performance using significantly less sulfuric acid and hydrogen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peroxide than is typically consumed by conventional high-temperature single-wafer cleaning tools.</w:t>
      </w:r>
    </w:p>
    <w:p>
      <w:pPr>
        <w:spacing w:after="0" w:line="1" w:lineRule="exact"/>
        <w:rPr>
          <w:rFonts w:ascii="Times New Roman" w:cs="Times New Roman" w:eastAsia="Times New Roman" w:hAnsi="Times New Roman"/>
          <w:sz w:val="17"/>
          <w:szCs w:val="17"/>
          <w:color w:val="auto"/>
        </w:rPr>
      </w:pPr>
    </w:p>
    <w:p>
      <w:pPr>
        <w:jc w:val="both"/>
        <w:ind w:left="440" w:hanging="440"/>
        <w:spacing w:after="0" w:line="245" w:lineRule="auto"/>
        <w:tabs>
          <w:tab w:leader="none" w:pos="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ECP technology for advanced metal plating. </w:t>
      </w:r>
      <w:r>
        <w:rPr>
          <w:rFonts w:ascii="Times New Roman" w:cs="Times New Roman" w:eastAsia="Times New Roman" w:hAnsi="Times New Roman"/>
          <w:sz w:val="17"/>
          <w:szCs w:val="17"/>
          <w:color w:val="auto"/>
        </w:rPr>
        <w:t>Our Ultra ECP ap, or Advanced Packaging, technology was developed for back-end assembly processes to deliver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more uniform metal layer at the notch area of wafers prior to packaging. Our Ultra ECP map, or Multi-Anode Partial Plating, technology was developed for front-end wafer fabrication processes to deliver advanced electrochemical copper plating for copper interconnect applications. Ultra ECP map offers improved gap-filling performance for ultra-thin seed layer applications, which is critical for advanced nodes at 28nm, 14nm and beyond.</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2020 we introduced and delivered a range of new tools intended to broaden our revenue opportunity with global semiconductor manufacturers. Product extensions include the Ultra SFP ap tool for advanced packaging solutions, the Ultra C VI 18-chamber single wafer cleaning tool for advanced memory devices, and the Ultra ECP 3d platform for through-silicon-via, or tsv, application. New product lines include the Ultra fn Furnace, our first dry processing tool, and a suite of semi-critical cleaning systems which include single wafer back side cleaning, scrubber, and auto bench cleaning tools.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been issued more than 411 patents in the United States, the People’s Republic of China or PRC, Japan, Singapore, South Korea and Taiwan.</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conduct a substantial majority of our product development, manufacturing, support and services in the PRC, with additional product development and subsystem production in South Korea. Substantially all of our integrated tools are built to order at our manufacturing facilities in the Pudong region of Shanghai, which now encompass a total of 236,000 square feet of floor space for production capacity, with 100,000 square feet having been added in 2021 with the lease of a second building in the Pudong region of Shanghai. In May 2020 ACM Shanghai, through its wholly-owned subsidiary Shengwei Research (Shanghai), Inc., entered into an agreement for a land use right in the Lingang region of Shanghai. In 2020 Shengwei Research (Shanghai), Inc. began a multi-year construction project for a new 1,000,000 square foot development and production center that will incorporate state-of-the-art manufacturing systems and automation technologies, and will provide floor space to support significantly increase production capacity and related research and development, or R&amp;D, activities. Our experience has shown that chip manufacturers in the PRC and throughout Asia demand equipment meeting their specific technical requirements and prefer building relationships with local suppliers. We will continue to seek to leverage our local presence in the PRC and South Korea through our subsidiaries to address the growing market for semiconductor manufacturing equipment in the region by working closely with regional chip manufacturers to understand their specific requirements, encourage them to adopt our technologies, and enable us to design innovative products and solutions to address their needs.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Background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ACM Research was incorporated in California in 1998 and redomesticated in Delaware in 2016. We perform strategic planning, marketing, and financial activities at our global corporate headquarters in Fremont, California. ACM Research is neither a PRC operating company nor do we conduct our operations in the PRC through the use of VIEs.</w:t>
      </w:r>
    </w:p>
    <w:p>
      <w:pPr>
        <w:spacing w:after="0" w:line="145" w:lineRule="exact"/>
        <w:rPr>
          <w:sz w:val="20"/>
          <w:szCs w:val="20"/>
          <w:color w:val="auto"/>
        </w:rPr>
      </w:pPr>
    </w:p>
    <w:p>
      <w:pPr>
        <w:jc w:val="both"/>
        <w:spacing w:after="0" w:line="213" w:lineRule="exact"/>
        <w:rPr>
          <w:sz w:val="20"/>
          <w:szCs w:val="20"/>
          <w:color w:val="auto"/>
        </w:rPr>
      </w:pPr>
      <w:r>
        <w:rPr>
          <w:rFonts w:ascii="Times New Roman" w:cs="Times New Roman" w:eastAsia="Times New Roman" w:hAnsi="Times New Roman"/>
          <w:sz w:val="17"/>
          <w:szCs w:val="17"/>
          <w:color w:val="auto"/>
        </w:rPr>
        <w:t>Initially we focused on developing tools for chip manufacturing process steps involving the integration of ultra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materials and copper. In the early 2000s we sold tools based on stress-free copper polishing technology. In 2007 we began to focus our development efforts on single-wafer wet-cleaning solutions for the front-end chip fabrication process. Since that time, we have strategically built our technology base and expanded our product offerings:</w:t>
      </w:r>
    </w:p>
    <w:p>
      <w:pPr>
        <w:spacing w:after="0" w:line="183" w:lineRule="exact"/>
        <w:rPr>
          <w:sz w:val="20"/>
          <w:szCs w:val="20"/>
          <w:color w:val="auto"/>
        </w:rPr>
      </w:pPr>
    </w:p>
    <w:p>
      <w:pPr>
        <w:ind w:left="440" w:hanging="440"/>
        <w:spacing w:after="0"/>
        <w:tabs>
          <w:tab w:leader="none" w:pos="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2009 we introduced </w:t>
      </w:r>
      <w:r>
        <w:rPr>
          <w:rFonts w:ascii="Times New Roman" w:cs="Times New Roman" w:eastAsia="Times New Roman" w:hAnsi="Times New Roman"/>
          <w:sz w:val="17"/>
          <w:szCs w:val="17"/>
          <w:i w:val="1"/>
          <w:iCs w:val="1"/>
          <w:color w:val="auto"/>
        </w:rPr>
        <w:t>SAPS</w:t>
      </w:r>
      <w:r>
        <w:rPr>
          <w:rFonts w:ascii="Times New Roman" w:cs="Times New Roman" w:eastAsia="Times New Roman" w:hAnsi="Times New Roman"/>
          <w:sz w:val="17"/>
          <w:szCs w:val="17"/>
          <w:color w:val="auto"/>
        </w:rPr>
        <w:t xml:space="preserve"> megasonic technology, which can be applied in wet wafer cleaning at numerous steps during the chip fabrication process.</w:t>
      </w:r>
    </w:p>
    <w:p>
      <w:pPr>
        <w:spacing w:after="0" w:line="22" w:lineRule="exact"/>
        <w:rPr>
          <w:rFonts w:ascii="Times New Roman" w:cs="Times New Roman" w:eastAsia="Times New Roman" w:hAnsi="Times New Roman"/>
          <w:sz w:val="17"/>
          <w:szCs w:val="17"/>
          <w:color w:val="auto"/>
        </w:rPr>
      </w:pPr>
    </w:p>
    <w:p>
      <w:pPr>
        <w:ind w:left="440" w:hanging="440"/>
        <w:spacing w:after="0" w:line="244" w:lineRule="auto"/>
        <w:tabs>
          <w:tab w:leader="none" w:pos="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2016 we introduced </w:t>
      </w:r>
      <w:r>
        <w:rPr>
          <w:rFonts w:ascii="Times New Roman" w:cs="Times New Roman" w:eastAsia="Times New Roman" w:hAnsi="Times New Roman"/>
          <w:sz w:val="17"/>
          <w:szCs w:val="17"/>
          <w:i w:val="1"/>
          <w:iCs w:val="1"/>
          <w:color w:val="auto"/>
        </w:rPr>
        <w:t>TEBO</w:t>
      </w:r>
      <w:r>
        <w:rPr>
          <w:rFonts w:ascii="Times New Roman" w:cs="Times New Roman" w:eastAsia="Times New Roman" w:hAnsi="Times New Roman"/>
          <w:sz w:val="17"/>
          <w:szCs w:val="17"/>
          <w:color w:val="auto"/>
        </w:rPr>
        <w:t xml:space="preserve"> technology, which can be applied at numerous steps during the fabrication of small node conventional two-dimensional and three-dimensional patterned wafers.</w:t>
      </w:r>
    </w:p>
    <w:p>
      <w:pPr>
        <w:ind w:left="440" w:hanging="440"/>
        <w:spacing w:after="0" w:line="244" w:lineRule="auto"/>
        <w:tabs>
          <w:tab w:leader="none" w:pos="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August 2018 we introduced the </w:t>
      </w:r>
      <w:r>
        <w:rPr>
          <w:rFonts w:ascii="Times New Roman" w:cs="Times New Roman" w:eastAsia="Times New Roman" w:hAnsi="Times New Roman"/>
          <w:sz w:val="17"/>
          <w:szCs w:val="17"/>
          <w:i w:val="1"/>
          <w:iCs w:val="1"/>
          <w:color w:val="auto"/>
        </w:rPr>
        <w:t>Ultra-C Tahoe</w:t>
      </w:r>
      <w:r>
        <w:rPr>
          <w:rFonts w:ascii="Times New Roman" w:cs="Times New Roman" w:eastAsia="Times New Roman" w:hAnsi="Times New Roman"/>
          <w:sz w:val="17"/>
          <w:szCs w:val="17"/>
          <w:color w:val="auto"/>
        </w:rPr>
        <w:t xml:space="preserve"> wafer cleaning tool, which delivers high cleaning performance with significantly less sulfuric acid than typically consumed by conventional high temperature single-wafer cleaning tools.</w:t>
      </w:r>
    </w:p>
    <w:p>
      <w:pPr>
        <w:jc w:val="both"/>
        <w:ind w:left="440" w:hanging="440"/>
        <w:spacing w:after="0" w:line="244" w:lineRule="auto"/>
        <w:tabs>
          <w:tab w:leader="none" w:pos="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March 2019 we introduced (a) the </w:t>
      </w:r>
      <w:r>
        <w:rPr>
          <w:rFonts w:ascii="Times New Roman" w:cs="Times New Roman" w:eastAsia="Times New Roman" w:hAnsi="Times New Roman"/>
          <w:sz w:val="17"/>
          <w:szCs w:val="17"/>
          <w:i w:val="1"/>
          <w:iCs w:val="1"/>
          <w:color w:val="auto"/>
        </w:rPr>
        <w:t>Ultra ECP AP</w:t>
      </w:r>
      <w:r>
        <w:rPr>
          <w:rFonts w:ascii="Times New Roman" w:cs="Times New Roman" w:eastAsia="Times New Roman" w:hAnsi="Times New Roman"/>
          <w:sz w:val="17"/>
          <w:szCs w:val="17"/>
          <w:color w:val="auto"/>
        </w:rPr>
        <w:t xml:space="preserve"> or Advanced Wafer Level Packaging tool, a back-end assembly tool used for bumping, or applying copper, tin and nickel to wafers at the die-level prior to packaging, and (b) the </w:t>
      </w:r>
      <w:r>
        <w:rPr>
          <w:rFonts w:ascii="Times New Roman" w:cs="Times New Roman" w:eastAsia="Times New Roman" w:hAnsi="Times New Roman"/>
          <w:sz w:val="17"/>
          <w:szCs w:val="17"/>
          <w:i w:val="1"/>
          <w:iCs w:val="1"/>
          <w:color w:val="auto"/>
        </w:rPr>
        <w:t>Ultra ECP MAP</w:t>
      </w:r>
      <w:r>
        <w:rPr>
          <w:rFonts w:ascii="Times New Roman" w:cs="Times New Roman" w:eastAsia="Times New Roman" w:hAnsi="Times New Roman"/>
          <w:sz w:val="17"/>
          <w:szCs w:val="17"/>
          <w:color w:val="auto"/>
        </w:rPr>
        <w:t xml:space="preserve"> or Multi Anode Plating tool, a front-end process tool that utilizes our proprietary technology to deliver world-class electrochemical copper planting for copper interconnect applications.</w:t>
      </w:r>
    </w:p>
    <w:p>
      <w:pPr>
        <w:spacing w:after="0" w:line="1" w:lineRule="exact"/>
        <w:rPr>
          <w:rFonts w:ascii="Times New Roman" w:cs="Times New Roman" w:eastAsia="Times New Roman" w:hAnsi="Times New Roman"/>
          <w:sz w:val="17"/>
          <w:szCs w:val="17"/>
          <w:color w:val="auto"/>
        </w:rPr>
      </w:pPr>
    </w:p>
    <w:p>
      <w:pPr>
        <w:ind w:left="440" w:hanging="440"/>
        <w:spacing w:after="0"/>
        <w:tabs>
          <w:tab w:leader="none" w:pos="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April 2020 we introduced the </w:t>
      </w:r>
      <w:r>
        <w:rPr>
          <w:rFonts w:ascii="Times New Roman" w:cs="Times New Roman" w:eastAsia="Times New Roman" w:hAnsi="Times New Roman"/>
          <w:sz w:val="17"/>
          <w:szCs w:val="17"/>
          <w:i w:val="1"/>
          <w:iCs w:val="1"/>
          <w:color w:val="auto"/>
        </w:rPr>
        <w:t>Ultra Furnace</w:t>
      </w:r>
      <w:r>
        <w:rPr>
          <w:rFonts w:ascii="Times New Roman" w:cs="Times New Roman" w:eastAsia="Times New Roman" w:hAnsi="Times New Roman"/>
          <w:sz w:val="17"/>
          <w:szCs w:val="17"/>
          <w:color w:val="auto"/>
        </w:rPr>
        <w:t>, our first system developed for multiple dry processing applications.</w:t>
      </w:r>
    </w:p>
    <w:p>
      <w:pPr>
        <w:spacing w:after="0" w:line="3" w:lineRule="exact"/>
        <w:rPr>
          <w:rFonts w:ascii="Times New Roman" w:cs="Times New Roman" w:eastAsia="Times New Roman" w:hAnsi="Times New Roman"/>
          <w:sz w:val="17"/>
          <w:szCs w:val="17"/>
          <w:color w:val="auto"/>
        </w:rPr>
      </w:pPr>
    </w:p>
    <w:p>
      <w:pPr>
        <w:ind w:left="440" w:hanging="440"/>
        <w:spacing w:after="0" w:line="248" w:lineRule="auto"/>
        <w:tabs>
          <w:tab w:leader="none" w:pos="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May 2020 we introduced the </w:t>
      </w:r>
      <w:r>
        <w:rPr>
          <w:rFonts w:ascii="Times New Roman" w:cs="Times New Roman" w:eastAsia="Times New Roman" w:hAnsi="Times New Roman"/>
          <w:sz w:val="17"/>
          <w:szCs w:val="17"/>
          <w:i w:val="1"/>
          <w:iCs w:val="1"/>
          <w:color w:val="auto"/>
        </w:rPr>
        <w:t>Ultra C Family</w:t>
      </w:r>
      <w:r>
        <w:rPr>
          <w:rFonts w:ascii="Times New Roman" w:cs="Times New Roman" w:eastAsia="Times New Roman" w:hAnsi="Times New Roman"/>
          <w:sz w:val="17"/>
          <w:szCs w:val="17"/>
          <w:color w:val="auto"/>
        </w:rPr>
        <w:t xml:space="preserve"> of semi-critical cleaning systems, including the </w:t>
      </w:r>
      <w:r>
        <w:rPr>
          <w:rFonts w:ascii="Times New Roman" w:cs="Times New Roman" w:eastAsia="Times New Roman" w:hAnsi="Times New Roman"/>
          <w:sz w:val="17"/>
          <w:szCs w:val="17"/>
          <w:i w:val="1"/>
          <w:iCs w:val="1"/>
          <w:color w:val="auto"/>
        </w:rPr>
        <w:t>Ultra C b</w:t>
      </w:r>
      <w:r>
        <w:rPr>
          <w:rFonts w:ascii="Times New Roman" w:cs="Times New Roman" w:eastAsia="Times New Roman" w:hAnsi="Times New Roman"/>
          <w:sz w:val="17"/>
          <w:szCs w:val="17"/>
          <w:color w:val="auto"/>
        </w:rPr>
        <w:t xml:space="preserve"> for backside clean, the </w:t>
      </w:r>
      <w:r>
        <w:rPr>
          <w:rFonts w:ascii="Times New Roman" w:cs="Times New Roman" w:eastAsia="Times New Roman" w:hAnsi="Times New Roman"/>
          <w:sz w:val="17"/>
          <w:szCs w:val="17"/>
          <w:i w:val="1"/>
          <w:iCs w:val="1"/>
          <w:color w:val="auto"/>
        </w:rPr>
        <w:t>Ultra C wb</w:t>
      </w:r>
      <w:r>
        <w:rPr>
          <w:rFonts w:ascii="Times New Roman" w:cs="Times New Roman" w:eastAsia="Times New Roman" w:hAnsi="Times New Roman"/>
          <w:sz w:val="17"/>
          <w:szCs w:val="17"/>
          <w:color w:val="auto"/>
        </w:rPr>
        <w:t xml:space="preserve"> automated wet bench, and the </w:t>
      </w:r>
      <w:r>
        <w:rPr>
          <w:rFonts w:ascii="Times New Roman" w:cs="Times New Roman" w:eastAsia="Times New Roman" w:hAnsi="Times New Roman"/>
          <w:sz w:val="17"/>
          <w:szCs w:val="17"/>
          <w:i w:val="1"/>
          <w:iCs w:val="1"/>
          <w:color w:val="auto"/>
        </w:rPr>
        <w:t>Ultra C s</w:t>
      </w:r>
      <w:r>
        <w:rPr>
          <w:rFonts w:ascii="Times New Roman" w:cs="Times New Roman" w:eastAsia="Times New Roman" w:hAnsi="Times New Roman"/>
          <w:sz w:val="17"/>
          <w:szCs w:val="17"/>
          <w:color w:val="auto"/>
        </w:rPr>
        <w:t xml:space="preserve"> scrubber.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To help us establish and build relationships with chip manufacturers in the PRC, in 2006 we moved our operational center to Shanghai and began to conduct our business through our subsidiary ACM Shanghai. Since that time, we have expanded our geographic presence:</w:t>
      </w:r>
    </w:p>
    <w:p>
      <w:pPr>
        <w:spacing w:after="0" w:line="157" w:lineRule="exact"/>
        <w:rPr>
          <w:sz w:val="20"/>
          <w:szCs w:val="20"/>
          <w:color w:val="auto"/>
        </w:rPr>
      </w:pPr>
    </w:p>
    <w:p>
      <w:pPr>
        <w:ind w:left="440" w:hanging="440"/>
        <w:spacing w:after="0" w:line="255" w:lineRule="auto"/>
        <w:tabs>
          <w:tab w:leader="none" w:pos="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2011 we formed a wholly-owned subsidiary in the PRC, </w:t>
      </w:r>
      <w:r>
        <w:rPr>
          <w:rFonts w:ascii="Times New Roman" w:cs="Times New Roman" w:eastAsia="Times New Roman" w:hAnsi="Times New Roman"/>
          <w:sz w:val="17"/>
          <w:szCs w:val="17"/>
          <w:i w:val="1"/>
          <w:iCs w:val="1"/>
          <w:color w:val="auto"/>
        </w:rPr>
        <w:t>ACM Research (Wuxi), Inc.</w:t>
      </w:r>
      <w:r>
        <w:rPr>
          <w:rFonts w:ascii="Times New Roman" w:cs="Times New Roman" w:eastAsia="Times New Roman" w:hAnsi="Times New Roman"/>
          <w:sz w:val="17"/>
          <w:szCs w:val="17"/>
          <w:color w:val="auto"/>
        </w:rPr>
        <w:t>, which now is a wholly-owned subsidiary of ACM Shanghai, to manage sales and service operations.</w:t>
      </w:r>
    </w:p>
    <w:p>
      <w:pPr>
        <w:spacing w:after="0" w:line="1" w:lineRule="exact"/>
        <w:rPr>
          <w:rFonts w:ascii="Times New Roman" w:cs="Times New Roman" w:eastAsia="Times New Roman" w:hAnsi="Times New Roman"/>
          <w:sz w:val="17"/>
          <w:szCs w:val="17"/>
          <w:color w:val="auto"/>
        </w:rPr>
      </w:pPr>
    </w:p>
    <w:p>
      <w:pPr>
        <w:jc w:val="both"/>
        <w:ind w:left="440" w:hanging="440"/>
        <w:spacing w:after="0" w:line="244" w:lineRule="auto"/>
        <w:tabs>
          <w:tab w:leader="none" w:pos="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June 2017 we formed a subsidiary in Hong Kong, </w:t>
      </w:r>
      <w:r>
        <w:rPr>
          <w:rFonts w:ascii="Times New Roman" w:cs="Times New Roman" w:eastAsia="Times New Roman" w:hAnsi="Times New Roman"/>
          <w:sz w:val="17"/>
          <w:szCs w:val="17"/>
          <w:i w:val="1"/>
          <w:iCs w:val="1"/>
          <w:color w:val="auto"/>
        </w:rPr>
        <w:t>CleanChip Technologies Limited</w:t>
      </w:r>
      <w:r>
        <w:rPr>
          <w:rFonts w:ascii="Times New Roman" w:cs="Times New Roman" w:eastAsia="Times New Roman" w:hAnsi="Times New Roman"/>
          <w:sz w:val="17"/>
          <w:szCs w:val="17"/>
          <w:color w:val="auto"/>
        </w:rPr>
        <w:t>, which now is a wholly-owned subsidiary of ACM Shanghai, to act on our behalf in Asian markets outside the PRC by, for example, serving as a trading partner between ACM Shanghai and its customers, procuring raw materials and components, performing sales and marketing activities, and making strategic investments.</w:t>
      </w:r>
    </w:p>
    <w:p>
      <w:pPr>
        <w:spacing w:after="0" w:line="1" w:lineRule="exact"/>
        <w:rPr>
          <w:rFonts w:ascii="Times New Roman" w:cs="Times New Roman" w:eastAsia="Times New Roman" w:hAnsi="Times New Roman"/>
          <w:sz w:val="17"/>
          <w:szCs w:val="17"/>
          <w:color w:val="auto"/>
        </w:rPr>
      </w:pPr>
    </w:p>
    <w:p>
      <w:pPr>
        <w:ind w:left="440" w:right="400" w:hanging="440"/>
        <w:spacing w:after="0" w:line="244" w:lineRule="auto"/>
        <w:tabs>
          <w:tab w:leader="none" w:pos="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December 2017 we formed a subsidiary in the Republic of Korea, </w:t>
      </w:r>
      <w:r>
        <w:rPr>
          <w:rFonts w:ascii="Times New Roman" w:cs="Times New Roman" w:eastAsia="Times New Roman" w:hAnsi="Times New Roman"/>
          <w:sz w:val="17"/>
          <w:szCs w:val="17"/>
          <w:i w:val="1"/>
          <w:iCs w:val="1"/>
          <w:color w:val="auto"/>
        </w:rPr>
        <w:t>ACM Research Korea CO., LTD.</w:t>
      </w:r>
      <w:r>
        <w:rPr>
          <w:rFonts w:ascii="Times New Roman" w:cs="Times New Roman" w:eastAsia="Times New Roman" w:hAnsi="Times New Roman"/>
          <w:sz w:val="17"/>
          <w:szCs w:val="17"/>
          <w:color w:val="auto"/>
        </w:rPr>
        <w:t>, which now is an indirect wholly-owned subsidiary of ACM Shanghai, to serve our customers based in the Republic of Korea and perform sales and marketing and R&amp;D activities.</w:t>
      </w:r>
    </w:p>
    <w:p>
      <w:pPr>
        <w:ind w:left="440" w:hanging="440"/>
        <w:spacing w:after="0" w:line="244" w:lineRule="auto"/>
        <w:tabs>
          <w:tab w:leader="none" w:pos="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March 2019 ACM Shanghai formed a wholly-owned subsidiary in the PRC, </w:t>
      </w:r>
      <w:r>
        <w:rPr>
          <w:rFonts w:ascii="Times New Roman" w:cs="Times New Roman" w:eastAsia="Times New Roman" w:hAnsi="Times New Roman"/>
          <w:sz w:val="17"/>
          <w:szCs w:val="17"/>
          <w:i w:val="1"/>
          <w:iCs w:val="1"/>
          <w:color w:val="auto"/>
        </w:rPr>
        <w:t>Shengwei Research (Shanghai), Inc</w:t>
      </w:r>
      <w:r>
        <w:rPr>
          <w:rFonts w:ascii="Times New Roman" w:cs="Times New Roman" w:eastAsia="Times New Roman" w:hAnsi="Times New Roman"/>
          <w:sz w:val="17"/>
          <w:szCs w:val="17"/>
          <w:color w:val="auto"/>
        </w:rPr>
        <w:t>., or ACM Shengwei, to manage activities related to addition of future long-term production capacity.</w:t>
      </w:r>
    </w:p>
    <w:p>
      <w:pPr>
        <w:ind w:left="440" w:hanging="440"/>
        <w:spacing w:after="0" w:line="244" w:lineRule="auto"/>
        <w:tabs>
          <w:tab w:leader="none" w:pos="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June 2019 CleanChip Technologies Limited formed a wholly-owned subsidiary in California, ACM Research (CA), Inc., to provide procurement services on behalf of ACM Shanghai.</w:t>
      </w:r>
    </w:p>
    <w:p>
      <w:pPr>
        <w:ind w:left="440" w:hanging="440"/>
        <w:spacing w:after="0" w:line="244" w:lineRule="auto"/>
        <w:tabs>
          <w:tab w:leader="none" w:pos="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August 2021 we formed a wholly-owned subsidiary in Singapore, </w:t>
      </w:r>
      <w:r>
        <w:rPr>
          <w:rFonts w:ascii="Times New Roman" w:cs="Times New Roman" w:eastAsia="Times New Roman" w:hAnsi="Times New Roman"/>
          <w:sz w:val="17"/>
          <w:szCs w:val="17"/>
          <w:i w:val="1"/>
          <w:iCs w:val="1"/>
          <w:color w:val="auto"/>
        </w:rPr>
        <w:t>ACM Research (Singapore) PTE, Ltd.,</w:t>
      </w:r>
      <w:r>
        <w:rPr>
          <w:rFonts w:ascii="Times New Roman" w:cs="Times New Roman" w:eastAsia="Times New Roman" w:hAnsi="Times New Roman"/>
          <w:sz w:val="17"/>
          <w:szCs w:val="17"/>
          <w:color w:val="auto"/>
        </w:rPr>
        <w:t xml:space="preserve"> to perform sales, marketing, and other business development activities.</w:t>
      </w:r>
    </w:p>
    <w:p>
      <w:pPr>
        <w:ind w:left="440" w:hanging="440"/>
        <w:spacing w:after="0" w:line="244" w:lineRule="auto"/>
        <w:tabs>
          <w:tab w:leader="none" w:pos="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February 2022, ACM Shanghai formed a wholly-owned subsidiary in China, </w:t>
      </w:r>
      <w:r>
        <w:rPr>
          <w:rFonts w:ascii="Times New Roman" w:cs="Times New Roman" w:eastAsia="Times New Roman" w:hAnsi="Times New Roman"/>
          <w:sz w:val="17"/>
          <w:szCs w:val="17"/>
          <w:i w:val="1"/>
          <w:iCs w:val="1"/>
          <w:color w:val="auto"/>
        </w:rPr>
        <w:t>ACM Research (Beijing), Inc.,</w:t>
      </w:r>
      <w:r>
        <w:rPr>
          <w:rFonts w:ascii="Times New Roman" w:cs="Times New Roman" w:eastAsia="Times New Roman" w:hAnsi="Times New Roman"/>
          <w:sz w:val="17"/>
          <w:szCs w:val="17"/>
          <w:color w:val="auto"/>
        </w:rPr>
        <w:t xml:space="preserve"> to perform sales, marketing and other business development activities.</w:t>
      </w:r>
    </w:p>
    <w:p>
      <w:pPr>
        <w:ind w:left="440" w:hanging="440"/>
        <w:spacing w:after="0"/>
        <w:tabs>
          <w:tab w:leader="none" w:pos="4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March 2022, ACM formed a wholly-owned subsidiary in South Korea, </w:t>
      </w:r>
      <w:r>
        <w:rPr>
          <w:rFonts w:ascii="Times New Roman" w:cs="Times New Roman" w:eastAsia="Times New Roman" w:hAnsi="Times New Roman"/>
          <w:sz w:val="16"/>
          <w:szCs w:val="16"/>
          <w:i w:val="1"/>
          <w:iCs w:val="1"/>
          <w:color w:val="auto"/>
        </w:rPr>
        <w:t>Hanguk ACM CO., LTD</w:t>
      </w:r>
      <w:r>
        <w:rPr>
          <w:rFonts w:ascii="Times New Roman" w:cs="Times New Roman" w:eastAsia="Times New Roman" w:hAnsi="Times New Roman"/>
          <w:sz w:val="16"/>
          <w:szCs w:val="16"/>
          <w:color w:val="auto"/>
        </w:rPr>
        <w:t>, to perform business development and other related activities.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currently conduct the majority of our product development, support and services, and substantially all of our manufacturing, at ACM Shanghai. Our Shanghai operations position us to be near many of our current and potential new customers in the PRC (including Taiwan), South Korea and throughout Asia, providing convenient access and reduced shipping and manufacturing costs.</w:t>
      </w:r>
    </w:p>
    <w:p>
      <w:pPr>
        <w:spacing w:after="0" w:line="171" w:lineRule="exact"/>
        <w:rPr>
          <w:sz w:val="20"/>
          <w:szCs w:val="20"/>
          <w:color w:val="auto"/>
        </w:rPr>
      </w:pPr>
    </w:p>
    <w:p>
      <w:pPr>
        <w:ind w:left="440" w:hanging="440"/>
        <w:spacing w:after="0"/>
        <w:tabs>
          <w:tab w:leader="none" w:pos="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ACM Shanghai’s initial factory is located in the Pudong Region of Shanghai and has a total of 36,000 square feet of available floor space.</w:t>
      </w:r>
    </w:p>
    <w:p>
      <w:pPr>
        <w:spacing w:after="0" w:line="20" w:lineRule="exact"/>
        <w:rPr>
          <w:rFonts w:ascii="Times New Roman" w:cs="Times New Roman" w:eastAsia="Times New Roman" w:hAnsi="Times New Roman"/>
          <w:sz w:val="17"/>
          <w:szCs w:val="17"/>
          <w:color w:val="auto"/>
        </w:rPr>
      </w:pPr>
    </w:p>
    <w:p>
      <w:pPr>
        <w:jc w:val="both"/>
        <w:ind w:left="440" w:hanging="440"/>
        <w:spacing w:after="0" w:line="244" w:lineRule="auto"/>
        <w:tabs>
          <w:tab w:leader="none" w:pos="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ACM Shanghai’s second production facility is located in the Chuansha district of Pudong, approximately 11 miles from our initial factory. In September 2018 we announced the opening of the first building of the second production facility. The first building initially had a total of 50,000 square feet of available floor space for production capacity, which was increased by 50,000 square feet in the second quarter of 2020. In February 2021 ACM Shanghai leased a second building immediately adjacent to the second factory, which increased the available floor space for production by another 100,000 square feet, bringing to total available floor space for production capacity of second production facility to 200,000 square feet.</w:t>
      </w:r>
    </w:p>
    <w:p>
      <w:pPr>
        <w:spacing w:after="0" w:line="1" w:lineRule="exact"/>
        <w:rPr>
          <w:rFonts w:ascii="Times New Roman" w:cs="Times New Roman" w:eastAsia="Times New Roman" w:hAnsi="Times New Roman"/>
          <w:sz w:val="17"/>
          <w:szCs w:val="17"/>
          <w:color w:val="auto"/>
        </w:rPr>
      </w:pPr>
    </w:p>
    <w:p>
      <w:pPr>
        <w:ind w:left="440" w:hanging="440"/>
        <w:spacing w:after="0" w:line="244" w:lineRule="auto"/>
        <w:tabs>
          <w:tab w:leader="none" w:pos="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2020 ACM Shanghai began a multi-year construction project to build a development and production center in the Lingang region of Shanghai. The new facility is expected to have a total of 1,000,000 square feet of available floor space for production. capacity.</w:t>
      </w:r>
    </w:p>
    <w:p>
      <w:pPr>
        <w:ind w:left="440" w:hanging="440"/>
        <w:spacing w:after="0" w:line="248" w:lineRule="auto"/>
        <w:tabs>
          <w:tab w:leader="none" w:pos="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2022 ACM Shanghai completed the purchase of a housing facility in the Lingang region of Shanghai to assist in employee retention and recruitment in connection with its new R&amp;D center and factory currently under construction.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chart depicts our corporate organization as of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139065</wp:posOffset>
            </wp:positionV>
            <wp:extent cx="6455410" cy="25838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55410" cy="258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 detailed description of how cash is transferred through our organization is set forth under “Note 2 – Summary of Significant Accounting Policies – Cash and Cash Equivalents” to the Consolidated Financial Statements of this report.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Associated with Corporate Structure</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are subject to a number of legal and operational risks associated with our corporate structure, including as the result of a substantial portion of our operations being conducted in the PRC. Consequences of any of those risks could result in a material adverse change in our operations or cause the value of ACM Research Class A common stock to significantly decline. Please carefully read the information beginning on page 64 of this report and included in “Part II. Item 1A – Risk Factors,” in particular the risk factors addressing the following issues:</w:t>
      </w:r>
    </w:p>
    <w:p>
      <w:pPr>
        <w:spacing w:after="0" w:line="174" w:lineRule="exact"/>
        <w:rPr>
          <w:sz w:val="20"/>
          <w:szCs w:val="20"/>
          <w:color w:val="auto"/>
        </w:rPr>
      </w:pPr>
    </w:p>
    <w:p>
      <w:pPr>
        <w:jc w:val="both"/>
        <w:ind w:left="600" w:hanging="302"/>
        <w:spacing w:after="0" w:line="247" w:lineRule="auto"/>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PRC central government authority were to determine that existing PRC laws or regulations require that ACM Shanghai obtain the authority’s permission or approval to continue the listing of ACM Research’s Class A common stock in the United States or if those existing PRC laws and regulations, or interpretations thereof, were to change to require such permission or approval, ACM Shanghai may be unable to obtain any such permission or approval or may only be able to obtain such permission or approval on terms and conditions that impose material new restrictions and limitations on the operations of ACM Shanghai, either of which could have a material adverse effect on our business, financial condition, results of operations, reputation and prospects and on the trading price of ACM Research Class A common stock.</w:t>
      </w:r>
    </w:p>
    <w:p>
      <w:pPr>
        <w:spacing w:after="0" w:line="4" w:lineRule="exact"/>
        <w:rPr>
          <w:rFonts w:ascii="Times New Roman" w:cs="Times New Roman" w:eastAsia="Times New Roman" w:hAnsi="Times New Roman"/>
          <w:sz w:val="17"/>
          <w:szCs w:val="17"/>
          <w:color w:val="auto"/>
        </w:rPr>
      </w:pPr>
    </w:p>
    <w:p>
      <w:pPr>
        <w:ind w:left="600" w:hanging="302"/>
        <w:spacing w:after="0" w:line="244" w:lineRule="auto"/>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PRC central government authorities may intervene in, or influence, ACM Shanghai’s PRC-based operations at any time, and those authorities’ rules and regulations can change quickly with little or no advance notice.</w:t>
      </w:r>
    </w:p>
    <w:p>
      <w:pPr>
        <w:ind w:left="600" w:hanging="302"/>
        <w:spacing w:after="0" w:line="248" w:lineRule="auto"/>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PRC central government may determine to exert additional control over offerings conducted overseas or foreign investment in PRC-based issuers, which could result in a material change in our operations and the value of ACM Research Class A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Permissions or Approvals to Operate in the PRC</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business of ACM Shanghai is subject to complex laws and regulations in the PRC that can change quickly with little or no advance notice. To date, beyond the COVID-19-related restrictions in 2022, we have not experienced such intervention or influence by PRC central government authorities or a change in those authorities’ rules and regulations that have had a material impact on ACM Shanghai or ACM Research.</w:t>
      </w:r>
    </w:p>
    <w:p>
      <w:pPr>
        <w:spacing w:after="0" w:line="17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the ordinary course of business, ACM Shanghai has obtained all of the permits and licenses it believes are necessary for it to operate in the PRC. From time to time the PRC government issues new regulations, which may require additional actions on the part of ACM Shanghai to comply.</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See “Part II. Item 1A - Risk Factors - The PRC central government may intervene in, or influence, ACM Shanghai’s PRC-based operations at any time, and the rules and regulations in the PRC can change quickly with little or no advance notice.”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Independent Registered Public Accounting Firm</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Our independent registered public accounting firm for the year ending December 31, 2022 is Armanino LLP, which is registered with the Public Company Accounting Oversight Board, or the PCAOB. The U.S. Holding Foreign Companies Accountable Act, or the HFCA Act, requires that the PCAOB determine whether it is unable to inspect or investigate completely registered public accounting firms located in a non-U.S. jurisdiction because of a position taken by one or more authorities in that jurisdiction. BDO China Shu Lun Pan Certified Public Accountants LLP, or BDO China, had been our independent registered public accounting firm in recent years including for the year ended December 31, 2021. On December 16, 2021, the PCAOB issued a report on its determinations that the PCAOB is unable to inspect or investigate completely registered public accounting firms headquartered in the PRC and Hong Kong because of positions taken by PRC authorities in those jurisdictions, including BDO China. On March 30, 2022, ACM Research was transferred to the SEC’s “Conclusive list of issuers identified under the HFCA.” See “Item 1A, “Risk Factors— We could be adversely affected if we are unable to comply with recent and proposed legislation and regulations regarding improved access to audit and other information and audit inspections of accounting firms, including registered public accounting firms, such as our audit firm since our initial public offering in 2017, operating in the PRC.” of Part II of our Quarterly Report on Form 10-Q for the quarter ended March 31, 2022 for more information. On June 30, 2022, stockholders of ACM Research ratified the appointment of Armanino LLP as our independent auditor for the fiscal year ending December 31, 2022. Armanino LLP is neither headquartered in the PRC or Hong Kong nor is it subject to the determinations announced by the PCAOB.</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COVID–19</w:t>
      </w:r>
    </w:p>
    <w:p>
      <w:pPr>
        <w:spacing w:after="0" w:line="2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worldwide COVID-19 health pandemic and related government and private sector responsive actions have adversely affected the economies and financial markets of many countries and specifically have negatively impacted the Company’s business operations, including in the PRC and the United States. The continuation of the COVID-19 pandemic could continue to result a in economic uncertainty and global economic policies that could reduce demand for the Company’s products and its customers’ chips and have a material adverse impact on the Company’s business, operating results and financial condition. For an explanation of some of the risks we potentially face, please read carefully the information provided under “Item 1A. Risk Factors—Risks Related to the COVID–19 Pandemic,” of part I of this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summary reflects our expectations and estimates based on information known to us as of the date of this filing:</w:t>
      </w:r>
    </w:p>
    <w:p>
      <w:pPr>
        <w:spacing w:after="0" w:line="201" w:lineRule="exact"/>
        <w:rPr>
          <w:sz w:val="20"/>
          <w:szCs w:val="20"/>
          <w:color w:val="auto"/>
        </w:rPr>
      </w:pPr>
    </w:p>
    <w:p>
      <w:pPr>
        <w:ind w:left="440" w:hanging="440"/>
        <w:spacing w:after="0" w:line="271" w:lineRule="auto"/>
        <w:tabs>
          <w:tab w:leader="none" w:pos="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Operations</w:t>
      </w:r>
      <w:r>
        <w:rPr>
          <w:rFonts w:ascii="Times New Roman" w:cs="Times New Roman" w:eastAsia="Times New Roman" w:hAnsi="Times New Roman"/>
          <w:sz w:val="17"/>
          <w:szCs w:val="17"/>
          <w:color w:val="auto"/>
        </w:rPr>
        <w:t>: We conduct substantially all of our product development, manufacturing, support and services in the PRC through ACM Shanghai, and those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activities have been directly impacted by COVID–19 and related restrictions on transportation and public appearances.</w:t>
      </w:r>
    </w:p>
    <w:p>
      <w:pPr>
        <w:spacing w:after="0" w:line="157" w:lineRule="exact"/>
        <w:rPr>
          <w:rFonts w:ascii="Times New Roman" w:cs="Times New Roman" w:eastAsia="Times New Roman" w:hAnsi="Times New Roman"/>
          <w:sz w:val="17"/>
          <w:szCs w:val="17"/>
          <w:color w:val="auto"/>
        </w:rPr>
      </w:pPr>
    </w:p>
    <w:p>
      <w:pPr>
        <w:jc w:val="both"/>
        <w:ind w:left="440"/>
        <w:spacing w:after="0" w:line="24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2022, several regions in China began to experience elevated levels of COVID-19 infections, and the PRC government instituted policies to restrict the spread of the virus. The policies began with an increase of “spot quarantines,” under which a positive polymerase chain reaction (PCR) or other test would result in the quarantining of individual buildings, groups of buildings, or even full neighborhoods. The policies were later expanded to full-city quarantines, including in the City of Shanghai, where substantially all of ACM Shanghai’s operations are located. COVID-19 related restrictions in Shanghai began to limit employee access to, and logistics activities of, ACM Shanghai’s offices and production facilities in the Pudong district of Shanghai in March 2022, and therefore limited ACM Shanghai’s ability to ship finished products to customers and to produce new products. Spot quarantines in mid-March 2022 began to impact a number of ACM Shanghai’s employees and led to a closure of ACM Shanghai’s administrative and R&amp;D offices in Zhangjiang in the Pudong district. A subsequent quarantine of the entire Pudong region of Shanghai was imposed in late March 2022 and impacted the operation of ACM Shanghai’s Chuansha production facility. Furthermore, a number of our customers have substantial operations based in operations areas of the PRC, including in the City of Shanghai, subject to the full-city restrictions, which began limiting the operations of those customers since the first quarter of 2022, including inhibiting their ability to receive, implement and operate new tools for their manufacturing facilities. As a result, in some cases, ACM Shanghai has been required to defer shipments of finished products to these customers because of operational and logistics limitations affecting customers rather than, or in addition to, ACM Shanghai. In late April 2022, ACM Shanghai began to resume some operations at the Chuansha manufacturing site using the “closed loop method,” in which a limited collection of workers remains together as a group between a single hotel, the ACM Shanghai facility, and a dedicated bus transportation route, also referred to as “two spots and one line,” and had resumed substantially all of its Chuansha manufacturing site operations by the end of the second quarter of 2022. In mid-June 2022, substantially all of ACM Shanghai’s R&amp;D and administrative employees at its ZhangJiang facility were allowed to return to work under strict safety protocols after a period of restricted access to the building that for many employees was partially mitigated by being able to work from home. ACM Shanghai has established several policies to help avoid or limit future outbreaks among employees and thus protect employee safety and limit the possibility of a facility reclosing. We anticipate that the effects of the PRC restrictions may continue for several months, with a gradual return of PRC operations, production capacity, and global logistics as Shanghai and other areas in the PRC begin to reopen. We cannot assure that closures or reductions of PRC operations or production, whether of ACM Shanghai or of some of its key customers, may not be extended in upcoming months as the result of business interruptions arising from protective measures being taken by the PRC and other governmental agencies or of other consequences of COVID-19.</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left="440"/>
        <w:spacing w:after="0" w:line="252" w:lineRule="auto"/>
        <w:rPr>
          <w:sz w:val="20"/>
          <w:szCs w:val="20"/>
          <w:color w:val="auto"/>
        </w:rPr>
      </w:pPr>
      <w:r>
        <w:rPr>
          <w:rFonts w:ascii="Times New Roman" w:cs="Times New Roman" w:eastAsia="Times New Roman" w:hAnsi="Times New Roman"/>
          <w:sz w:val="17"/>
          <w:szCs w:val="17"/>
          <w:color w:val="auto"/>
        </w:rPr>
        <w:t>Our corporate headquarters are located in Alameda County in the San Francisco Bay Area and are the subject of a number of state and county public health directives and orders. These actions have not negatively impacted our business to date, however, because of the limited number of employees at our headquarters and the nature of the work they generally perform. To date we have not experienced absenteeism of management or other key employees, other than certain of our executive officers being delayed in traveling between the PRC, our California office, and other global locations.</w:t>
      </w:r>
    </w:p>
    <w:p>
      <w:pPr>
        <w:spacing w:after="0" w:line="172" w:lineRule="exact"/>
        <w:rPr>
          <w:sz w:val="20"/>
          <w:szCs w:val="20"/>
          <w:color w:val="auto"/>
        </w:rPr>
      </w:pPr>
    </w:p>
    <w:p>
      <w:pPr>
        <w:jc w:val="both"/>
        <w:ind w:left="440" w:hanging="440"/>
        <w:spacing w:after="0" w:line="248" w:lineRule="auto"/>
        <w:tabs>
          <w:tab w:leader="none" w:pos="4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Customers: </w:t>
      </w:r>
      <w:r>
        <w:rPr>
          <w:rFonts w:ascii="Times New Roman" w:cs="Times New Roman" w:eastAsia="Times New Roman" w:hAnsi="Times New Roman"/>
          <w:sz w:val="17"/>
          <w:szCs w:val="17"/>
          <w:color w:val="auto"/>
        </w:rPr>
        <w:t>Our customers’, including the customers of ACM Shanghai, business operations have been, and are continuing to be, subject to business interruptions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arising from the COVID–19 pandemic. Historically substantially all of our revenue has been derived from customers located in the PRC and surrounding areas that have been impacted by COVID–19. Two customers that accounted for 48.9% of our revenue in 2021 are based in the PRC, and three customers that accounted for 75.8% of our revenue in 2020, and 73.8% of our revenue in 2019 are based in the PRC and South Korea. One of those customers, Yangtze Memory Technologies Co., Ltd. — which accounted for 20.2% of our 2021 revenue, 26.8% of our 2020 revenue, and 27.5% of our 2019 revenue — is based in Wuhan. While Yangtze Memory Technologies Co., Ltd. and other key customers continued to operate their fabrication facilities without interruption during and after the first quarter of 2020, some customers have been forced to restrict access of service personnel and deliveries to and from their facilities. We have experienced longer and in some cases more costly shipping expenses in the delivery of tools to certain customers.</w:t>
      </w:r>
    </w:p>
    <w:p>
      <w:pPr>
        <w:spacing w:after="0" w:line="175" w:lineRule="exact"/>
        <w:rPr>
          <w:rFonts w:ascii="Times New Roman" w:cs="Times New Roman" w:eastAsia="Times New Roman" w:hAnsi="Times New Roman"/>
          <w:sz w:val="17"/>
          <w:szCs w:val="17"/>
          <w:color w:val="auto"/>
        </w:rPr>
      </w:pPr>
    </w:p>
    <w:p>
      <w:pPr>
        <w:jc w:val="both"/>
        <w:ind w:left="440" w:hanging="440"/>
        <w:spacing w:after="0" w:line="251" w:lineRule="auto"/>
        <w:tabs>
          <w:tab w:leader="none" w:pos="4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Suppliers</w:t>
      </w:r>
      <w:r>
        <w:rPr>
          <w:rFonts w:ascii="Times New Roman" w:cs="Times New Roman" w:eastAsia="Times New Roman" w:hAnsi="Times New Roman"/>
          <w:sz w:val="17"/>
          <w:szCs w:val="17"/>
          <w:color w:val="auto"/>
        </w:rPr>
        <w:t>: Our global supply chain includes components sourced from the PRC, Japan, Taiwan, the United States and Europe. While, to date, we have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experienced material issues with our supply chain beyond the logistics related to the Shanghai facilities of ACM Shanghai, supply chain constraints have intensified due to COVID-19, contributing to global shortages in the supply of semiconductors and other materials, and in some cases the pricing of materials used in the production of our own tools. As with our customers, we continue to be in close contact with our key suppliers to help ensure we are able to identify any potential supply issues that may arise.</w:t>
      </w:r>
    </w:p>
    <w:p>
      <w:pPr>
        <w:spacing w:after="0" w:line="172" w:lineRule="exact"/>
        <w:rPr>
          <w:rFonts w:ascii="Times New Roman" w:cs="Times New Roman" w:eastAsia="Times New Roman" w:hAnsi="Times New Roman"/>
          <w:sz w:val="17"/>
          <w:szCs w:val="17"/>
          <w:color w:val="auto"/>
        </w:rPr>
      </w:pPr>
    </w:p>
    <w:p>
      <w:pPr>
        <w:jc w:val="both"/>
        <w:ind w:left="440" w:hanging="440"/>
        <w:spacing w:after="0" w:line="253" w:lineRule="auto"/>
        <w:tabs>
          <w:tab w:leader="none" w:pos="4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Projects</w:t>
      </w:r>
      <w:r>
        <w:rPr>
          <w:rFonts w:ascii="Times New Roman" w:cs="Times New Roman" w:eastAsia="Times New Roman" w:hAnsi="Times New Roman"/>
          <w:sz w:val="17"/>
          <w:szCs w:val="17"/>
          <w:color w:val="auto"/>
        </w:rPr>
        <w:t>: Our strategy includes a number of plans to support the growth of our core business, including ACM Shanghai’s acquisition of a land use right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Lingang area of Shanghai where ACM Shanghai began construction of a new R&amp;D center and factory in July 2020. The extent to which COVID–19 impacts these projects will depend on future developments that are highly uncertain, but to date, the timing of these ongoing projects has not been delayed or significantly disrupted by COVID–19 or related government measures.</w:t>
      </w:r>
    </w:p>
    <w:p>
      <w:pPr>
        <w:spacing w:after="0" w:line="17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For the first six months of 2022, ACM Shanghai experienced a negative impact to revenue and shipments as a result of restricted access and logistics to its Shanghai-based production and administrative facilities. Thirteen tools amounting to $13 million in revenue and $24 million in shipments that could not be shipped to customers in the three-months ended March 30, 2022 were subsequently shipped in the three months ended June 30, 2022. As a result of the restrictions, we experienced a modest increase to operational costs due to increased logistics costs and inefficiencies that resulted from the restrictions, an increase in cash used in operations due in part to an increase in accounts receivables that resulted from a shift of shipments towards the latter part of the period, and general administrative inefficiencies.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PRC Government Research and Development Funding</w:t>
      </w:r>
    </w:p>
    <w:p>
      <w:pPr>
        <w:spacing w:after="0" w:line="2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ACM Shanghai has received seven special government grants.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 copper-plating technology. The fourth grant was made in June 2018 and related to development of polytetrafluoroethylene. The fifth grant was made in 2020, and relates to the development of Tahoe single bench cleaning technologies. As of December 31, 2021, the fourth and fifth grants had been fully utilized. The sixth grant was made in 2020, and relates to the development of other cleaning technologies. The seventh grant was made in 2021, and relates to the development of the R&amp;D and production center in the Lin-gang Special Area of Shanghai. These governmental authorities provide significant funding, although ACM Shanghai and ACM Shengwei is also required to invest certain amounts in the projects.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governmental grants contain certain operating conditions, and we are required to go through a government due diligence process once the project is complete. The grants therefore are recorded as long-term liabilities upon receipt, although we are not required to return any funds ACM Shanghai receives. Grant amounts are recognized in our statements of operations and comprehensive income as follows:</w:t>
      </w:r>
    </w:p>
    <w:p>
      <w:pPr>
        <w:spacing w:after="0" w:line="171" w:lineRule="exact"/>
        <w:rPr>
          <w:sz w:val="20"/>
          <w:szCs w:val="20"/>
          <w:color w:val="auto"/>
        </w:rPr>
      </w:pPr>
    </w:p>
    <w:p>
      <w:pPr>
        <w:jc w:val="both"/>
        <w:ind w:left="780" w:hanging="444"/>
        <w:spacing w:after="0" w:line="251" w:lineRule="auto"/>
        <w:tabs>
          <w:tab w:leader="none" w:pos="7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subsidies relating to current expenses are recorded as reductions of those expenses in the periods in which the current expenses are recorded. For the six months ended June 30, 2022 and 2021, related government subsidies recognized as reductions of relevant expenses in the consolidated statements of operations and comprehensive income were $0.1 million and $4.2 million, respectively.</w:t>
      </w:r>
    </w:p>
    <w:p>
      <w:pPr>
        <w:jc w:val="both"/>
        <w:ind w:left="780" w:hanging="444"/>
        <w:spacing w:after="0" w:line="246" w:lineRule="auto"/>
        <w:tabs>
          <w:tab w:leader="none" w:pos="7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subsidies related to depreciable assets are credited to income over the useful lives of the related assets for which the grant was received. For the six months ended June 30, 2022 and 2021, related government subsidies recognized as other income in the consolidated statements of operations and comprehensive income were $155,000 and $80,000, respectively.</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Unearned government subsidies received are deferred for recognition and recorded as other long-term liabilities (see note 13 in the Notes to Condensed Consolidated Financial Statements included herein under “Item 1. Financial Statements.”) in the balance sheet until the criteria for such recognition are satisfied.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Attributable to Non-Controlling Interests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2019 ACM Shanghai sold a total number of shares representing 8.3% of its outstanding ACM Shanghai shares, after which ACM Research held the remaining 91.7% of ACM Shanghai’s outstanding shares. In 2021 ACM Shanghai sold a total number shares representing an additional 10% of its outstanding ACM Shanghai shares in its STAR IPO, after which ACM Research held the remaining 82.5% of ACM Shanghai’s outstanding shares. As a result, we reflect the portion of our net income allocable to the minority holders of ACM Shanghai shares as net income attributable to non-controlling interests.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There were no significant changes in our critical accounting policies or significant judgments or estimates during the three months ended June 30, 2022 to augment the critical accounting estimates disclosed under the heading “Management’s Discussion and Analysis of Financial Condition and Results of Operations” in our Annual Report, other than those described in the notes to the condensed consolidated financial statements included in this report. For information regarding the impact of recently adopted accounting standards, refer to note 2 to the condensed consolidated financial statements included in this report.</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A discussion of recent accounting pronouncements is included in our Annual Report and is updated in note 2 to the condensed consolidated financial statements included in this report.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98"/>
        </w:trPr>
        <w:tc>
          <w:tcPr>
            <w:tcW w:w="7220" w:type="dxa"/>
            <w:vAlign w:val="bottom"/>
            <w:gridSpan w:val="4"/>
          </w:tcPr>
          <w:p>
            <w:pPr>
              <w:spacing w:after="0"/>
              <w:rPr>
                <w:sz w:val="20"/>
                <w:szCs w:val="20"/>
                <w:color w:val="auto"/>
              </w:rPr>
            </w:pPr>
            <w:r>
              <w:rPr>
                <w:rFonts w:ascii="Times New Roman" w:cs="Times New Roman" w:eastAsia="Times New Roman" w:hAnsi="Times New Roman"/>
                <w:sz w:val="17"/>
                <w:szCs w:val="17"/>
                <w:color w:val="auto"/>
                <w:w w:val="98"/>
              </w:rPr>
              <w:t>The following table sets forth our results of operations for the periods presented, as percentages of revenue.</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03"/>
        </w:trPr>
        <w:tc>
          <w:tcPr>
            <w:tcW w:w="4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760" w:type="dxa"/>
            <w:vAlign w:val="bottom"/>
            <w:gridSpan w:val="4"/>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2640" w:type="dxa"/>
            <w:vAlign w:val="bottom"/>
            <w:gridSpan w:val="4"/>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04"/>
        </w:trPr>
        <w:tc>
          <w:tcPr>
            <w:tcW w:w="4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26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0" w:type="dxa"/>
            <w:vAlign w:val="bottom"/>
          </w:tcPr>
          <w:p>
            <w:pPr>
              <w:spacing w:after="0"/>
              <w:rPr>
                <w:sz w:val="17"/>
                <w:szCs w:val="17"/>
                <w:color w:val="auto"/>
              </w:rPr>
            </w:pPr>
          </w:p>
        </w:tc>
      </w:tr>
      <w:tr>
        <w:trPr>
          <w:trHeight w:val="19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04"/>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57.7</w:t>
            </w:r>
          </w:p>
        </w:tc>
        <w:tc>
          <w:tcPr>
            <w:tcW w:w="26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59.8</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56.4</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59.3</w:t>
            </w:r>
          </w:p>
        </w:tc>
      </w:tr>
      <w:tr>
        <w:trPr>
          <w:trHeight w:val="204"/>
        </w:trPr>
        <w:tc>
          <w:tcPr>
            <w:tcW w:w="46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Gross margin</w:t>
            </w:r>
          </w:p>
        </w:tc>
        <w:tc>
          <w:tcPr>
            <w:tcW w:w="1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99"/>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Sales and marketing</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10.7</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9.8</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11.4</w:t>
            </w:r>
          </w:p>
        </w:tc>
      </w:tr>
      <w:tr>
        <w:trPr>
          <w:trHeight w:val="199"/>
        </w:trPr>
        <w:tc>
          <w:tcPr>
            <w:tcW w:w="4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26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14.7</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19.6</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13.8</w:t>
            </w:r>
          </w:p>
        </w:tc>
      </w:tr>
      <w:tr>
        <w:trPr>
          <w:trHeight w:val="204"/>
        </w:trPr>
        <w:tc>
          <w:tcPr>
            <w:tcW w:w="4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204"/>
        </w:trPr>
        <w:tc>
          <w:tcPr>
            <w:tcW w:w="46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operating expenses, net</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26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32.2</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36.2</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32.7</w:t>
            </w:r>
          </w:p>
        </w:tc>
      </w:tr>
      <w:tr>
        <w:trPr>
          <w:trHeight w:val="199"/>
        </w:trPr>
        <w:tc>
          <w:tcPr>
            <w:tcW w:w="4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Income from operations</w:t>
            </w:r>
          </w:p>
        </w:tc>
        <w:tc>
          <w:tcPr>
            <w:tcW w:w="11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40" w:type="dxa"/>
            <w:vAlign w:val="bottom"/>
            <w:shd w:val="clear" w:color="auto" w:fill="CCEEFF"/>
          </w:tcPr>
          <w:p>
            <w:pPr>
              <w:spacing w:after="0"/>
              <w:rPr>
                <w:sz w:val="17"/>
                <w:szCs w:val="17"/>
                <w:color w:val="auto"/>
              </w:rPr>
            </w:pPr>
          </w:p>
        </w:tc>
      </w:tr>
      <w:tr>
        <w:trPr>
          <w:trHeight w:val="199"/>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 (expense), net</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6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(0.3)</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2.3</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(0.3)</w:t>
            </w:r>
          </w:p>
        </w:tc>
      </w:tr>
      <w:tr>
        <w:trPr>
          <w:trHeight w:val="19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gain (loss) on trading securities</w:t>
            </w:r>
          </w:p>
        </w:tc>
        <w:tc>
          <w:tcPr>
            <w:tcW w:w="25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(0.4)</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7.0</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(2.9)</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w:t>
            </w:r>
          </w:p>
        </w:tc>
      </w:tr>
      <w:tr>
        <w:trPr>
          <w:trHeight w:val="199"/>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(expense), net</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6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(1.7)</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1.9</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(0.4)</w:t>
            </w:r>
          </w:p>
        </w:tc>
      </w:tr>
      <w:tr>
        <w:trPr>
          <w:trHeight w:val="204"/>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income in net income of affiliates</w:t>
            </w:r>
          </w:p>
        </w:tc>
        <w:tc>
          <w:tcPr>
            <w:tcW w:w="1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99"/>
        </w:trPr>
        <w:tc>
          <w:tcPr>
            <w:tcW w:w="4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26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13.6</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8.9</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10.7</w:t>
            </w:r>
          </w:p>
        </w:tc>
      </w:tr>
      <w:tr>
        <w:trPr>
          <w:trHeight w:val="20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(7.4)</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(0.0)</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w:t>
            </w:r>
          </w:p>
        </w:tc>
      </w:tr>
      <w:tr>
        <w:trPr>
          <w:trHeight w:val="199"/>
        </w:trPr>
        <w:tc>
          <w:tcPr>
            <w:tcW w:w="4680" w:type="dxa"/>
            <w:vAlign w:val="bottom"/>
            <w:tcBorders>
              <w:top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Net income</w:t>
            </w:r>
          </w:p>
        </w:tc>
        <w:tc>
          <w:tcPr>
            <w:tcW w:w="11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40" w:type="dxa"/>
            <w:vAlign w:val="bottom"/>
            <w:tcBorders>
              <w:top w:val="single" w:sz="8" w:color="CCEEFF"/>
            </w:tcBorders>
          </w:tcPr>
          <w:p>
            <w:pPr>
              <w:spacing w:after="0"/>
              <w:rPr>
                <w:sz w:val="17"/>
                <w:szCs w:val="17"/>
                <w:color w:val="auto"/>
              </w:rPr>
            </w:pPr>
          </w:p>
        </w:tc>
      </w:tr>
      <w:tr>
        <w:trPr>
          <w:trHeight w:val="204"/>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Net income attributable to non-controlling interests</w:t>
            </w:r>
          </w:p>
        </w:tc>
        <w:tc>
          <w:tcPr>
            <w:tcW w:w="1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204"/>
        </w:trPr>
        <w:tc>
          <w:tcPr>
            <w:tcW w:w="4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 attributable to ACM Research, Inc.</w:t>
            </w:r>
          </w:p>
        </w:tc>
        <w:tc>
          <w:tcPr>
            <w:tcW w:w="25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11.8%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525"/>
        </w:trPr>
        <w:tc>
          <w:tcPr>
            <w:tcW w:w="4680" w:type="dxa"/>
            <w:vAlign w:val="bottom"/>
          </w:tcPr>
          <w:p>
            <w:pPr>
              <w:spacing w:after="0"/>
              <w:rPr>
                <w:sz w:val="24"/>
                <w:szCs w:val="24"/>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43</w:t>
            </w:r>
          </w:p>
        </w:tc>
        <w:tc>
          <w:tcPr>
            <w:tcW w:w="11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0"/>
        </w:trPr>
        <w:tc>
          <w:tcPr>
            <w:tcW w:w="46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8" w:right="3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i w:val="1"/>
                <w:iCs w:val="1"/>
                <w:color w:val="0000EE"/>
                <w:w w:val="99"/>
              </w:rPr>
              <w:t>Table of Contents</w:t>
            </w:r>
          </w:p>
        </w:tc>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54"/>
        </w:trPr>
        <w:tc>
          <w:tcPr>
            <w:tcW w:w="5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Three Months Ended June 30, 2022 and 2021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8"/>
        </w:trPr>
        <w:tc>
          <w:tcPr>
            <w:tcW w:w="59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Revenue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3"/>
        </w:trPr>
        <w:tc>
          <w:tcPr>
            <w:tcW w:w="9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5"/>
          </w:tcPr>
          <w:p>
            <w:pPr>
              <w:ind w:left="4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9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line="179" w:lineRule="exact"/>
              <w:rPr>
                <w:sz w:val="20"/>
                <w:szCs w:val="20"/>
                <w:color w:val="auto"/>
              </w:rPr>
            </w:pPr>
            <w:r>
              <w:rPr>
                <w:rFonts w:ascii="Times New Roman" w:cs="Times New Roman" w:eastAsia="Times New Roman" w:hAnsi="Times New Roman"/>
                <w:sz w:val="17"/>
                <w:szCs w:val="17"/>
                <w:b w:val="1"/>
                <w:bCs w:val="1"/>
                <w:color w:val="auto"/>
                <w:w w:val="99"/>
              </w:rPr>
              <w:t>Absolute</w:t>
            </w:r>
          </w:p>
        </w:tc>
      </w:tr>
      <w:tr>
        <w:trPr>
          <w:trHeight w:val="199"/>
        </w:trPr>
        <w:tc>
          <w:tcPr>
            <w:tcW w:w="94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Change</w:t>
            </w:r>
          </w:p>
        </w:tc>
      </w:tr>
      <w:tr>
        <w:trPr>
          <w:trHeight w:val="224"/>
        </w:trPr>
        <w:tc>
          <w:tcPr>
            <w:tcW w:w="9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2022 v 2021</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8"/>
              </w:rPr>
              <w:t>2022 v 2021</w:t>
            </w:r>
          </w:p>
        </w:tc>
        <w:tc>
          <w:tcPr>
            <w:tcW w:w="100" w:type="dxa"/>
            <w:vAlign w:val="bottom"/>
          </w:tcPr>
          <w:p>
            <w:pPr>
              <w:spacing w:after="0"/>
              <w:rPr>
                <w:sz w:val="19"/>
                <w:szCs w:val="19"/>
                <w:color w:val="auto"/>
              </w:rPr>
            </w:pPr>
          </w:p>
        </w:tc>
      </w:tr>
      <w:tr>
        <w:trPr>
          <w:trHeight w:val="199"/>
        </w:trPr>
        <w:tc>
          <w:tcPr>
            <w:tcW w:w="94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7"/>
                <w:szCs w:val="17"/>
                <w:i w:val="1"/>
                <w:iCs w:val="1"/>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i w:val="1"/>
                <w:iCs w:val="1"/>
                <w:color w:val="auto"/>
                <w:w w:val="77"/>
              </w:rPr>
              <w:t>thousands)</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D0D0D"/>
                <w:w w:val="70"/>
              </w:rPr>
              <w:t>$</w:t>
            </w:r>
          </w:p>
        </w:tc>
        <w:tc>
          <w:tcPr>
            <w:tcW w:w="122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0D0D0D"/>
              </w:rPr>
              <w:t>104,395</w:t>
            </w:r>
          </w:p>
        </w:tc>
        <w:tc>
          <w:tcPr>
            <w:tcW w:w="3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53,864</w:t>
            </w:r>
          </w:p>
        </w:tc>
        <w:tc>
          <w:tcPr>
            <w:tcW w:w="2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50,531</w:t>
            </w:r>
          </w:p>
        </w:tc>
      </w:tr>
      <w:tr>
        <w:trPr>
          <w:trHeight w:val="199"/>
        </w:trPr>
        <w:tc>
          <w:tcPr>
            <w:tcW w:w="94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r>
      <w:tr>
        <w:trPr>
          <w:trHeight w:val="199"/>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Single wafer cleaning, Tahoe and semi-critical cleaning equipment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D0D0D"/>
                <w:w w:val="70"/>
              </w:rPr>
              <w:t>$</w:t>
            </w:r>
          </w:p>
        </w:tc>
        <w:tc>
          <w:tcPr>
            <w:tcW w:w="122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0D0D0D"/>
              </w:rPr>
              <w:t>72,583</w:t>
            </w:r>
          </w:p>
        </w:tc>
        <w:tc>
          <w:tcPr>
            <w:tcW w:w="3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45,461</w:t>
            </w:r>
          </w:p>
        </w:tc>
        <w:tc>
          <w:tcPr>
            <w:tcW w:w="2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27,122</w:t>
            </w:r>
          </w:p>
        </w:tc>
      </w:tr>
      <w:tr>
        <w:trPr>
          <w:trHeight w:val="199"/>
        </w:trPr>
        <w:tc>
          <w:tcPr>
            <w:tcW w:w="5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ECP (front-end and packaging), furnace and other technologies</w:t>
            </w:r>
          </w:p>
        </w:tc>
        <w:tc>
          <w:tcPr>
            <w:tcW w:w="120" w:type="dxa"/>
            <w:vAlign w:val="bottom"/>
          </w:tcPr>
          <w:p>
            <w:pPr>
              <w:spacing w:after="0"/>
              <w:rPr>
                <w:sz w:val="17"/>
                <w:szCs w:val="17"/>
                <w:color w:val="auto"/>
              </w:rPr>
            </w:pPr>
          </w:p>
        </w:tc>
        <w:tc>
          <w:tcPr>
            <w:tcW w:w="122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0D0D0D"/>
              </w:rPr>
              <w:t>20,500</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NM</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20,500</w:t>
            </w:r>
          </w:p>
        </w:tc>
      </w:tr>
      <w:tr>
        <w:trPr>
          <w:trHeight w:val="199"/>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Advanced packaging (excluding ECP), services &amp; spares</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0D0D0D"/>
              </w:rPr>
              <w:t>11,312</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8,403</w:t>
            </w:r>
          </w:p>
        </w:tc>
        <w:tc>
          <w:tcPr>
            <w:tcW w:w="2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34.6%</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2,909</w:t>
            </w:r>
          </w:p>
        </w:tc>
      </w:tr>
      <w:tr>
        <w:trPr>
          <w:trHeight w:val="25"/>
        </w:trPr>
        <w:tc>
          <w:tcPr>
            <w:tcW w:w="940" w:type="dxa"/>
            <w:vAlign w:val="bottom"/>
            <w:shd w:val="clear" w:color="auto" w:fill="CCEEFF"/>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9"/>
        </w:trPr>
        <w:tc>
          <w:tcPr>
            <w:tcW w:w="5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Revenue by Product Category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0D0D0D"/>
                <w:w w:val="70"/>
              </w:rPr>
              <w:t>$</w:t>
            </w:r>
          </w:p>
        </w:tc>
        <w:tc>
          <w:tcPr>
            <w:tcW w:w="122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b w:val="1"/>
                <w:bCs w:val="1"/>
                <w:color w:val="0D0D0D"/>
              </w:rPr>
              <w:t>104,395</w:t>
            </w:r>
          </w:p>
        </w:tc>
        <w:tc>
          <w:tcPr>
            <w:tcW w:w="380" w:type="dxa"/>
            <w:vAlign w:val="bottom"/>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53,864</w:t>
            </w:r>
          </w:p>
        </w:tc>
        <w:tc>
          <w:tcPr>
            <w:tcW w:w="240" w:type="dxa"/>
            <w:vAlign w:val="bottom"/>
          </w:tcPr>
          <w:p>
            <w:pPr>
              <w:spacing w:after="0"/>
              <w:rPr>
                <w:sz w:val="17"/>
                <w:szCs w:val="17"/>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93.8%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50,531</w:t>
            </w:r>
          </w:p>
        </w:tc>
      </w:tr>
      <w:tr>
        <w:trPr>
          <w:trHeight w:val="20"/>
        </w:trPr>
        <w:tc>
          <w:tcPr>
            <w:tcW w:w="9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4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spacing w:after="0"/>
              <w:rPr>
                <w:sz w:val="16"/>
                <w:szCs w:val="16"/>
                <w:color w:val="auto"/>
              </w:rPr>
            </w:pPr>
          </w:p>
        </w:tc>
      </w:tr>
      <w:tr>
        <w:trPr>
          <w:trHeight w:val="199"/>
        </w:trPr>
        <w:tc>
          <w:tcPr>
            <w:tcW w:w="5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Wet cleaning and other front-end processing tools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0D0D0D"/>
                <w:w w:val="70"/>
              </w:rPr>
              <w:t>$</w:t>
            </w:r>
          </w:p>
        </w:tc>
        <w:tc>
          <w:tcPr>
            <w:tcW w:w="122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0D0D0D"/>
              </w:rPr>
              <w:t>79,553</w:t>
            </w:r>
          </w:p>
        </w:tc>
        <w:tc>
          <w:tcPr>
            <w:tcW w:w="38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45,974</w:t>
            </w:r>
          </w:p>
        </w:tc>
        <w:tc>
          <w:tcPr>
            <w:tcW w:w="24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73.0%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33,579</w:t>
            </w:r>
          </w:p>
        </w:tc>
      </w:tr>
      <w:tr>
        <w:trPr>
          <w:trHeight w:val="199"/>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Advanced packaging, other processing tools, services and spares</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0D0D0D"/>
              </w:rPr>
              <w:t>24,842</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7,890</w:t>
            </w:r>
          </w:p>
        </w:tc>
        <w:tc>
          <w:tcPr>
            <w:tcW w:w="2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214.9%</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16,952</w:t>
            </w:r>
          </w:p>
        </w:tc>
      </w:tr>
      <w:tr>
        <w:trPr>
          <w:trHeight w:val="25"/>
        </w:trPr>
        <w:tc>
          <w:tcPr>
            <w:tcW w:w="940" w:type="dxa"/>
            <w:vAlign w:val="bottom"/>
            <w:shd w:val="clear" w:color="auto" w:fill="CCEEFF"/>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9"/>
        </w:trPr>
        <w:tc>
          <w:tcPr>
            <w:tcW w:w="5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Revenue Front and Back-End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0D0D0D"/>
                <w:w w:val="70"/>
              </w:rPr>
              <w:t>$</w:t>
            </w:r>
          </w:p>
        </w:tc>
        <w:tc>
          <w:tcPr>
            <w:tcW w:w="122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b w:val="1"/>
                <w:bCs w:val="1"/>
                <w:color w:val="0D0D0D"/>
              </w:rPr>
              <w:t>104,395</w:t>
            </w:r>
          </w:p>
        </w:tc>
        <w:tc>
          <w:tcPr>
            <w:tcW w:w="380" w:type="dxa"/>
            <w:vAlign w:val="bottom"/>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53,864</w:t>
            </w:r>
          </w:p>
        </w:tc>
        <w:tc>
          <w:tcPr>
            <w:tcW w:w="240" w:type="dxa"/>
            <w:vAlign w:val="bottom"/>
          </w:tcPr>
          <w:p>
            <w:pPr>
              <w:spacing w:after="0"/>
              <w:rPr>
                <w:sz w:val="17"/>
                <w:szCs w:val="17"/>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93.8%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50,531</w:t>
            </w:r>
          </w:p>
        </w:tc>
      </w:tr>
      <w:tr>
        <w:trPr>
          <w:trHeight w:val="25"/>
        </w:trPr>
        <w:tc>
          <w:tcPr>
            <w:tcW w:w="94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Revenue increased by $50.5 million in the three months ended June 30, 2022 as compared to the same period in 2021. The increase was driven by higher demand from our current customers, incremental contribution from new customers, growth from our cleaning and advanced packaging products, incremental contribution from newer ECP products, and the shipment of finished tools that could not be shipped in the prior quarter due to COVID-19-related restrictions on our Shanghai operations which contributed $12.9 million during the period. The increased demand from China based customers is due in part to their increased investments in production capacity amidst global shortages of semiconductor components.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Cost of Revenue and Gross Margin</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03"/>
        </w:trPr>
        <w:tc>
          <w:tcPr>
            <w:tcW w:w="4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6"/>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w w:val="98"/>
              </w:rPr>
              <w:t>Three Months Ended June 30,</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79"/>
        </w:trPr>
        <w:tc>
          <w:tcPr>
            <w:tcW w:w="40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300"/>
              <w:spacing w:after="0" w:line="179" w:lineRule="exact"/>
              <w:rPr>
                <w:sz w:val="20"/>
                <w:szCs w:val="20"/>
                <w:color w:val="auto"/>
              </w:rPr>
            </w:pPr>
            <w:r>
              <w:rPr>
                <w:rFonts w:ascii="Times New Roman" w:cs="Times New Roman" w:eastAsia="Times New Roman" w:hAnsi="Times New Roman"/>
                <w:sz w:val="17"/>
                <w:szCs w:val="17"/>
                <w:b w:val="1"/>
                <w:bCs w:val="1"/>
                <w:color w:val="auto"/>
                <w:w w:val="96"/>
              </w:rPr>
              <w:t>Absolute</w:t>
            </w:r>
          </w:p>
        </w:tc>
      </w:tr>
      <w:tr>
        <w:trPr>
          <w:trHeight w:val="199"/>
        </w:trPr>
        <w:tc>
          <w:tcPr>
            <w:tcW w:w="4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 Change</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6"/>
              </w:rPr>
              <w:t>Change</w:t>
            </w:r>
          </w:p>
        </w:tc>
      </w:tr>
      <w:tr>
        <w:trPr>
          <w:trHeight w:val="224"/>
        </w:trPr>
        <w:tc>
          <w:tcPr>
            <w:tcW w:w="40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26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2022 v 2021</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6"/>
              </w:rPr>
              <w:t>2022 v 2021</w:t>
            </w:r>
          </w:p>
        </w:tc>
        <w:tc>
          <w:tcPr>
            <w:tcW w:w="200" w:type="dxa"/>
            <w:vAlign w:val="bottom"/>
          </w:tcPr>
          <w:p>
            <w:pPr>
              <w:spacing w:after="0"/>
              <w:rPr>
                <w:sz w:val="19"/>
                <w:szCs w:val="19"/>
                <w:color w:val="auto"/>
              </w:rPr>
            </w:pPr>
          </w:p>
        </w:tc>
      </w:tr>
      <w:tr>
        <w:trPr>
          <w:trHeight w:val="199"/>
        </w:trPr>
        <w:tc>
          <w:tcPr>
            <w:tcW w:w="4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7"/>
                <w:szCs w:val="17"/>
                <w:i w:val="1"/>
                <w:iCs w:val="1"/>
                <w:color w:val="auto"/>
              </w:rPr>
              <w:t>(in</w:t>
            </w:r>
          </w:p>
        </w:tc>
        <w:tc>
          <w:tcPr>
            <w:tcW w:w="62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i w:val="1"/>
                <w:iCs w:val="1"/>
                <w:color w:val="auto"/>
                <w:w w:val="80"/>
              </w:rPr>
              <w:t>thousands)</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1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60,238</w:t>
            </w:r>
          </w:p>
        </w:tc>
        <w:tc>
          <w:tcPr>
            <w:tcW w:w="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32,184</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87.2%  $</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28,054</w:t>
            </w:r>
          </w:p>
        </w:tc>
      </w:tr>
      <w:tr>
        <w:trPr>
          <w:trHeight w:val="199"/>
        </w:trPr>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44,157</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21,680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103.7%</w:t>
            </w:r>
          </w:p>
        </w:tc>
        <w:tc>
          <w:tcPr>
            <w:tcW w:w="1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22,477</w:t>
            </w:r>
          </w:p>
        </w:tc>
      </w:tr>
      <w:tr>
        <w:trPr>
          <w:trHeight w:val="19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margin</w:t>
            </w:r>
          </w:p>
        </w:tc>
        <w:tc>
          <w:tcPr>
            <w:tcW w:w="1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40.2%</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1.95</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r>
    </w:tbl>
    <w:p>
      <w:pPr>
        <w:spacing w:after="0" w:line="1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Cost of revenue increased $28.1 million and gross profit increased $22.5 million in the three months ended June 30, 2022 as compared to the corresponding period in 2021 due to the increased sales volume, and a 195 basis point increase in gross margin that reflected differences in product mix.</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Gross margin may vary from period to period, primarily related to the level of utilization and the timing and mix of purchase orders. We expect gross margin to be between 40.0% and 45.0% for the foreseeable future, with direct manufacturing costs approximating 50.0% to 55.0% of revenue and overhead costs totaling 5.0% of revenue.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49"/>
        </w:trPr>
        <w:tc>
          <w:tcPr>
            <w:tcW w:w="9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i w:val="1"/>
                <w:iCs w:val="1"/>
                <w:color w:val="0000EE"/>
                <w:w w:val="99"/>
              </w:rPr>
              <w:t>Table of Contents</w:t>
            </w:r>
          </w:p>
        </w:tc>
        <w:tc>
          <w:tcPr>
            <w:tcW w:w="5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54"/>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Operating Expenses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3"/>
        </w:trPr>
        <w:tc>
          <w:tcPr>
            <w:tcW w:w="9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9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line="179" w:lineRule="exact"/>
              <w:rPr>
                <w:sz w:val="20"/>
                <w:szCs w:val="20"/>
                <w:color w:val="auto"/>
              </w:rPr>
            </w:pPr>
            <w:r>
              <w:rPr>
                <w:rFonts w:ascii="Times New Roman" w:cs="Times New Roman" w:eastAsia="Times New Roman" w:hAnsi="Times New Roman"/>
                <w:sz w:val="17"/>
                <w:szCs w:val="17"/>
                <w:b w:val="1"/>
                <w:bCs w:val="1"/>
                <w:color w:val="auto"/>
                <w:w w:val="99"/>
              </w:rPr>
              <w:t>Absolute</w:t>
            </w:r>
          </w:p>
        </w:tc>
      </w:tr>
      <w:tr>
        <w:trPr>
          <w:trHeight w:val="199"/>
        </w:trPr>
        <w:tc>
          <w:tcPr>
            <w:tcW w:w="9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 Change</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Change</w:t>
            </w:r>
          </w:p>
        </w:tc>
      </w:tr>
      <w:tr>
        <w:trPr>
          <w:trHeight w:val="224"/>
        </w:trPr>
        <w:tc>
          <w:tcPr>
            <w:tcW w:w="9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2022 v 2021</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8"/>
              </w:rPr>
              <w:t>2022 v 2021</w:t>
            </w:r>
          </w:p>
        </w:tc>
        <w:tc>
          <w:tcPr>
            <w:tcW w:w="100" w:type="dxa"/>
            <w:vAlign w:val="bottom"/>
          </w:tcPr>
          <w:p>
            <w:pPr>
              <w:spacing w:after="0"/>
              <w:rPr>
                <w:sz w:val="19"/>
                <w:szCs w:val="19"/>
                <w:color w:val="auto"/>
              </w:rPr>
            </w:pPr>
          </w:p>
        </w:tc>
      </w:tr>
      <w:tr>
        <w:trPr>
          <w:trHeight w:val="199"/>
        </w:trPr>
        <w:tc>
          <w:tcPr>
            <w:tcW w:w="9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17"/>
              <w:spacing w:after="0"/>
              <w:rPr>
                <w:sz w:val="20"/>
                <w:szCs w:val="20"/>
                <w:color w:val="auto"/>
              </w:rPr>
            </w:pPr>
            <w:r>
              <w:rPr>
                <w:rFonts w:ascii="Times New Roman" w:cs="Times New Roman" w:eastAsia="Times New Roman" w:hAnsi="Times New Roman"/>
                <w:sz w:val="17"/>
                <w:szCs w:val="17"/>
                <w:i w:val="1"/>
                <w:iCs w:val="1"/>
                <w:color w:val="auto"/>
              </w:rPr>
              <w:t>(in</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w w:val="74"/>
              </w:rPr>
              <w:t>thousands)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and marketing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7,664</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5,789</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1,875</w:t>
            </w:r>
          </w:p>
        </w:tc>
      </w:tr>
      <w:tr>
        <w:trPr>
          <w:trHeight w:val="199"/>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Research and development expense</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11,367</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7,933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43.3%</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3,434</w:t>
            </w:r>
          </w:p>
        </w:tc>
      </w:tr>
      <w:tr>
        <w:trPr>
          <w:trHeight w:val="199"/>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 expense</w:t>
            </w:r>
          </w:p>
        </w:tc>
        <w:tc>
          <w:tcPr>
            <w:tcW w:w="14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5,091</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3,627</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40.4%</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1,464</w:t>
            </w:r>
          </w:p>
        </w:tc>
      </w:tr>
      <w:tr>
        <w:trPr>
          <w:trHeight w:val="25"/>
        </w:trPr>
        <w:tc>
          <w:tcPr>
            <w:tcW w:w="94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9"/>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24,122</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17,349</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39.0%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6,773</w:t>
            </w:r>
          </w:p>
        </w:tc>
      </w:tr>
      <w:tr>
        <w:trPr>
          <w:trHeight w:val="25"/>
        </w:trPr>
        <w:tc>
          <w:tcPr>
            <w:tcW w:w="9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Sales and marketing expense </w:t>
      </w:r>
      <w:r>
        <w:rPr>
          <w:rFonts w:ascii="Times New Roman" w:cs="Times New Roman" w:eastAsia="Times New Roman" w:hAnsi="Times New Roman"/>
          <w:sz w:val="17"/>
          <w:szCs w:val="17"/>
          <w:color w:val="auto"/>
        </w:rPr>
        <w:t>increased by $1.9 million in the three months ended June 30, 2022 as compared to the corresponding period in 2021, and reflected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increases of $0.8 million of personnel costs related to additional resources to our global sales and services teams to scale our business in mainland China and the United States, an increase of $0.9 million due to supplies and spare parts, commissions and travel and entertainment costs, an increase of $0.1 million in stock-based compensation, and an increase of $0.1 million in professional services.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Sales and marketing expense consists primarily of:</w:t>
      </w:r>
    </w:p>
    <w:p>
      <w:pPr>
        <w:spacing w:after="0" w:line="203" w:lineRule="exact"/>
        <w:rPr>
          <w:sz w:val="20"/>
          <w:szCs w:val="20"/>
          <w:color w:val="auto"/>
        </w:rPr>
      </w:pPr>
    </w:p>
    <w:p>
      <w:pPr>
        <w:ind w:left="780" w:hanging="444"/>
        <w:spacing w:after="0" w:line="254" w:lineRule="auto"/>
        <w:tabs>
          <w:tab w:leader="none" w:pos="7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of personnel associated with pre- and after-sale services and support and other sales and marketing activities, including stock-based compensation;</w:t>
      </w:r>
    </w:p>
    <w:p>
      <w:pPr>
        <w:spacing w:after="0" w:line="1" w:lineRule="exact"/>
        <w:rPr>
          <w:rFonts w:ascii="Times New Roman" w:cs="Times New Roman" w:eastAsia="Times New Roman" w:hAnsi="Times New Roman"/>
          <w:sz w:val="17"/>
          <w:szCs w:val="17"/>
          <w:color w:val="auto"/>
        </w:rPr>
      </w:pPr>
    </w:p>
    <w:p>
      <w:pPr>
        <w:ind w:left="780" w:hanging="444"/>
        <w:spacing w:after="0"/>
        <w:tabs>
          <w:tab w:leader="none" w:pos="7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commissions paid to independent sales representatives;</w:t>
      </w:r>
    </w:p>
    <w:p>
      <w:pPr>
        <w:spacing w:after="0" w:line="3" w:lineRule="exact"/>
        <w:rPr>
          <w:rFonts w:ascii="Times New Roman" w:cs="Times New Roman" w:eastAsia="Times New Roman" w:hAnsi="Times New Roman"/>
          <w:sz w:val="17"/>
          <w:szCs w:val="17"/>
          <w:color w:val="auto"/>
        </w:rPr>
      </w:pPr>
    </w:p>
    <w:p>
      <w:pPr>
        <w:ind w:left="780" w:hanging="444"/>
        <w:spacing w:after="0"/>
        <w:tabs>
          <w:tab w:leader="none" w:pos="7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paid to sales consultants;</w:t>
      </w:r>
    </w:p>
    <w:p>
      <w:pPr>
        <w:spacing w:after="0" w:line="3" w:lineRule="exact"/>
        <w:rPr>
          <w:rFonts w:ascii="Times New Roman" w:cs="Times New Roman" w:eastAsia="Times New Roman" w:hAnsi="Times New Roman"/>
          <w:sz w:val="17"/>
          <w:szCs w:val="17"/>
          <w:color w:val="auto"/>
        </w:rPr>
      </w:pPr>
    </w:p>
    <w:p>
      <w:pPr>
        <w:ind w:left="780" w:hanging="444"/>
        <w:spacing w:after="0"/>
        <w:tabs>
          <w:tab w:leader="none" w:pos="7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of trade shows;</w:t>
      </w:r>
    </w:p>
    <w:p>
      <w:pPr>
        <w:spacing w:after="0" w:line="3" w:lineRule="exact"/>
        <w:rPr>
          <w:rFonts w:ascii="Times New Roman" w:cs="Times New Roman" w:eastAsia="Times New Roman" w:hAnsi="Times New Roman"/>
          <w:sz w:val="17"/>
          <w:szCs w:val="17"/>
          <w:color w:val="auto"/>
        </w:rPr>
      </w:pPr>
    </w:p>
    <w:p>
      <w:pPr>
        <w:ind w:left="780" w:hanging="444"/>
        <w:spacing w:after="0"/>
        <w:tabs>
          <w:tab w:leader="none" w:pos="7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tools built for promotional purposes for current or potential new customers;</w:t>
      </w:r>
    </w:p>
    <w:p>
      <w:pPr>
        <w:spacing w:after="0" w:line="3" w:lineRule="exact"/>
        <w:rPr>
          <w:rFonts w:ascii="Times New Roman" w:cs="Times New Roman" w:eastAsia="Times New Roman" w:hAnsi="Times New Roman"/>
          <w:sz w:val="17"/>
          <w:szCs w:val="17"/>
          <w:color w:val="auto"/>
        </w:rPr>
      </w:pPr>
    </w:p>
    <w:p>
      <w:pPr>
        <w:ind w:left="780" w:hanging="444"/>
        <w:spacing w:after="0"/>
        <w:tabs>
          <w:tab w:leader="none" w:pos="7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travel and entertainment; and</w:t>
      </w:r>
    </w:p>
    <w:p>
      <w:pPr>
        <w:spacing w:after="0" w:line="3" w:lineRule="exact"/>
        <w:rPr>
          <w:rFonts w:ascii="Times New Roman" w:cs="Times New Roman" w:eastAsia="Times New Roman" w:hAnsi="Times New Roman"/>
          <w:sz w:val="17"/>
          <w:szCs w:val="17"/>
          <w:color w:val="auto"/>
        </w:rPr>
      </w:pPr>
    </w:p>
    <w:p>
      <w:pPr>
        <w:ind w:left="780" w:hanging="444"/>
        <w:spacing w:after="0"/>
        <w:tabs>
          <w:tab w:leader="none" w:pos="7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allocated overhead for rent and utilities.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expense </w:t>
      </w:r>
      <w:r>
        <w:rPr>
          <w:rFonts w:ascii="Times New Roman" w:cs="Times New Roman" w:eastAsia="Times New Roman" w:hAnsi="Times New Roman"/>
          <w:sz w:val="17"/>
          <w:szCs w:val="17"/>
          <w:color w:val="auto"/>
        </w:rPr>
        <w:t>increased by $3.4 million in the three months ended June 30, 2022 as compared to the corresponding period in 2021, reflecting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 of $3.0 million in personnel costs due to the additional of employees and higher salaries to support new product development, and an increase of $0.4 million in stock based compensation.</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Research and development expense represented 10.9% and 14.7% of our revenue in the three months ended June 30, 2022 and 2021, respectively. Without reduction by grant amounts received from PRC governmental authorities (see “—Government Research and Development Funding”), gross research and development expense totaled $11.4 million, or 10.9% of total revenue, in the three months ended June 30, 2022 as compared to $9.4 million, or 17.3% of revenue, in the corresponding period in 2021. Research and development expense relates to the development of new products and processes and encompasses our research, development and customer support activities. Research and development expense consists primarily of:</w:t>
      </w:r>
    </w:p>
    <w:p>
      <w:pPr>
        <w:spacing w:after="0" w:line="176" w:lineRule="exact"/>
        <w:rPr>
          <w:sz w:val="20"/>
          <w:szCs w:val="20"/>
          <w:color w:val="auto"/>
        </w:rPr>
      </w:pPr>
    </w:p>
    <w:p>
      <w:pPr>
        <w:ind w:left="780" w:hanging="444"/>
        <w:spacing w:after="0"/>
        <w:tabs>
          <w:tab w:leader="none" w:pos="7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of personnel associated with our research and development activities, including stock based compensation;</w:t>
      </w:r>
    </w:p>
    <w:p>
      <w:pPr>
        <w:spacing w:after="0" w:line="20" w:lineRule="exact"/>
        <w:rPr>
          <w:rFonts w:ascii="Times New Roman" w:cs="Times New Roman" w:eastAsia="Times New Roman" w:hAnsi="Times New Roman"/>
          <w:sz w:val="17"/>
          <w:szCs w:val="17"/>
          <w:color w:val="auto"/>
        </w:rPr>
      </w:pPr>
    </w:p>
    <w:p>
      <w:pPr>
        <w:ind w:left="780" w:hanging="444"/>
        <w:spacing w:after="0"/>
        <w:tabs>
          <w:tab w:leader="none" w:pos="7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components and other research and development supplies;</w:t>
      </w:r>
    </w:p>
    <w:p>
      <w:pPr>
        <w:spacing w:after="0" w:line="3" w:lineRule="exact"/>
        <w:rPr>
          <w:rFonts w:ascii="Times New Roman" w:cs="Times New Roman" w:eastAsia="Times New Roman" w:hAnsi="Times New Roman"/>
          <w:sz w:val="17"/>
          <w:szCs w:val="17"/>
          <w:color w:val="auto"/>
        </w:rPr>
      </w:pPr>
    </w:p>
    <w:p>
      <w:pPr>
        <w:ind w:left="780" w:hanging="444"/>
        <w:spacing w:after="0"/>
        <w:tabs>
          <w:tab w:leader="none" w:pos="7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tools built for product development purposes;</w:t>
      </w:r>
    </w:p>
    <w:p>
      <w:pPr>
        <w:spacing w:after="0" w:line="3" w:lineRule="exact"/>
        <w:rPr>
          <w:rFonts w:ascii="Times New Roman" w:cs="Times New Roman" w:eastAsia="Times New Roman" w:hAnsi="Times New Roman"/>
          <w:sz w:val="17"/>
          <w:szCs w:val="17"/>
          <w:color w:val="auto"/>
        </w:rPr>
      </w:pPr>
    </w:p>
    <w:p>
      <w:pPr>
        <w:ind w:left="780" w:hanging="444"/>
        <w:spacing w:after="0"/>
        <w:tabs>
          <w:tab w:leader="none" w:pos="7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travel expense associated with the research of technical requirements for product development purposes and testing of concepts under consideration;</w:t>
      </w:r>
    </w:p>
    <w:p>
      <w:pPr>
        <w:spacing w:after="0" w:line="3" w:lineRule="exact"/>
        <w:rPr>
          <w:rFonts w:ascii="Times New Roman" w:cs="Times New Roman" w:eastAsia="Times New Roman" w:hAnsi="Times New Roman"/>
          <w:sz w:val="17"/>
          <w:szCs w:val="17"/>
          <w:color w:val="auto"/>
        </w:rPr>
      </w:pPr>
    </w:p>
    <w:p>
      <w:pPr>
        <w:ind w:left="780" w:hanging="444"/>
        <w:spacing w:after="0"/>
        <w:tabs>
          <w:tab w:leader="none" w:pos="7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amortization of costs of software used for research and development purposes; and</w:t>
      </w:r>
    </w:p>
    <w:p>
      <w:pPr>
        <w:spacing w:after="0" w:line="3" w:lineRule="exact"/>
        <w:rPr>
          <w:rFonts w:ascii="Times New Roman" w:cs="Times New Roman" w:eastAsia="Times New Roman" w:hAnsi="Times New Roman"/>
          <w:sz w:val="17"/>
          <w:szCs w:val="17"/>
          <w:color w:val="auto"/>
        </w:rPr>
      </w:pPr>
    </w:p>
    <w:p>
      <w:pPr>
        <w:ind w:left="780" w:hanging="444"/>
        <w:spacing w:after="0"/>
        <w:tabs>
          <w:tab w:leader="none" w:pos="7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allocated overhead for rent and utilities.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3"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expense </w:t>
      </w:r>
      <w:r>
        <w:rPr>
          <w:rFonts w:ascii="Times New Roman" w:cs="Times New Roman" w:eastAsia="Times New Roman" w:hAnsi="Times New Roman"/>
          <w:sz w:val="17"/>
          <w:szCs w:val="17"/>
          <w:color w:val="auto"/>
        </w:rPr>
        <w:t>increased $1.5 million in the three months ended June 30, 2022 as compared to the corresponding period in 2021. General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administrative expense consists primarily of:</w:t>
      </w:r>
    </w:p>
    <w:p>
      <w:pPr>
        <w:spacing w:after="0" w:line="158" w:lineRule="exact"/>
        <w:rPr>
          <w:sz w:val="20"/>
          <w:szCs w:val="20"/>
          <w:color w:val="auto"/>
        </w:rPr>
      </w:pPr>
    </w:p>
    <w:p>
      <w:pPr>
        <w:ind w:left="780" w:hanging="444"/>
        <w:spacing w:after="0" w:line="254" w:lineRule="auto"/>
        <w:tabs>
          <w:tab w:leader="none" w:pos="7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of executive, accounting and finance, human resources, information technology, and other administrative personnel, including stock-based compensation;</w:t>
      </w:r>
    </w:p>
    <w:p>
      <w:pPr>
        <w:spacing w:after="0" w:line="1" w:lineRule="exact"/>
        <w:rPr>
          <w:rFonts w:ascii="Times New Roman" w:cs="Times New Roman" w:eastAsia="Times New Roman" w:hAnsi="Times New Roman"/>
          <w:sz w:val="17"/>
          <w:szCs w:val="17"/>
          <w:color w:val="auto"/>
        </w:rPr>
      </w:pPr>
    </w:p>
    <w:p>
      <w:pPr>
        <w:ind w:left="780" w:hanging="444"/>
        <w:spacing w:after="0"/>
        <w:tabs>
          <w:tab w:leader="none" w:pos="7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professional fees, including accounting and corporate legal and defense fees;</w:t>
      </w:r>
    </w:p>
    <w:p>
      <w:pPr>
        <w:spacing w:after="0" w:line="3" w:lineRule="exact"/>
        <w:rPr>
          <w:rFonts w:ascii="Times New Roman" w:cs="Times New Roman" w:eastAsia="Times New Roman" w:hAnsi="Times New Roman"/>
          <w:sz w:val="17"/>
          <w:szCs w:val="17"/>
          <w:color w:val="auto"/>
        </w:rPr>
      </w:pPr>
    </w:p>
    <w:p>
      <w:pPr>
        <w:ind w:left="780" w:hanging="444"/>
        <w:spacing w:after="0"/>
        <w:tabs>
          <w:tab w:leader="none" w:pos="7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corporate expenses including insurance; and</w:t>
      </w:r>
    </w:p>
    <w:p>
      <w:pPr>
        <w:spacing w:after="0" w:line="3" w:lineRule="exact"/>
        <w:rPr>
          <w:rFonts w:ascii="Times New Roman" w:cs="Times New Roman" w:eastAsia="Times New Roman" w:hAnsi="Times New Roman"/>
          <w:sz w:val="17"/>
          <w:szCs w:val="17"/>
          <w:color w:val="auto"/>
        </w:rPr>
      </w:pPr>
    </w:p>
    <w:p>
      <w:pPr>
        <w:ind w:left="780" w:hanging="444"/>
        <w:spacing w:after="0"/>
        <w:tabs>
          <w:tab w:leader="none" w:pos="7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allocated overhead for rent and utilities.</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expect that, for the foreseeable future, general and administrative expenses will increase in dollars, as we incur additional costs associated with growing our business, ACM Research operating a public company in the United States and ACM Shanghai operating as a public company in the PRC.</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Income from Operations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3"/>
        </w:trPr>
        <w:tc>
          <w:tcPr>
            <w:tcW w:w="5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6"/>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59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line="179" w:lineRule="exact"/>
              <w:rPr>
                <w:sz w:val="20"/>
                <w:szCs w:val="20"/>
                <w:color w:val="auto"/>
              </w:rPr>
            </w:pPr>
            <w:r>
              <w:rPr>
                <w:rFonts w:ascii="Times New Roman" w:cs="Times New Roman" w:eastAsia="Times New Roman" w:hAnsi="Times New Roman"/>
                <w:sz w:val="17"/>
                <w:szCs w:val="17"/>
                <w:b w:val="1"/>
                <w:bCs w:val="1"/>
                <w:color w:val="auto"/>
                <w:w w:val="99"/>
              </w:rPr>
              <w:t>Absolute</w:t>
            </w:r>
          </w:p>
        </w:tc>
      </w:tr>
      <w:tr>
        <w:trPr>
          <w:trHeight w:val="199"/>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3"/>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 Change</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Change</w:t>
            </w:r>
          </w:p>
        </w:tc>
      </w:tr>
      <w:tr>
        <w:trPr>
          <w:trHeight w:val="224"/>
        </w:trPr>
        <w:tc>
          <w:tcPr>
            <w:tcW w:w="5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2022 v 2021</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8"/>
              </w:rPr>
              <w:t>2022 v 2021</w:t>
            </w:r>
          </w:p>
        </w:tc>
        <w:tc>
          <w:tcPr>
            <w:tcW w:w="100" w:type="dxa"/>
            <w:vAlign w:val="bottom"/>
          </w:tcPr>
          <w:p>
            <w:pPr>
              <w:spacing w:after="0"/>
              <w:rPr>
                <w:sz w:val="19"/>
                <w:szCs w:val="19"/>
                <w:color w:val="auto"/>
              </w:rPr>
            </w:pPr>
          </w:p>
        </w:tc>
      </w:tr>
      <w:tr>
        <w:trPr>
          <w:trHeight w:val="199"/>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97"/>
              <w:spacing w:after="0"/>
              <w:rPr>
                <w:sz w:val="20"/>
                <w:szCs w:val="20"/>
                <w:color w:val="auto"/>
              </w:rPr>
            </w:pPr>
            <w:r>
              <w:rPr>
                <w:rFonts w:ascii="Times New Roman" w:cs="Times New Roman" w:eastAsia="Times New Roman" w:hAnsi="Times New Roman"/>
                <w:sz w:val="17"/>
                <w:szCs w:val="17"/>
                <w:i w:val="1"/>
                <w:iCs w:val="1"/>
                <w:color w:val="auto"/>
              </w:rPr>
              <w:t>(in</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w w:val="77"/>
              </w:rPr>
              <w:t>thousands)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from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20,035</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4,331</w:t>
            </w:r>
          </w:p>
        </w:tc>
        <w:tc>
          <w:tcPr>
            <w:tcW w:w="1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362.6%  $</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15,704</w:t>
            </w:r>
          </w:p>
        </w:tc>
      </w:tr>
    </w:tbl>
    <w:p>
      <w:pPr>
        <w:spacing w:after="0" w:line="1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Income from operations increased by $15.7 million during the three months ended June 30, 2022 as compared to the prior year period, due to increased revenue and gross profit, partly offset by an increase in operating expenses in absolute dollars and as a percentage of total revenue.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Interest income (expense), net, Other Income (expense), net</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3"/>
        </w:trPr>
        <w:tc>
          <w:tcPr>
            <w:tcW w:w="5900" w:type="dxa"/>
            <w:vAlign w:val="bottom"/>
          </w:tcPr>
          <w:p>
            <w:pPr>
              <w:spacing w:after="0"/>
              <w:rPr>
                <w:sz w:val="24"/>
                <w:szCs w:val="24"/>
                <w:color w:val="auto"/>
              </w:rPr>
            </w:pPr>
          </w:p>
        </w:tc>
        <w:tc>
          <w:tcPr>
            <w:tcW w:w="2680" w:type="dxa"/>
            <w:vAlign w:val="bottom"/>
            <w:gridSpan w:val="7"/>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59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line="179" w:lineRule="exact"/>
              <w:rPr>
                <w:sz w:val="20"/>
                <w:szCs w:val="20"/>
                <w:color w:val="auto"/>
              </w:rPr>
            </w:pPr>
            <w:r>
              <w:rPr>
                <w:rFonts w:ascii="Times New Roman" w:cs="Times New Roman" w:eastAsia="Times New Roman" w:hAnsi="Times New Roman"/>
                <w:sz w:val="17"/>
                <w:szCs w:val="17"/>
                <w:b w:val="1"/>
                <w:bCs w:val="1"/>
                <w:color w:val="auto"/>
                <w:w w:val="99"/>
              </w:rPr>
              <w:t>Absolute</w:t>
            </w:r>
          </w:p>
        </w:tc>
      </w:tr>
      <w:tr>
        <w:trPr>
          <w:trHeight w:val="199"/>
        </w:trPr>
        <w:tc>
          <w:tcPr>
            <w:tcW w:w="5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6"/>
              </w:rPr>
              <w:t>% Change</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Change</w:t>
            </w:r>
          </w:p>
        </w:tc>
      </w:tr>
      <w:tr>
        <w:trPr>
          <w:trHeight w:val="224"/>
        </w:trPr>
        <w:tc>
          <w:tcPr>
            <w:tcW w:w="59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3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2022 v 2021</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8"/>
              </w:rPr>
              <w:t>2022 v 2021</w:t>
            </w:r>
          </w:p>
        </w:tc>
        <w:tc>
          <w:tcPr>
            <w:tcW w:w="100" w:type="dxa"/>
            <w:vAlign w:val="bottom"/>
          </w:tcPr>
          <w:p>
            <w:pPr>
              <w:spacing w:after="0"/>
              <w:rPr>
                <w:sz w:val="19"/>
                <w:szCs w:val="19"/>
                <w:color w:val="auto"/>
              </w:rPr>
            </w:pPr>
          </w:p>
        </w:tc>
      </w:tr>
      <w:tr>
        <w:trPr>
          <w:trHeight w:val="199"/>
        </w:trPr>
        <w:tc>
          <w:tcPr>
            <w:tcW w:w="5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jc w:val="right"/>
              <w:ind w:right="97"/>
              <w:spacing w:after="0"/>
              <w:rPr>
                <w:sz w:val="20"/>
                <w:szCs w:val="20"/>
                <w:color w:val="auto"/>
              </w:rPr>
            </w:pPr>
            <w:r>
              <w:rPr>
                <w:rFonts w:ascii="Times New Roman" w:cs="Times New Roman" w:eastAsia="Times New Roman" w:hAnsi="Times New Roman"/>
                <w:sz w:val="17"/>
                <w:szCs w:val="17"/>
                <w:i w:val="1"/>
                <w:iCs w:val="1"/>
                <w:color w:val="auto"/>
                <w:w w:val="95"/>
              </w:rPr>
              <w:t>(in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7"/>
                <w:szCs w:val="17"/>
                <w:i w:val="1"/>
                <w:iCs w:val="1"/>
                <w:color w:val="auto"/>
                <w:w w:val="74"/>
              </w:rPr>
              <w:t>thousands)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74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2,144</w:t>
            </w:r>
          </w:p>
        </w:tc>
        <w:tc>
          <w:tcPr>
            <w:tcW w:w="1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31</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6816.1%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2,113</w:t>
            </w:r>
          </w:p>
        </w:tc>
      </w:tr>
      <w:tr>
        <w:trPr>
          <w:trHeight w:val="199"/>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74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(194)</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57.7%</w:t>
            </w: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(112)</w:t>
            </w:r>
          </w:p>
        </w:tc>
      </w:tr>
      <w:tr>
        <w:trPr>
          <w:trHeight w:val="25"/>
        </w:trPr>
        <w:tc>
          <w:tcPr>
            <w:tcW w:w="59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 (expense), net</w:t>
            </w:r>
          </w:p>
        </w:tc>
        <w:tc>
          <w:tcPr>
            <w:tcW w:w="74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1,838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(1227.6)%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2,001</w:t>
            </w:r>
          </w:p>
        </w:tc>
        <w:tc>
          <w:tcPr>
            <w:tcW w:w="100" w:type="dxa"/>
            <w:vAlign w:val="bottom"/>
            <w:shd w:val="clear" w:color="auto" w:fill="CCEEFF"/>
          </w:tcPr>
          <w:p>
            <w:pPr>
              <w:spacing w:after="0"/>
              <w:rPr>
                <w:sz w:val="20"/>
                <w:szCs w:val="20"/>
                <w:color w:val="auto"/>
              </w:rPr>
            </w:pPr>
          </w:p>
        </w:tc>
      </w:tr>
      <w:tr>
        <w:trPr>
          <w:trHeight w:val="189"/>
        </w:trPr>
        <w:tc>
          <w:tcPr>
            <w:tcW w:w="590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9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 net</w:t>
            </w:r>
          </w:p>
        </w:tc>
        <w:tc>
          <w:tcPr>
            <w:tcW w:w="74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2,505</w:t>
            </w:r>
          </w:p>
        </w:tc>
        <w:tc>
          <w:tcPr>
            <w:tcW w:w="1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(897)</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(379.3)%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3,402</w:t>
            </w:r>
          </w:p>
        </w:tc>
      </w:tr>
    </w:tbl>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Interest income (expense), net consists of interest earned on our cash and equivalents and restricted cash accounts, offset by interest expense incurred from outstanding short-term borrowings. We realized $1.8 million of interest income (expense), net in the three months ended June 30, 2022 as compared to an expense of $163,000 of interest income (expense), net in the corresponding period in 2021. The significant change from the year-ago-period resulted from a higher balance of cash and equivalents and time deposits, higher interest rates on these balances, and a lower combined balance of short-term and long-term bank loans.</w:t>
      </w:r>
    </w:p>
    <w:p>
      <w:pPr>
        <w:spacing w:after="0" w:line="17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Other income (expense), net primarily reflects (a) gains or losses recognized from the impact of exchange rates on our foreign currency-denominated working-capital transactions and (b) depreciation of assets acquired with government subsidies, as described under “—Government Research and Development Funding” above. We realized $2.5 million of other income (expense) in the three months ended June 30, 2022, as compared to a loss of ($0.9) million in the corresponding period in 2021. The variance was due primarily to the impact to transactions that resulted from changes in the RMB-to-U.S. dollar exchange rate during the respective periods.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49"/>
        </w:trPr>
        <w:tc>
          <w:tcPr>
            <w:tcW w:w="9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i w:val="1"/>
                <w:iCs w:val="1"/>
                <w:color w:val="0000EE"/>
                <w:w w:val="99"/>
              </w:rPr>
              <w:t>Table of Contents</w:t>
            </w:r>
          </w:p>
        </w:tc>
        <w:tc>
          <w:tcPr>
            <w:tcW w:w="4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54"/>
        </w:trPr>
        <w:tc>
          <w:tcPr>
            <w:tcW w:w="59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Unrealized loss from trading securities and equity income in net income of affiliates.</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3"/>
        </w:trPr>
        <w:tc>
          <w:tcPr>
            <w:tcW w:w="9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680" w:type="dxa"/>
            <w:vAlign w:val="bottom"/>
            <w:gridSpan w:val="7"/>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94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line="179" w:lineRule="exact"/>
              <w:rPr>
                <w:sz w:val="20"/>
                <w:szCs w:val="20"/>
                <w:color w:val="auto"/>
              </w:rPr>
            </w:pPr>
            <w:r>
              <w:rPr>
                <w:rFonts w:ascii="Times New Roman" w:cs="Times New Roman" w:eastAsia="Times New Roman" w:hAnsi="Times New Roman"/>
                <w:sz w:val="17"/>
                <w:szCs w:val="17"/>
                <w:b w:val="1"/>
                <w:bCs w:val="1"/>
                <w:color w:val="auto"/>
                <w:w w:val="99"/>
              </w:rPr>
              <w:t>Absolute</w:t>
            </w:r>
          </w:p>
        </w:tc>
      </w:tr>
      <w:tr>
        <w:trPr>
          <w:trHeight w:val="199"/>
        </w:trPr>
        <w:tc>
          <w:tcPr>
            <w:tcW w:w="94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6"/>
              </w:rPr>
              <w:t>% Change</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Change</w:t>
            </w:r>
          </w:p>
        </w:tc>
      </w:tr>
      <w:tr>
        <w:trPr>
          <w:trHeight w:val="224"/>
        </w:trPr>
        <w:tc>
          <w:tcPr>
            <w:tcW w:w="9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3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2022 v 2021</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8"/>
              </w:rPr>
              <w:t>2022 v 2021</w:t>
            </w:r>
          </w:p>
        </w:tc>
        <w:tc>
          <w:tcPr>
            <w:tcW w:w="100" w:type="dxa"/>
            <w:vAlign w:val="bottom"/>
          </w:tcPr>
          <w:p>
            <w:pPr>
              <w:spacing w:after="0"/>
              <w:rPr>
                <w:sz w:val="19"/>
                <w:szCs w:val="19"/>
                <w:color w:val="auto"/>
              </w:rPr>
            </w:pPr>
          </w:p>
        </w:tc>
      </w:tr>
      <w:tr>
        <w:trPr>
          <w:trHeight w:val="199"/>
        </w:trPr>
        <w:tc>
          <w:tcPr>
            <w:tcW w:w="94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jc w:val="right"/>
              <w:ind w:right="97"/>
              <w:spacing w:after="0"/>
              <w:rPr>
                <w:sz w:val="20"/>
                <w:szCs w:val="20"/>
                <w:color w:val="auto"/>
              </w:rPr>
            </w:pPr>
            <w:r>
              <w:rPr>
                <w:rFonts w:ascii="Times New Roman" w:cs="Times New Roman" w:eastAsia="Times New Roman" w:hAnsi="Times New Roman"/>
                <w:sz w:val="17"/>
                <w:szCs w:val="17"/>
                <w:i w:val="1"/>
                <w:iCs w:val="1"/>
                <w:color w:val="auto"/>
                <w:w w:val="95"/>
              </w:rPr>
              <w:t>(in</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w w:val="74"/>
              </w:rPr>
              <w:t>thousands)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gain (loss) on trading securities</w:t>
            </w:r>
          </w:p>
        </w:tc>
        <w:tc>
          <w:tcPr>
            <w:tcW w:w="74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3,783</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(4,206)</w:t>
            </w: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 income in net income of affiliates</w:t>
            </w:r>
          </w:p>
        </w:tc>
        <w:tc>
          <w:tcPr>
            <w:tcW w:w="740" w:type="dxa"/>
            <w:vAlign w:val="bottom"/>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472</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295</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177</w:t>
            </w:r>
          </w:p>
        </w:tc>
      </w:tr>
    </w:tbl>
    <w:p>
      <w:pPr>
        <w:spacing w:after="0" w:line="16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We recorded an unrealized loss of $0.4 million for the three months ended June 30, 2022, as compared to an unrealized gain of $3.8 million for the same period in 2021, based on a change in market value of ACM Shanghai’s indirect investment in SMIC shares on the STAR Market as is described in note 15 to the condensed consolidated financial statements included in this report. Equity income in net income of affiliates increased by $0.2 million for the three months ended June 30,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6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Income Tax Benefit (Expense)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presents components of income tax benefit (expense) for the indicated periods: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3"/>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ind w:left="4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r>
      <w:tr>
        <w:trPr>
          <w:trHeight w:val="204"/>
        </w:trPr>
        <w:tc>
          <w:tcPr>
            <w:tcW w:w="86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100" w:type="dxa"/>
            <w:vAlign w:val="bottom"/>
          </w:tcPr>
          <w:p>
            <w:pPr>
              <w:spacing w:after="0"/>
              <w:rPr>
                <w:sz w:val="17"/>
                <w:szCs w:val="17"/>
                <w:color w:val="auto"/>
              </w:rPr>
            </w:pPr>
          </w:p>
        </w:tc>
      </w:tr>
      <w:tr>
        <w:trPr>
          <w:trHeight w:val="204"/>
        </w:trPr>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7"/>
                <w:szCs w:val="17"/>
                <w:i w:val="1"/>
                <w:iCs w:val="1"/>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i w:val="1"/>
                <w:iCs w:val="1"/>
                <w:color w:val="auto"/>
                <w:w w:val="74"/>
              </w:rPr>
              <w:t>thousands)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8680" w:type="dxa"/>
            <w:vAlign w:val="bottom"/>
            <w:tcBorders>
              <w:top w:val="single" w:sz="8" w:color="CCEEFF"/>
              <w:bottom w:val="single" w:sz="8" w:color="CCEEFF"/>
            </w:tcBorders>
            <w:shd w:val="clear" w:color="auto" w:fill="CCEEFF"/>
          </w:tcPr>
          <w:p>
            <w:pPr>
              <w:ind w:left="140"/>
              <w:spacing w:after="0" w:line="191" w:lineRule="exact"/>
              <w:rPr>
                <w:sz w:val="20"/>
                <w:szCs w:val="20"/>
                <w:color w:val="auto"/>
              </w:rPr>
            </w:pPr>
            <w:r>
              <w:rPr>
                <w:rFonts w:ascii="Times New Roman" w:cs="Times New Roman" w:eastAsia="Times New Roman" w:hAnsi="Times New Roman"/>
                <w:sz w:val="17"/>
                <w:szCs w:val="17"/>
                <w:color w:val="auto"/>
              </w:rPr>
              <w:t>Total income tax benefit (expense)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bl>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We recognized a tax expense of $7.7 million for the three months ended June 30, 2022 as compared to a tax expense of $15,000 for prior year period. The increased tax expense in 2022 primarily resulted from the tax effect of increased operating profit generated and an increase in our effective income tax rate. The increase in our effective income tax rate for the three months ended June 30, 2022 compared to the same period of the prior year was primarily due to a new requirement to capitalize and amortize previously deductible research and experimental expenses resulting from a change in Section 174 made by the U.S. Tax Cuts and Jobs Act of 2017, or the TCJA, which became effective on January 1, 2022, and a decrease in discrete tax benefits associated with stock-based compensation deductions. The capitalization of overseas R&amp;D expenses resulted in a significant increase in our global intangible low-taxed income inclusion. Congress is considering legislation, but legislation has not passed, that would defer the capitalization requirement to later years.</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Our effective tax rate differs from statutory rates of 21% for U.S. federal income tax purposes and 12.5% to 25% for Chinese income tax purposes due to the treatment of stock-based compensation including the impact from stock option exercises and non-US research expenses. Our two PRC subsidiaries, ACM Shanghai and ACM Research (Wuxi), Inc., are liable for PRC corporate income taxes at the rates of 12.5% and 25%, respectively. Pursuant to the Corporate Income Tax Law of the PRC, our PRC subsidiaries generally would be liable for PRC corporate income taxes at a rate of 25%. According to Guoshuihan 2009 No. 203, an entity certified as an “advanced and new technology enterprise” is entitled to a preferential income tax rate of 15%. ACM Shanghai was certified as an “advanced and new technology enterprise” in 2012 and again in 2016 and 2018, with an effective period of three years. In 2021, ACM Shanghai was certified as an eligible integrated circuit production enterprise and is entitled to a preferential income tax rate of 0% from January 1, 2018 to December 31, 2019 and 12.5% from January 1, 2020 to December 31, 2022 instead of 15%.</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file income tax returns in the United States and state and foreign jurisdictions. Those federal, state and foreign income tax returns are under the statute of limitations subject to tax examinations for 1999 through 2021.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49"/>
        </w:trPr>
        <w:tc>
          <w:tcPr>
            <w:tcW w:w="9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i w:val="1"/>
                <w:iCs w:val="1"/>
                <w:color w:val="0000EE"/>
                <w:w w:val="99"/>
              </w:rPr>
              <w:t>Table of Contents</w:t>
            </w:r>
          </w:p>
        </w:tc>
        <w:tc>
          <w:tcPr>
            <w:tcW w:w="5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54"/>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Net Income Attributable to Non-Controlling Interests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3"/>
        </w:trPr>
        <w:tc>
          <w:tcPr>
            <w:tcW w:w="9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6"/>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9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line="179" w:lineRule="exact"/>
              <w:rPr>
                <w:sz w:val="20"/>
                <w:szCs w:val="20"/>
                <w:color w:val="auto"/>
              </w:rPr>
            </w:pPr>
            <w:r>
              <w:rPr>
                <w:rFonts w:ascii="Times New Roman" w:cs="Times New Roman" w:eastAsia="Times New Roman" w:hAnsi="Times New Roman"/>
                <w:sz w:val="17"/>
                <w:szCs w:val="17"/>
                <w:b w:val="1"/>
                <w:bCs w:val="1"/>
                <w:color w:val="auto"/>
                <w:w w:val="99"/>
              </w:rPr>
              <w:t>Absolute</w:t>
            </w:r>
          </w:p>
        </w:tc>
      </w:tr>
      <w:tr>
        <w:trPr>
          <w:trHeight w:val="199"/>
        </w:trPr>
        <w:tc>
          <w:tcPr>
            <w:tcW w:w="9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3"/>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 Change</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Change</w:t>
            </w:r>
          </w:p>
        </w:tc>
      </w:tr>
      <w:tr>
        <w:trPr>
          <w:trHeight w:val="224"/>
        </w:trPr>
        <w:tc>
          <w:tcPr>
            <w:tcW w:w="9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2022 v 2021</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8"/>
              </w:rPr>
              <w:t>2022 v 2021</w:t>
            </w:r>
          </w:p>
        </w:tc>
        <w:tc>
          <w:tcPr>
            <w:tcW w:w="100" w:type="dxa"/>
            <w:vAlign w:val="bottom"/>
          </w:tcPr>
          <w:p>
            <w:pPr>
              <w:spacing w:after="0"/>
              <w:rPr>
                <w:sz w:val="19"/>
                <w:szCs w:val="19"/>
                <w:color w:val="auto"/>
              </w:rPr>
            </w:pPr>
          </w:p>
        </w:tc>
      </w:tr>
      <w:tr>
        <w:trPr>
          <w:trHeight w:val="199"/>
        </w:trPr>
        <w:tc>
          <w:tcPr>
            <w:tcW w:w="9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620"/>
              <w:spacing w:after="0"/>
              <w:rPr>
                <w:sz w:val="20"/>
                <w:szCs w:val="20"/>
                <w:color w:val="auto"/>
              </w:rPr>
            </w:pPr>
            <w:r>
              <w:rPr>
                <w:rFonts w:ascii="Times New Roman" w:cs="Times New Roman" w:eastAsia="Times New Roman" w:hAnsi="Times New Roman"/>
                <w:sz w:val="17"/>
                <w:szCs w:val="17"/>
                <w:i w:val="1"/>
                <w:iCs w:val="1"/>
                <w:color w:val="auto"/>
              </w:rPr>
              <w:t>(in</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w w:val="77"/>
              </w:rPr>
              <w:t>thousands)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4,512</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767</w:t>
            </w:r>
          </w:p>
        </w:tc>
        <w:tc>
          <w:tcPr>
            <w:tcW w:w="1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488.3%  $</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3,745</w:t>
            </w:r>
          </w:p>
        </w:tc>
      </w:tr>
    </w:tbl>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In 2019 ACM Shanghai sold a total number of shares representing 8.3% of its outstanding ACM Shanghai shares, after which ACM Research held the remaining 91.7% of ACM Shanghai’s outstanding shares. In 2021 ACM Shanghai sold a total number shares representing an additional 10% of its outstanding ACM Shanghai shares in its STAR IPO, after which ACM Research held the remaining 82.5% of ACM Shanghai’s outstanding shares. As a result, we reflect, the portion of our net income allocable to the minority holders of ACM Shanghai shares as net income attributable to non-controlling interests. In the three months ended June 30, 2022, this amount totaled $4.5 million as compared to $0.7 million in the corresponding period in 2021.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Foreign currency translation adjustment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3"/>
        </w:trPr>
        <w:tc>
          <w:tcPr>
            <w:tcW w:w="6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6"/>
          </w:tcPr>
          <w:p>
            <w:pPr>
              <w:ind w:left="4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6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line="179" w:lineRule="exact"/>
              <w:rPr>
                <w:sz w:val="20"/>
                <w:szCs w:val="20"/>
                <w:color w:val="auto"/>
              </w:rPr>
            </w:pPr>
            <w:r>
              <w:rPr>
                <w:rFonts w:ascii="Times New Roman" w:cs="Times New Roman" w:eastAsia="Times New Roman" w:hAnsi="Times New Roman"/>
                <w:sz w:val="17"/>
                <w:szCs w:val="17"/>
                <w:b w:val="1"/>
                <w:bCs w:val="1"/>
                <w:color w:val="auto"/>
                <w:w w:val="99"/>
              </w:rPr>
              <w:t>Absolute</w:t>
            </w:r>
          </w:p>
        </w:tc>
      </w:tr>
      <w:tr>
        <w:trPr>
          <w:trHeight w:val="199"/>
        </w:trPr>
        <w:tc>
          <w:tcPr>
            <w:tcW w:w="6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6"/>
              </w:rPr>
              <w:t>% Change</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Change</w:t>
            </w:r>
          </w:p>
        </w:tc>
      </w:tr>
      <w:tr>
        <w:trPr>
          <w:trHeight w:val="224"/>
        </w:trPr>
        <w:tc>
          <w:tcPr>
            <w:tcW w:w="6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2022 v 2021</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8"/>
              </w:rPr>
              <w:t>2022 v 2021</w:t>
            </w:r>
          </w:p>
        </w:tc>
        <w:tc>
          <w:tcPr>
            <w:tcW w:w="100" w:type="dxa"/>
            <w:vAlign w:val="bottom"/>
          </w:tcPr>
          <w:p>
            <w:pPr>
              <w:spacing w:after="0"/>
              <w:rPr>
                <w:sz w:val="19"/>
                <w:szCs w:val="19"/>
                <w:color w:val="auto"/>
              </w:rPr>
            </w:pPr>
          </w:p>
        </w:tc>
      </w:tr>
      <w:tr>
        <w:trPr>
          <w:trHeight w:val="199"/>
        </w:trPr>
        <w:tc>
          <w:tcPr>
            <w:tcW w:w="6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7"/>
                <w:szCs w:val="17"/>
                <w:i w:val="1"/>
                <w:iCs w:val="1"/>
                <w:color w:val="auto"/>
              </w:rPr>
              <w:t>(in</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w w:val="74"/>
              </w:rPr>
              <w:t>thousands)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(40,372)</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3,000</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(1,445.7)% $</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(43,372)</w:t>
            </w:r>
          </w:p>
        </w:tc>
      </w:tr>
    </w:tbl>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recorded a foreign currency translation adjustment of ($40.4) million for the three months ended June 30, 2022, as compared to $3.0 million for the same period in 2021, based on the net effect of RMB to dollar exchange rate fluctuations for the period on the converted value of ACM Shanghai’s RMB-denominated balances to U.S. dollar equivalents. The amount was especially large due to a significant weakening of the RMB versus the U.S. dollar during the period.</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49"/>
        </w:trPr>
        <w:tc>
          <w:tcPr>
            <w:tcW w:w="9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i w:val="1"/>
                <w:iCs w:val="1"/>
                <w:color w:val="0000EE"/>
                <w:w w:val="99"/>
              </w:rPr>
              <w:t>Table of Contents</w:t>
            </w:r>
          </w:p>
        </w:tc>
        <w:tc>
          <w:tcPr>
            <w:tcW w:w="4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354"/>
        </w:trPr>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Six Months Ended June 30, 2022 and 2021</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98"/>
        </w:trPr>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Revenue</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3"/>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602"/>
        </w:trPr>
        <w:tc>
          <w:tcPr>
            <w:tcW w:w="9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w w:val="99"/>
              </w:rPr>
              <w:t>2021</w:t>
            </w:r>
          </w:p>
        </w:tc>
      </w:tr>
      <w:tr>
        <w:trPr>
          <w:trHeight w:val="183"/>
        </w:trPr>
        <w:tc>
          <w:tcPr>
            <w:tcW w:w="9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97"/>
              <w:spacing w:after="0" w:line="183" w:lineRule="exact"/>
              <w:rPr>
                <w:sz w:val="20"/>
                <w:szCs w:val="20"/>
                <w:color w:val="auto"/>
              </w:rPr>
            </w:pPr>
            <w:r>
              <w:rPr>
                <w:rFonts w:ascii="Times New Roman" w:cs="Times New Roman" w:eastAsia="Times New Roman" w:hAnsi="Times New Roman"/>
                <w:sz w:val="17"/>
                <w:szCs w:val="17"/>
                <w:i w:val="1"/>
                <w:iCs w:val="1"/>
                <w:color w:val="auto"/>
              </w:rPr>
              <w:t>(in</w:t>
            </w:r>
          </w:p>
        </w:tc>
        <w:tc>
          <w:tcPr>
            <w:tcW w:w="60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7"/>
                <w:szCs w:val="17"/>
                <w:i w:val="1"/>
                <w:iCs w:val="1"/>
                <w:color w:val="auto"/>
                <w:w w:val="77"/>
              </w:rPr>
              <w:t>thousands)</w:t>
            </w:r>
          </w:p>
        </w:tc>
        <w:tc>
          <w:tcPr>
            <w:tcW w:w="740" w:type="dxa"/>
            <w:vAlign w:val="bottom"/>
          </w:tcPr>
          <w:p>
            <w:pPr>
              <w:spacing w:after="0"/>
              <w:rPr>
                <w:sz w:val="15"/>
                <w:szCs w:val="15"/>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Revenue</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D0D0D"/>
              </w:rPr>
              <w:t>$</w:t>
            </w: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0D0D0D"/>
              </w:rPr>
              <w:t>146,581</w:t>
            </w:r>
          </w:p>
        </w:tc>
        <w:tc>
          <w:tcPr>
            <w:tcW w:w="38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97,596</w:t>
            </w:r>
          </w:p>
        </w:tc>
      </w:tr>
      <w:tr>
        <w:trPr>
          <w:trHeight w:val="381"/>
        </w:trPr>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Single wafer cleaning, Tahoe and semi-critical cleaning equipment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D0D0D"/>
              </w:rPr>
              <w:t>$</w:t>
            </w: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0D0D0D"/>
              </w:rPr>
              <w:t>98,616</w:t>
            </w:r>
          </w:p>
        </w:tc>
        <w:tc>
          <w:tcPr>
            <w:tcW w:w="38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77,874</w:t>
            </w:r>
          </w:p>
        </w:tc>
      </w:tr>
      <w:tr>
        <w:trPr>
          <w:trHeight w:val="199"/>
        </w:trPr>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ECP (front-end and packaging), furnace and other technologies</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0D0D0D"/>
              </w:rPr>
              <w:t>32,748</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5,550</w:t>
            </w:r>
          </w:p>
        </w:tc>
      </w:tr>
      <w:tr>
        <w:trPr>
          <w:trHeight w:val="220"/>
        </w:trPr>
        <w:tc>
          <w:tcPr>
            <w:tcW w:w="5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Advanced packaging (excluding ECP), services &amp; spares</w:t>
            </w: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37"/>
              <w:spacing w:after="0"/>
              <w:rPr>
                <w:sz w:val="20"/>
                <w:szCs w:val="20"/>
                <w:color w:val="auto"/>
              </w:rPr>
            </w:pPr>
            <w:r>
              <w:rPr>
                <w:rFonts w:ascii="Times New Roman" w:cs="Times New Roman" w:eastAsia="Times New Roman" w:hAnsi="Times New Roman"/>
                <w:sz w:val="17"/>
                <w:szCs w:val="17"/>
                <w:color w:val="0D0D0D"/>
              </w:rPr>
              <w:t>15,217</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14,172</w:t>
            </w:r>
          </w:p>
        </w:tc>
      </w:tr>
      <w:tr>
        <w:trPr>
          <w:trHeight w:val="199"/>
        </w:trPr>
        <w:tc>
          <w:tcPr>
            <w:tcW w:w="5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Revenue By Product Category</w:t>
            </w:r>
          </w:p>
        </w:tc>
        <w:tc>
          <w:tcPr>
            <w:tcW w:w="9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0D0D0D"/>
              </w:rPr>
              <w:t>$</w:t>
            </w:r>
          </w:p>
        </w:tc>
        <w:tc>
          <w:tcPr>
            <w:tcW w:w="1160" w:type="dxa"/>
            <w:vAlign w:val="bottom"/>
            <w:tcBorders>
              <w:bottom w:val="single" w:sz="8" w:color="auto"/>
            </w:tcBorders>
            <w:gridSpan w:val="2"/>
          </w:tcPr>
          <w:p>
            <w:pPr>
              <w:jc w:val="right"/>
              <w:ind w:right="137"/>
              <w:spacing w:after="0"/>
              <w:rPr>
                <w:sz w:val="20"/>
                <w:szCs w:val="20"/>
                <w:color w:val="auto"/>
              </w:rPr>
            </w:pPr>
            <w:r>
              <w:rPr>
                <w:rFonts w:ascii="Times New Roman" w:cs="Times New Roman" w:eastAsia="Times New Roman" w:hAnsi="Times New Roman"/>
                <w:sz w:val="17"/>
                <w:szCs w:val="17"/>
                <w:b w:val="1"/>
                <w:bCs w:val="1"/>
                <w:color w:val="0D0D0D"/>
              </w:rPr>
              <w:t>146,581</w:t>
            </w:r>
          </w:p>
        </w:tc>
        <w:tc>
          <w:tcPr>
            <w:tcW w:w="3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97,596</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86"/>
        </w:trPr>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Wet cleaning and other front-end processing tools</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D0D0D"/>
              </w:rPr>
              <w:t>$</w:t>
            </w: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0D0D0D"/>
              </w:rPr>
              <w:t>111,254</w:t>
            </w:r>
          </w:p>
        </w:tc>
        <w:tc>
          <w:tcPr>
            <w:tcW w:w="38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-1056640</wp:posOffset>
            </wp:positionV>
            <wp:extent cx="7143115" cy="1263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3115" cy="1263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-803910</wp:posOffset>
            </wp:positionV>
            <wp:extent cx="7143115" cy="1263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3115" cy="1263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-551180</wp:posOffset>
            </wp:positionV>
            <wp:extent cx="7143115" cy="142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3115" cy="142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-250825</wp:posOffset>
            </wp:positionV>
            <wp:extent cx="7143115" cy="1263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3115" cy="1263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9"/>
              </w:rPr>
              <w:t>Absolute</w:t>
            </w:r>
          </w:p>
        </w:tc>
      </w:tr>
      <w:tr>
        <w:trPr>
          <w:trHeight w:val="199"/>
        </w:trPr>
        <w:tc>
          <w:tcPr>
            <w:tcW w:w="100" w:type="dxa"/>
            <w:vAlign w:val="bottom"/>
          </w:tcPr>
          <w:p>
            <w:pPr>
              <w:spacing w:after="0"/>
              <w:rPr>
                <w:sz w:val="17"/>
                <w:szCs w:val="17"/>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6"/>
              </w:rPr>
              <w:t>% Change</w:t>
            </w:r>
          </w:p>
        </w:tc>
        <w:tc>
          <w:tcPr>
            <w:tcW w:w="120" w:type="dxa"/>
            <w:vAlign w:val="bottom"/>
          </w:tcPr>
          <w:p>
            <w:pPr>
              <w:spacing w:after="0"/>
              <w:rPr>
                <w:sz w:val="17"/>
                <w:szCs w:val="17"/>
                <w:color w:val="auto"/>
              </w:rPr>
            </w:pPr>
          </w:p>
        </w:tc>
        <w:tc>
          <w:tcPr>
            <w:tcW w:w="1000" w:type="dxa"/>
            <w:vAlign w:val="bottom"/>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6"/>
              </w:rPr>
              <w:t>Change</w:t>
            </w:r>
          </w:p>
        </w:tc>
      </w:tr>
      <w:tr>
        <w:trPr>
          <w:trHeight w:val="224"/>
        </w:trPr>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6"/>
              </w:rPr>
              <w:t>2022 v 2021</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8"/>
              </w:rPr>
              <w:t>2022 v 2021</w:t>
            </w:r>
          </w:p>
        </w:tc>
      </w:tr>
      <w:tr>
        <w:trPr>
          <w:trHeight w:val="398"/>
        </w:trPr>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50.2%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48,985</w:t>
            </w:r>
          </w:p>
        </w:tc>
      </w:tr>
      <w:tr>
        <w:trPr>
          <w:trHeight w:val="381"/>
        </w:trPr>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26.6%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20,742</w:t>
            </w:r>
          </w:p>
        </w:tc>
      </w:tr>
      <w:tr>
        <w:trPr>
          <w:trHeight w:val="199"/>
        </w:trPr>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490.1%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27,198</w:t>
            </w:r>
          </w:p>
        </w:tc>
      </w:tr>
      <w:tr>
        <w:trPr>
          <w:trHeight w:val="220"/>
        </w:trPr>
        <w:tc>
          <w:tcPr>
            <w:tcW w:w="14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7.4%</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1,045</w:t>
            </w:r>
          </w:p>
        </w:tc>
      </w:tr>
      <w:tr>
        <w:trPr>
          <w:trHeight w:val="199"/>
        </w:trPr>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50.2%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48,985</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86"/>
        </w:trPr>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42.9%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33,380</w:t>
            </w:r>
          </w:p>
        </w:tc>
      </w:tr>
    </w:tbl>
    <w:p>
      <w:pPr>
        <w:spacing w:after="0" w:line="6" w:lineRule="exact"/>
        <w:rPr>
          <w:sz w:val="20"/>
          <w:szCs w:val="20"/>
          <w:color w:val="auto"/>
        </w:rPr>
      </w:pPr>
    </w:p>
    <w:p>
      <w:pPr>
        <w:sectPr>
          <w:pgSz w:w="11900" w:h="16838" w:orient="portrait"/>
          <w:cols w:equalWidth="0" w:num="2">
            <w:col w:w="8380" w:space="240"/>
            <w:col w:w="2620"/>
          </w:cols>
          <w:pgMar w:left="320" w:top="114" w:right="339" w:bottom="1440" w:gutter="0" w:footer="0" w:header="0"/>
        </w:sectPr>
      </w:pPr>
    </w:p>
    <w:tbl>
      <w:tblPr>
        <w:tblLayout w:type="fixed"/>
        <w:tblInd w:w="0" w:type="dxa"/>
        <w:tblCellMar>
          <w:top w:w="0" w:type="dxa"/>
          <w:left w:w="0" w:type="dxa"/>
          <w:bottom w:w="0" w:type="dxa"/>
          <w:right w:w="0" w:type="dxa"/>
        </w:tblCellMar>
      </w:tblPr>
      <w:tr>
        <w:trPr>
          <w:trHeight w:val="200"/>
        </w:trPr>
        <w:tc>
          <w:tcPr>
            <w:tcW w:w="5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Advanced packaging, other processing tools, services and spares</w:t>
            </w:r>
          </w:p>
        </w:tc>
        <w:tc>
          <w:tcPr>
            <w:tcW w:w="1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0D0D0D"/>
              </w:rPr>
              <w:t>35,327</w:t>
            </w:r>
          </w:p>
        </w:tc>
        <w:tc>
          <w:tcPr>
            <w:tcW w:w="4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19,722</w:t>
            </w:r>
          </w:p>
        </w:tc>
        <w:tc>
          <w:tcPr>
            <w:tcW w:w="24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79.1%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4"/>
        </w:trPr>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Revenue Front-end and Back-End</w:t>
            </w:r>
          </w:p>
        </w:tc>
        <w:tc>
          <w:tcPr>
            <w:tcW w:w="11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0D0D0D"/>
              </w:rPr>
              <w:t>$</w:t>
            </w:r>
          </w:p>
        </w:tc>
        <w:tc>
          <w:tcPr>
            <w:tcW w:w="9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b w:val="1"/>
                <w:bCs w:val="1"/>
                <w:color w:val="0D0D0D"/>
              </w:rPr>
              <w:t>146,581</w:t>
            </w:r>
          </w:p>
        </w:tc>
        <w:tc>
          <w:tcPr>
            <w:tcW w:w="4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97,596</w:t>
            </w:r>
          </w:p>
        </w:tc>
        <w:tc>
          <w:tcPr>
            <w:tcW w:w="240" w:type="dxa"/>
            <w:vAlign w:val="bottom"/>
          </w:tcPr>
          <w:p>
            <w:pPr>
              <w:spacing w:after="0"/>
              <w:rPr>
                <w:sz w:val="17"/>
                <w:szCs w:val="17"/>
                <w:color w:val="auto"/>
              </w:rPr>
            </w:pPr>
          </w:p>
        </w:tc>
        <w:tc>
          <w:tcPr>
            <w:tcW w:w="17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7"/>
                <w:szCs w:val="17"/>
                <w:b w:val="1"/>
                <w:bCs w:val="1"/>
                <w:color w:val="auto"/>
              </w:rPr>
              <w:t>50.2%  $</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48,985</w:t>
            </w:r>
          </w:p>
        </w:tc>
        <w:tc>
          <w:tcPr>
            <w:tcW w:w="100" w:type="dxa"/>
            <w:vAlign w:val="bottom"/>
          </w:tcPr>
          <w:p>
            <w:pPr>
              <w:spacing w:after="0"/>
              <w:rPr>
                <w:sz w:val="17"/>
                <w:szCs w:val="17"/>
                <w:color w:val="auto"/>
              </w:rPr>
            </w:pPr>
          </w:p>
        </w:tc>
      </w:tr>
    </w:tbl>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Revenue increased by $49.0 million in the six months ended June 30, 2022 as compared to the same period in 2021. Revenue for the period was impacted by COVID-19 related restrictions which reduced production output and logistics to and from our facilities for several months. The increase versus the prior year period was driven by higher demand from current and new customers, growth from our cleaning and advanced packaging products, and incremental contribution from our newer ECP products. The increased demand from China based customers is due in part to increased investments in production capacity amidst global shortages of semiconductor components.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Cost of Revenue and Gross Margin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03"/>
        </w:trPr>
        <w:tc>
          <w:tcPr>
            <w:tcW w:w="5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5"/>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9"/>
        </w:trPr>
        <w:tc>
          <w:tcPr>
            <w:tcW w:w="58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60"/>
              <w:spacing w:after="0" w:line="179" w:lineRule="exact"/>
              <w:rPr>
                <w:sz w:val="20"/>
                <w:szCs w:val="20"/>
                <w:color w:val="auto"/>
              </w:rPr>
            </w:pPr>
            <w:r>
              <w:rPr>
                <w:rFonts w:ascii="Times New Roman" w:cs="Times New Roman" w:eastAsia="Times New Roman" w:hAnsi="Times New Roman"/>
                <w:sz w:val="17"/>
                <w:szCs w:val="17"/>
                <w:b w:val="1"/>
                <w:bCs w:val="1"/>
                <w:color w:val="auto"/>
                <w:w w:val="99"/>
              </w:rPr>
              <w:t>Absolute</w:t>
            </w:r>
          </w:p>
        </w:tc>
      </w:tr>
      <w:tr>
        <w:trPr>
          <w:trHeight w:val="199"/>
        </w:trPr>
        <w:tc>
          <w:tcPr>
            <w:tcW w:w="5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 Change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224"/>
        </w:trPr>
        <w:tc>
          <w:tcPr>
            <w:tcW w:w="5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2022 v 2021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8"/>
              </w:rPr>
              <w:t>2022 v 2021</w:t>
            </w:r>
          </w:p>
        </w:tc>
        <w:tc>
          <w:tcPr>
            <w:tcW w:w="140" w:type="dxa"/>
            <w:vAlign w:val="bottom"/>
          </w:tcPr>
          <w:p>
            <w:pPr>
              <w:spacing w:after="0"/>
              <w:rPr>
                <w:sz w:val="19"/>
                <w:szCs w:val="19"/>
                <w:color w:val="auto"/>
              </w:rPr>
            </w:pPr>
          </w:p>
        </w:tc>
      </w:tr>
      <w:tr>
        <w:trPr>
          <w:trHeight w:val="199"/>
        </w:trPr>
        <w:tc>
          <w:tcPr>
            <w:tcW w:w="5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77"/>
              <w:spacing w:after="0"/>
              <w:rPr>
                <w:sz w:val="20"/>
                <w:szCs w:val="20"/>
                <w:color w:val="auto"/>
              </w:rPr>
            </w:pPr>
            <w:r>
              <w:rPr>
                <w:rFonts w:ascii="Times New Roman" w:cs="Times New Roman" w:eastAsia="Times New Roman" w:hAnsi="Times New Roman"/>
                <w:sz w:val="17"/>
                <w:szCs w:val="17"/>
                <w:i w:val="1"/>
                <w:iCs w:val="1"/>
                <w:color w:val="auto"/>
              </w:rPr>
              <w:t>(in</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7"/>
                <w:szCs w:val="17"/>
                <w:i w:val="1"/>
                <w:iCs w:val="1"/>
                <w:color w:val="auto"/>
                <w:w w:val="80"/>
              </w:rPr>
              <w:t>thousands)</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82,738</w:t>
            </w:r>
          </w:p>
        </w:tc>
        <w:tc>
          <w:tcPr>
            <w:tcW w:w="360" w:type="dxa"/>
            <w:vAlign w:val="bottom"/>
            <w:shd w:val="clear" w:color="auto" w:fill="CCEEFF"/>
          </w:tcPr>
          <w:p>
            <w:pPr>
              <w:jc w:val="center"/>
              <w:ind w:right="19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57,871</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43.0%</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24,867</w:t>
            </w:r>
          </w:p>
        </w:tc>
      </w:tr>
      <w:tr>
        <w:trPr>
          <w:trHeight w:val="199"/>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77"/>
              <w:spacing w:after="0"/>
              <w:rPr>
                <w:sz w:val="20"/>
                <w:szCs w:val="20"/>
                <w:color w:val="auto"/>
              </w:rPr>
            </w:pPr>
            <w:r>
              <w:rPr>
                <w:rFonts w:ascii="Times New Roman" w:cs="Times New Roman" w:eastAsia="Times New Roman" w:hAnsi="Times New Roman"/>
                <w:sz w:val="17"/>
                <w:szCs w:val="17"/>
                <w:color w:val="auto"/>
              </w:rPr>
              <w:t>63,843</w:t>
            </w:r>
          </w:p>
        </w:tc>
        <w:tc>
          <w:tcPr>
            <w:tcW w:w="360" w:type="dxa"/>
            <w:vAlign w:val="bottom"/>
          </w:tcPr>
          <w:p>
            <w:pPr>
              <w:jc w:val="center"/>
              <w:ind w:right="19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39,725</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60.7%</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24,118</w:t>
            </w:r>
          </w:p>
        </w:tc>
      </w:tr>
      <w:tr>
        <w:trPr>
          <w:trHeight w:val="19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margin</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43.6%</w:t>
            </w: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40.7%</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r>
    </w:tbl>
    <w:p>
      <w:pPr>
        <w:spacing w:after="0" w:line="1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Cost of revenue increased $24.9 million and gross profit increased $24.1 million in the six months ended June 30, 2022 as compared to the corresponding period in 2021 due to the increased sales volume, and a 285 basis point increase in gross margin, that reflected differences in product mix.</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Gross margin may vary from period to period, primarily related to the level of utilization and the timing and mix of purchase orders. We expect gross margin to be between 40.0% and 45.0% for the foreseeable future, with direct manufacturing costs approximating 50.0% to 55.0% of revenue and overhead costs totaling 5.0% of revenue.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Operating Expenses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3"/>
        </w:trPr>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6"/>
          </w:tcPr>
          <w:p>
            <w:pPr>
              <w:ind w:left="8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59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line="179" w:lineRule="exact"/>
              <w:rPr>
                <w:sz w:val="20"/>
                <w:szCs w:val="20"/>
                <w:color w:val="auto"/>
              </w:rPr>
            </w:pPr>
            <w:r>
              <w:rPr>
                <w:rFonts w:ascii="Times New Roman" w:cs="Times New Roman" w:eastAsia="Times New Roman" w:hAnsi="Times New Roman"/>
                <w:sz w:val="17"/>
                <w:szCs w:val="17"/>
                <w:b w:val="1"/>
                <w:bCs w:val="1"/>
                <w:color w:val="auto"/>
                <w:w w:val="99"/>
              </w:rPr>
              <w:t>Absolute</w:t>
            </w:r>
          </w:p>
        </w:tc>
      </w:tr>
      <w:tr>
        <w:trPr>
          <w:trHeight w:val="199"/>
        </w:trPr>
        <w:tc>
          <w:tcPr>
            <w:tcW w:w="5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 Change</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Change</w:t>
            </w:r>
          </w:p>
        </w:tc>
      </w:tr>
      <w:tr>
        <w:trPr>
          <w:trHeight w:val="224"/>
        </w:trPr>
        <w:tc>
          <w:tcPr>
            <w:tcW w:w="5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2022 v 2021</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8"/>
              </w:rPr>
              <w:t>2022 v 2021</w:t>
            </w:r>
          </w:p>
        </w:tc>
        <w:tc>
          <w:tcPr>
            <w:tcW w:w="100" w:type="dxa"/>
            <w:vAlign w:val="bottom"/>
          </w:tcPr>
          <w:p>
            <w:pPr>
              <w:spacing w:after="0"/>
              <w:rPr>
                <w:sz w:val="19"/>
                <w:szCs w:val="19"/>
                <w:color w:val="auto"/>
              </w:rPr>
            </w:pPr>
          </w:p>
        </w:tc>
      </w:tr>
      <w:tr>
        <w:trPr>
          <w:trHeight w:val="199"/>
        </w:trPr>
        <w:tc>
          <w:tcPr>
            <w:tcW w:w="5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ind w:left="580"/>
              <w:spacing w:after="0"/>
              <w:rPr>
                <w:sz w:val="20"/>
                <w:szCs w:val="20"/>
                <w:color w:val="auto"/>
              </w:rPr>
            </w:pPr>
            <w:r>
              <w:rPr>
                <w:rFonts w:ascii="Times New Roman" w:cs="Times New Roman" w:eastAsia="Times New Roman" w:hAnsi="Times New Roman"/>
                <w:sz w:val="17"/>
                <w:szCs w:val="17"/>
                <w:i w:val="1"/>
                <w:iCs w:val="1"/>
                <w:color w:val="auto"/>
              </w:rPr>
              <w:t>(in</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w w:val="77"/>
              </w:rPr>
              <w:t>thousands)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and marketing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14,361</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11,097</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3,264</w:t>
            </w:r>
          </w:p>
        </w:tc>
      </w:tr>
      <w:tr>
        <w:trPr>
          <w:trHeight w:val="199"/>
        </w:trPr>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 expense</w:t>
            </w:r>
          </w:p>
        </w:tc>
        <w:tc>
          <w:tcPr>
            <w:tcW w:w="180" w:type="dxa"/>
            <w:vAlign w:val="bottom"/>
          </w:tcPr>
          <w:p>
            <w:pPr>
              <w:spacing w:after="0"/>
              <w:rPr>
                <w:sz w:val="17"/>
                <w:szCs w:val="17"/>
                <w:color w:val="auto"/>
              </w:rPr>
            </w:pPr>
          </w:p>
        </w:tc>
        <w:tc>
          <w:tcPr>
            <w:tcW w:w="10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28,713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13,437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113.7%</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15,276</w:t>
            </w:r>
          </w:p>
        </w:tc>
      </w:tr>
      <w:tr>
        <w:trPr>
          <w:trHeight w:val="19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 expense</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10,040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7,410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35.5%</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2,630</w:t>
            </w:r>
          </w:p>
        </w:tc>
      </w:tr>
      <w:tr>
        <w:trPr>
          <w:trHeight w:val="25"/>
        </w:trPr>
        <w:tc>
          <w:tcPr>
            <w:tcW w:w="59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9"/>
        </w:trPr>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ind w:left="500"/>
              <w:spacing w:after="0"/>
              <w:rPr>
                <w:sz w:val="20"/>
                <w:szCs w:val="20"/>
                <w:color w:val="auto"/>
              </w:rPr>
            </w:pPr>
            <w:r>
              <w:rPr>
                <w:rFonts w:ascii="Times New Roman" w:cs="Times New Roman" w:eastAsia="Times New Roman" w:hAnsi="Times New Roman"/>
                <w:sz w:val="17"/>
                <w:szCs w:val="17"/>
                <w:color w:val="auto"/>
                <w:w w:val="89"/>
              </w:rPr>
              <w:t>53,114</w:t>
            </w:r>
          </w:p>
        </w:tc>
        <w:tc>
          <w:tcPr>
            <w:tcW w:w="120" w:type="dxa"/>
            <w:vAlign w:val="bottom"/>
          </w:tcPr>
          <w:p>
            <w:pPr>
              <w:spacing w:after="0"/>
              <w:rPr>
                <w:sz w:val="17"/>
                <w:szCs w:val="17"/>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31,944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66.3%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21,170</w:t>
            </w:r>
          </w:p>
        </w:tc>
      </w:tr>
      <w:tr>
        <w:trPr>
          <w:trHeight w:val="25"/>
        </w:trPr>
        <w:tc>
          <w:tcPr>
            <w:tcW w:w="5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Sales and marketing expense </w:t>
      </w:r>
      <w:r>
        <w:rPr>
          <w:rFonts w:ascii="Times New Roman" w:cs="Times New Roman" w:eastAsia="Times New Roman" w:hAnsi="Times New Roman"/>
          <w:sz w:val="17"/>
          <w:szCs w:val="17"/>
          <w:color w:val="auto"/>
        </w:rPr>
        <w:t>increased by $3.3 million in the six months ended June 30, 2022 as compared to the corresponding period in 2021 and reflected increases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$1.6 million of personnel costs related to additional resources to our global sales and services teams to scale our business in mainland China and the United States, and an increase of $1.4 million due to supplies and spare parts, commissions and travel and entertainment costs, an increase of $0.1 million in stock-based compensation, and an increase of $0.1 million in professional services.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Sales and marketing expense consists primarily of:</w:t>
      </w:r>
    </w:p>
    <w:p>
      <w:pPr>
        <w:spacing w:after="0" w:line="203" w:lineRule="exact"/>
        <w:rPr>
          <w:sz w:val="20"/>
          <w:szCs w:val="20"/>
          <w:color w:val="auto"/>
        </w:rPr>
      </w:pPr>
    </w:p>
    <w:p>
      <w:pPr>
        <w:ind w:left="900" w:hanging="452"/>
        <w:spacing w:after="0" w:line="254" w:lineRule="auto"/>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of personnel associated with pre- and after-sale services and support and other sales and marketing activities, including stock-based compensation;</w:t>
      </w:r>
    </w:p>
    <w:p>
      <w:pPr>
        <w:spacing w:after="0" w:line="1" w:lineRule="exact"/>
        <w:rPr>
          <w:rFonts w:ascii="Times New Roman" w:cs="Times New Roman" w:eastAsia="Times New Roman" w:hAnsi="Times New Roman"/>
          <w:sz w:val="17"/>
          <w:szCs w:val="17"/>
          <w:color w:val="auto"/>
        </w:rPr>
      </w:pPr>
    </w:p>
    <w:p>
      <w:pPr>
        <w:ind w:left="900" w:hanging="452"/>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commissions paid to independent sales representatives;</w:t>
      </w:r>
    </w:p>
    <w:p>
      <w:pPr>
        <w:spacing w:after="0" w:line="3" w:lineRule="exact"/>
        <w:rPr>
          <w:rFonts w:ascii="Times New Roman" w:cs="Times New Roman" w:eastAsia="Times New Roman" w:hAnsi="Times New Roman"/>
          <w:sz w:val="17"/>
          <w:szCs w:val="17"/>
          <w:color w:val="auto"/>
        </w:rPr>
      </w:pPr>
    </w:p>
    <w:p>
      <w:pPr>
        <w:ind w:left="900" w:hanging="452"/>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paid to sales consultants;</w:t>
      </w:r>
    </w:p>
    <w:p>
      <w:pPr>
        <w:spacing w:after="0" w:line="3" w:lineRule="exact"/>
        <w:rPr>
          <w:rFonts w:ascii="Times New Roman" w:cs="Times New Roman" w:eastAsia="Times New Roman" w:hAnsi="Times New Roman"/>
          <w:sz w:val="17"/>
          <w:szCs w:val="17"/>
          <w:color w:val="auto"/>
        </w:rPr>
      </w:pPr>
    </w:p>
    <w:p>
      <w:pPr>
        <w:ind w:left="900" w:hanging="452"/>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of trade shows;</w:t>
      </w:r>
    </w:p>
    <w:p>
      <w:pPr>
        <w:spacing w:after="0" w:line="3" w:lineRule="exact"/>
        <w:rPr>
          <w:rFonts w:ascii="Times New Roman" w:cs="Times New Roman" w:eastAsia="Times New Roman" w:hAnsi="Times New Roman"/>
          <w:sz w:val="17"/>
          <w:szCs w:val="17"/>
          <w:color w:val="auto"/>
        </w:rPr>
      </w:pPr>
    </w:p>
    <w:p>
      <w:pPr>
        <w:ind w:left="900" w:hanging="452"/>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tools built for promotional purposes for current or potential new customers;</w:t>
      </w:r>
    </w:p>
    <w:p>
      <w:pPr>
        <w:spacing w:after="0" w:line="3" w:lineRule="exact"/>
        <w:rPr>
          <w:rFonts w:ascii="Times New Roman" w:cs="Times New Roman" w:eastAsia="Times New Roman" w:hAnsi="Times New Roman"/>
          <w:sz w:val="17"/>
          <w:szCs w:val="17"/>
          <w:color w:val="auto"/>
        </w:rPr>
      </w:pPr>
    </w:p>
    <w:p>
      <w:pPr>
        <w:ind w:left="900" w:hanging="452"/>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travel and entertainment; and</w:t>
      </w:r>
    </w:p>
    <w:p>
      <w:pPr>
        <w:spacing w:after="0" w:line="3" w:lineRule="exact"/>
        <w:rPr>
          <w:rFonts w:ascii="Times New Roman" w:cs="Times New Roman" w:eastAsia="Times New Roman" w:hAnsi="Times New Roman"/>
          <w:sz w:val="17"/>
          <w:szCs w:val="17"/>
          <w:color w:val="auto"/>
        </w:rPr>
      </w:pPr>
    </w:p>
    <w:p>
      <w:pPr>
        <w:ind w:left="900" w:hanging="452"/>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allocated overhead for rent and utilities.</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expense </w:t>
      </w:r>
      <w:r>
        <w:rPr>
          <w:rFonts w:ascii="Times New Roman" w:cs="Times New Roman" w:eastAsia="Times New Roman" w:hAnsi="Times New Roman"/>
          <w:sz w:val="17"/>
          <w:szCs w:val="17"/>
          <w:color w:val="auto"/>
        </w:rPr>
        <w:t>increased by $15.3 million in the six months ended June 30, 2022 as compared to the corresponding period in 2021, reflecting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 of $5.6 million in personnel costs due to the additional of employees and higher salaries to support new product development, an increase of $6.3 million for to cost of tools built for product development purposes, an increase of $2.8 million for other items including travel and entertainment, professional services and other items, and an increase of $0.6 million in stock based compensation.</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Research and development expense represented 19.6% and 13.8% of our revenue in the six months ended June 30, 2022 and 2021, respectively. Without reduction by grant amounts received from PRC governmental authorities (see “—Government Research and Development Funding”), gross research and development expense totaled $28.8 million, or 19.6% of total revenue, in the six months ended June 30, 2022 and $15.7 million, or 16.0% of revenue, in the corresponding period in 2021. Research and development expense relates to the development of new products and processes and encompasses our research, development and customer support activities. Research and development expense consists primarily of:</w:t>
      </w:r>
    </w:p>
    <w:p>
      <w:pPr>
        <w:spacing w:after="0" w:line="176" w:lineRule="exact"/>
        <w:rPr>
          <w:sz w:val="20"/>
          <w:szCs w:val="20"/>
          <w:color w:val="auto"/>
        </w:rPr>
      </w:pPr>
    </w:p>
    <w:p>
      <w:pPr>
        <w:ind w:left="900" w:hanging="452"/>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of personnel associated with our research and development activities, including stock based compensation;</w:t>
      </w:r>
    </w:p>
    <w:p>
      <w:pPr>
        <w:spacing w:after="0" w:line="20" w:lineRule="exact"/>
        <w:rPr>
          <w:rFonts w:ascii="Times New Roman" w:cs="Times New Roman" w:eastAsia="Times New Roman" w:hAnsi="Times New Roman"/>
          <w:sz w:val="17"/>
          <w:szCs w:val="17"/>
          <w:color w:val="auto"/>
        </w:rPr>
      </w:pPr>
    </w:p>
    <w:p>
      <w:pPr>
        <w:ind w:left="900" w:hanging="452"/>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components and other research and development supplies;</w:t>
      </w:r>
    </w:p>
    <w:p>
      <w:pPr>
        <w:spacing w:after="0" w:line="3" w:lineRule="exact"/>
        <w:rPr>
          <w:rFonts w:ascii="Times New Roman" w:cs="Times New Roman" w:eastAsia="Times New Roman" w:hAnsi="Times New Roman"/>
          <w:sz w:val="17"/>
          <w:szCs w:val="17"/>
          <w:color w:val="auto"/>
        </w:rPr>
      </w:pPr>
    </w:p>
    <w:p>
      <w:pPr>
        <w:ind w:left="900" w:hanging="452"/>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tools built for product development purposes;</w:t>
      </w:r>
    </w:p>
    <w:p>
      <w:pPr>
        <w:spacing w:after="0" w:line="3" w:lineRule="exact"/>
        <w:rPr>
          <w:rFonts w:ascii="Times New Roman" w:cs="Times New Roman" w:eastAsia="Times New Roman" w:hAnsi="Times New Roman"/>
          <w:sz w:val="17"/>
          <w:szCs w:val="17"/>
          <w:color w:val="auto"/>
        </w:rPr>
      </w:pPr>
    </w:p>
    <w:p>
      <w:pPr>
        <w:ind w:left="900" w:hanging="452"/>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travel expense associated with the research of technical requirements for product development purposes and testing of concepts under consideration;</w:t>
      </w:r>
    </w:p>
    <w:p>
      <w:pPr>
        <w:spacing w:after="0" w:line="3" w:lineRule="exact"/>
        <w:rPr>
          <w:rFonts w:ascii="Times New Roman" w:cs="Times New Roman" w:eastAsia="Times New Roman" w:hAnsi="Times New Roman"/>
          <w:sz w:val="17"/>
          <w:szCs w:val="17"/>
          <w:color w:val="auto"/>
        </w:rPr>
      </w:pPr>
    </w:p>
    <w:p>
      <w:pPr>
        <w:ind w:left="900" w:hanging="452"/>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amortization of costs of software used for research and development purposes; and</w:t>
      </w:r>
    </w:p>
    <w:p>
      <w:pPr>
        <w:spacing w:after="0" w:line="3" w:lineRule="exact"/>
        <w:rPr>
          <w:rFonts w:ascii="Times New Roman" w:cs="Times New Roman" w:eastAsia="Times New Roman" w:hAnsi="Times New Roman"/>
          <w:sz w:val="17"/>
          <w:szCs w:val="17"/>
          <w:color w:val="auto"/>
        </w:rPr>
      </w:pPr>
    </w:p>
    <w:p>
      <w:pPr>
        <w:ind w:left="900" w:hanging="452"/>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allocated overhead for rent and utilities.</w:t>
      </w:r>
    </w:p>
    <w:p>
      <w:pPr>
        <w:spacing w:after="0" w:line="184"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expense </w:t>
      </w:r>
      <w:r>
        <w:rPr>
          <w:rFonts w:ascii="Times New Roman" w:cs="Times New Roman" w:eastAsia="Times New Roman" w:hAnsi="Times New Roman"/>
          <w:sz w:val="17"/>
          <w:szCs w:val="17"/>
          <w:color w:val="auto"/>
        </w:rPr>
        <w:t>increased $2.6 million in the six months ended June 30, 2022 as compared to the corresponding period in 2021. General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administrative expense consists primarily of:</w:t>
      </w:r>
    </w:p>
    <w:p>
      <w:pPr>
        <w:spacing w:after="0" w:line="158" w:lineRule="exact"/>
        <w:rPr>
          <w:sz w:val="20"/>
          <w:szCs w:val="20"/>
          <w:color w:val="auto"/>
        </w:rPr>
      </w:pPr>
    </w:p>
    <w:p>
      <w:pPr>
        <w:ind w:left="900" w:hanging="452"/>
        <w:spacing w:after="0" w:line="254" w:lineRule="auto"/>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of executive, accounting and finance, human resources, information technology, and other administrative personnel, including stock-based compensation;</w:t>
      </w:r>
    </w:p>
    <w:p>
      <w:pPr>
        <w:spacing w:after="0" w:line="1" w:lineRule="exact"/>
        <w:rPr>
          <w:rFonts w:ascii="Times New Roman" w:cs="Times New Roman" w:eastAsia="Times New Roman" w:hAnsi="Times New Roman"/>
          <w:sz w:val="17"/>
          <w:szCs w:val="17"/>
          <w:color w:val="auto"/>
        </w:rPr>
      </w:pPr>
    </w:p>
    <w:p>
      <w:pPr>
        <w:ind w:left="900" w:hanging="452"/>
        <w:spacing w:after="0"/>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professional fees, including accounting and corporate legal and defense fees;</w:t>
      </w:r>
    </w:p>
    <w:p>
      <w:pPr>
        <w:spacing w:after="0" w:line="3" w:lineRule="exact"/>
        <w:rPr>
          <w:rFonts w:ascii="Times New Roman" w:cs="Times New Roman" w:eastAsia="Times New Roman" w:hAnsi="Times New Roman"/>
          <w:sz w:val="17"/>
          <w:szCs w:val="17"/>
          <w:color w:val="auto"/>
        </w:rPr>
      </w:pPr>
    </w:p>
    <w:p>
      <w:pPr>
        <w:ind w:left="900" w:hanging="452"/>
        <w:spacing w:after="0"/>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corporate expenses including insurance; and</w:t>
      </w:r>
    </w:p>
    <w:p>
      <w:pPr>
        <w:spacing w:after="0" w:line="3" w:lineRule="exact"/>
        <w:rPr>
          <w:rFonts w:ascii="Times New Roman" w:cs="Times New Roman" w:eastAsia="Times New Roman" w:hAnsi="Times New Roman"/>
          <w:sz w:val="17"/>
          <w:szCs w:val="17"/>
          <w:color w:val="auto"/>
        </w:rPr>
      </w:pPr>
    </w:p>
    <w:p>
      <w:pPr>
        <w:ind w:left="900" w:hanging="452"/>
        <w:spacing w:after="0"/>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allocated overhead for rent and utilities.</w:t>
      </w:r>
    </w:p>
    <w:p>
      <w:pPr>
        <w:spacing w:after="0" w:line="18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We expect that, for the foreseeable future, general and administrative expenses will increase in dollars, as we incur additional costs associated with growing our business, ACM Research operating a public company in the United States and ACM Shanghai operating a public company in the PRC.</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49"/>
        </w:trPr>
        <w:tc>
          <w:tcPr>
            <w:tcW w:w="9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i w:val="1"/>
                <w:iCs w:val="1"/>
                <w:color w:val="0000EE"/>
                <w:w w:val="99"/>
              </w:rPr>
              <w:t>Table of Contents</w:t>
            </w:r>
          </w:p>
        </w:tc>
        <w:tc>
          <w:tcPr>
            <w:tcW w:w="5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54"/>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Income from operations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3"/>
        </w:trPr>
        <w:tc>
          <w:tcPr>
            <w:tcW w:w="9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6"/>
          </w:tcPr>
          <w:p>
            <w:pPr>
              <w:ind w:left="8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9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line="179" w:lineRule="exact"/>
              <w:rPr>
                <w:sz w:val="20"/>
                <w:szCs w:val="20"/>
                <w:color w:val="auto"/>
              </w:rPr>
            </w:pPr>
            <w:r>
              <w:rPr>
                <w:rFonts w:ascii="Times New Roman" w:cs="Times New Roman" w:eastAsia="Times New Roman" w:hAnsi="Times New Roman"/>
                <w:sz w:val="17"/>
                <w:szCs w:val="17"/>
                <w:b w:val="1"/>
                <w:bCs w:val="1"/>
                <w:color w:val="auto"/>
                <w:w w:val="99"/>
              </w:rPr>
              <w:t>Absolute</w:t>
            </w:r>
          </w:p>
        </w:tc>
      </w:tr>
      <w:tr>
        <w:trPr>
          <w:trHeight w:val="199"/>
        </w:trPr>
        <w:tc>
          <w:tcPr>
            <w:tcW w:w="9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3"/>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 Change</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Change</w:t>
            </w:r>
          </w:p>
        </w:tc>
      </w:tr>
      <w:tr>
        <w:trPr>
          <w:trHeight w:val="224"/>
        </w:trPr>
        <w:tc>
          <w:tcPr>
            <w:tcW w:w="9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2022 v 2021</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8"/>
              </w:rPr>
              <w:t>2022 v 2021</w:t>
            </w:r>
          </w:p>
        </w:tc>
        <w:tc>
          <w:tcPr>
            <w:tcW w:w="100" w:type="dxa"/>
            <w:vAlign w:val="bottom"/>
          </w:tcPr>
          <w:p>
            <w:pPr>
              <w:spacing w:after="0"/>
              <w:rPr>
                <w:sz w:val="19"/>
                <w:szCs w:val="19"/>
                <w:color w:val="auto"/>
              </w:rPr>
            </w:pPr>
          </w:p>
        </w:tc>
      </w:tr>
      <w:tr>
        <w:trPr>
          <w:trHeight w:val="199"/>
        </w:trPr>
        <w:tc>
          <w:tcPr>
            <w:tcW w:w="9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97"/>
              <w:spacing w:after="0"/>
              <w:rPr>
                <w:sz w:val="20"/>
                <w:szCs w:val="20"/>
                <w:color w:val="auto"/>
              </w:rPr>
            </w:pPr>
            <w:r>
              <w:rPr>
                <w:rFonts w:ascii="Times New Roman" w:cs="Times New Roman" w:eastAsia="Times New Roman" w:hAnsi="Times New Roman"/>
                <w:sz w:val="17"/>
                <w:szCs w:val="17"/>
                <w:i w:val="1"/>
                <w:iCs w:val="1"/>
                <w:color w:val="auto"/>
              </w:rPr>
              <w:t>(in</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w w:val="77"/>
              </w:rPr>
              <w:t>thousands)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from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10,729</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7,781</w:t>
            </w:r>
          </w:p>
        </w:tc>
        <w:tc>
          <w:tcPr>
            <w:tcW w:w="1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37.9%  $</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2,948</w:t>
            </w:r>
          </w:p>
        </w:tc>
      </w:tr>
    </w:tbl>
    <w:p>
      <w:pPr>
        <w:spacing w:after="0" w:line="1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Income from operations increased by $2.9 million for during the six months ended June 30, 2022 as compared to the prior year period, due to increased revenue and gross profit, partly offset by an increase in operating expenses in absolute and as a percentage of total revenue.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Interest income (expense), net, Other Income (expense), net</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3"/>
        </w:trPr>
        <w:tc>
          <w:tcPr>
            <w:tcW w:w="5900" w:type="dxa"/>
            <w:vAlign w:val="bottom"/>
          </w:tcPr>
          <w:p>
            <w:pPr>
              <w:spacing w:after="0"/>
              <w:rPr>
                <w:sz w:val="24"/>
                <w:szCs w:val="24"/>
                <w:color w:val="auto"/>
              </w:rPr>
            </w:pPr>
          </w:p>
        </w:tc>
        <w:tc>
          <w:tcPr>
            <w:tcW w:w="2680" w:type="dxa"/>
            <w:vAlign w:val="bottom"/>
            <w:gridSpan w:val="7"/>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59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line="179" w:lineRule="exact"/>
              <w:rPr>
                <w:sz w:val="20"/>
                <w:szCs w:val="20"/>
                <w:color w:val="auto"/>
              </w:rPr>
            </w:pPr>
            <w:r>
              <w:rPr>
                <w:rFonts w:ascii="Times New Roman" w:cs="Times New Roman" w:eastAsia="Times New Roman" w:hAnsi="Times New Roman"/>
                <w:sz w:val="17"/>
                <w:szCs w:val="17"/>
                <w:b w:val="1"/>
                <w:bCs w:val="1"/>
                <w:color w:val="auto"/>
                <w:w w:val="99"/>
              </w:rPr>
              <w:t>Absolute</w:t>
            </w:r>
          </w:p>
        </w:tc>
      </w:tr>
      <w:tr>
        <w:trPr>
          <w:trHeight w:val="199"/>
        </w:trPr>
        <w:tc>
          <w:tcPr>
            <w:tcW w:w="5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6"/>
              </w:rPr>
              <w:t>% Change</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Change</w:t>
            </w:r>
          </w:p>
        </w:tc>
      </w:tr>
      <w:tr>
        <w:trPr>
          <w:trHeight w:val="224"/>
        </w:trPr>
        <w:tc>
          <w:tcPr>
            <w:tcW w:w="59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3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2022 v 2021</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8"/>
              </w:rPr>
              <w:t>2022 v 2021</w:t>
            </w:r>
          </w:p>
        </w:tc>
        <w:tc>
          <w:tcPr>
            <w:tcW w:w="100" w:type="dxa"/>
            <w:vAlign w:val="bottom"/>
          </w:tcPr>
          <w:p>
            <w:pPr>
              <w:spacing w:after="0"/>
              <w:rPr>
                <w:sz w:val="19"/>
                <w:szCs w:val="19"/>
                <w:color w:val="auto"/>
              </w:rPr>
            </w:pPr>
          </w:p>
        </w:tc>
      </w:tr>
      <w:tr>
        <w:trPr>
          <w:trHeight w:val="199"/>
        </w:trPr>
        <w:tc>
          <w:tcPr>
            <w:tcW w:w="5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jc w:val="right"/>
              <w:ind w:right="97"/>
              <w:spacing w:after="0"/>
              <w:rPr>
                <w:sz w:val="20"/>
                <w:szCs w:val="20"/>
                <w:color w:val="auto"/>
              </w:rPr>
            </w:pPr>
            <w:r>
              <w:rPr>
                <w:rFonts w:ascii="Times New Roman" w:cs="Times New Roman" w:eastAsia="Times New Roman" w:hAnsi="Times New Roman"/>
                <w:sz w:val="17"/>
                <w:szCs w:val="17"/>
                <w:i w:val="1"/>
                <w:iCs w:val="1"/>
                <w:color w:val="auto"/>
                <w:w w:val="95"/>
              </w:rPr>
              <w:t>(in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7"/>
                <w:szCs w:val="17"/>
                <w:i w:val="1"/>
                <w:iCs w:val="1"/>
                <w:color w:val="auto"/>
                <w:w w:val="74"/>
              </w:rPr>
              <w:t>thousands)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74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3,949</w:t>
            </w:r>
          </w:p>
        </w:tc>
        <w:tc>
          <w:tcPr>
            <w:tcW w:w="1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80</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(4,836.3)%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3,869</w:t>
            </w:r>
          </w:p>
        </w:tc>
      </w:tr>
      <w:tr>
        <w:trPr>
          <w:trHeight w:val="199"/>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74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(383)</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48.0%</w:t>
            </w: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(184)</w:t>
            </w:r>
          </w:p>
        </w:tc>
      </w:tr>
      <w:tr>
        <w:trPr>
          <w:trHeight w:val="25"/>
        </w:trPr>
        <w:tc>
          <w:tcPr>
            <w:tcW w:w="59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 (expense), net</w:t>
            </w:r>
          </w:p>
        </w:tc>
        <w:tc>
          <w:tcPr>
            <w:tcW w:w="74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3,382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(1,216.2)%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3,685</w:t>
            </w:r>
          </w:p>
        </w:tc>
        <w:tc>
          <w:tcPr>
            <w:tcW w:w="100" w:type="dxa"/>
            <w:vAlign w:val="bottom"/>
            <w:shd w:val="clear" w:color="auto" w:fill="CCEEFF"/>
          </w:tcPr>
          <w:p>
            <w:pPr>
              <w:spacing w:after="0"/>
              <w:rPr>
                <w:sz w:val="20"/>
                <w:szCs w:val="20"/>
                <w:color w:val="auto"/>
              </w:rPr>
            </w:pPr>
          </w:p>
        </w:tc>
      </w:tr>
      <w:tr>
        <w:trPr>
          <w:trHeight w:val="189"/>
        </w:trPr>
        <w:tc>
          <w:tcPr>
            <w:tcW w:w="590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9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 net</w:t>
            </w:r>
          </w:p>
        </w:tc>
        <w:tc>
          <w:tcPr>
            <w:tcW w:w="74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2,742</w:t>
            </w:r>
          </w:p>
        </w:tc>
        <w:tc>
          <w:tcPr>
            <w:tcW w:w="1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(428)</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(740.7)%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3,170</w:t>
            </w:r>
          </w:p>
        </w:tc>
      </w:tr>
    </w:tbl>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Interest income (expense), net consists of interest earned on our cash and equivalents and restricted cash accounts, offset by interest expense incurred from outstanding short-term borrowings. We realized $3.4 million of interest income (expense), net in the six months ended June 30, 2022 as compared to ($303,000) of interest income (expense), net in the corresponding period in 2021. The significant change from the year-ago-period resulted from a higher balance of cash and equivalents and time deposits, and higher interest rates on these balances.</w:t>
      </w:r>
    </w:p>
    <w:p>
      <w:pPr>
        <w:spacing w:after="0" w:line="17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Other income, net primarily reflects (a) gains or losses recognized from the impact of exchange rates on our foreign currency-denominated working-capital transactions and (b) depreciation of assets acquired with government subsidies, as described under “—Government Research and Development Funding” above. We realized $2.7 million of other income (expense) in the three months ended June 30, 2022, as compared to a loss of ($0.4) million in the corresponding period in 2021. The variance was due primarily to the impact to transactions that resulted from changes in the RMB-to-U.S. dollar exchange rate during the respective periods.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Unrealized loss from trading securities and equity income in net income of affiliates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3"/>
        </w:trPr>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6"/>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59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line="179" w:lineRule="exact"/>
              <w:rPr>
                <w:sz w:val="20"/>
                <w:szCs w:val="20"/>
                <w:color w:val="auto"/>
              </w:rPr>
            </w:pPr>
            <w:r>
              <w:rPr>
                <w:rFonts w:ascii="Times New Roman" w:cs="Times New Roman" w:eastAsia="Times New Roman" w:hAnsi="Times New Roman"/>
                <w:sz w:val="17"/>
                <w:szCs w:val="17"/>
                <w:b w:val="1"/>
                <w:bCs w:val="1"/>
                <w:color w:val="auto"/>
                <w:w w:val="99"/>
              </w:rPr>
              <w:t>Absolute</w:t>
            </w:r>
          </w:p>
        </w:tc>
      </w:tr>
      <w:tr>
        <w:trPr>
          <w:trHeight w:val="199"/>
        </w:trPr>
        <w:tc>
          <w:tcPr>
            <w:tcW w:w="5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6"/>
              </w:rPr>
              <w:t>% Change</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Change</w:t>
            </w:r>
          </w:p>
        </w:tc>
      </w:tr>
      <w:tr>
        <w:trPr>
          <w:trHeight w:val="224"/>
        </w:trPr>
        <w:tc>
          <w:tcPr>
            <w:tcW w:w="5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2022 v 2021</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8"/>
              </w:rPr>
              <w:t>2022 v 2021</w:t>
            </w:r>
          </w:p>
        </w:tc>
        <w:tc>
          <w:tcPr>
            <w:tcW w:w="100" w:type="dxa"/>
            <w:vAlign w:val="bottom"/>
          </w:tcPr>
          <w:p>
            <w:pPr>
              <w:spacing w:after="0"/>
              <w:rPr>
                <w:sz w:val="19"/>
                <w:szCs w:val="19"/>
                <w:color w:val="auto"/>
              </w:rPr>
            </w:pPr>
          </w:p>
        </w:tc>
      </w:tr>
      <w:tr>
        <w:trPr>
          <w:trHeight w:val="199"/>
        </w:trPr>
        <w:tc>
          <w:tcPr>
            <w:tcW w:w="5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97"/>
              <w:spacing w:after="0"/>
              <w:rPr>
                <w:sz w:val="20"/>
                <w:szCs w:val="20"/>
                <w:color w:val="auto"/>
              </w:rPr>
            </w:pPr>
            <w:r>
              <w:rPr>
                <w:rFonts w:ascii="Times New Roman" w:cs="Times New Roman" w:eastAsia="Times New Roman" w:hAnsi="Times New Roman"/>
                <w:sz w:val="17"/>
                <w:szCs w:val="17"/>
                <w:i w:val="1"/>
                <w:iCs w:val="1"/>
                <w:color w:val="auto"/>
              </w:rPr>
              <w:t>(in</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w w:val="74"/>
              </w:rPr>
              <w:t>thousands)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gain (loss) on trading securities</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(4,281)</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2,736</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(256.5)%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(7,017)</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Equity income in net income of affiliates</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401</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615</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(34.8)%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(214)</w:t>
            </w:r>
          </w:p>
        </w:tc>
      </w:tr>
    </w:tbl>
    <w:p>
      <w:pPr>
        <w:spacing w:after="0" w:line="16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We recorded an unrealized loss of $4.3 million for the six months ended June 30, 2022, as compared to an unrealized gain of $3.8 million for the same period in 2021, based on a change in market value of ACM Shanghai’s indirect investment in SMIC shares on the STAR Market as is described in note 15 to the condensed consolidated financial statements included in this report. Equity income in net income of affiliates increased by $0.2 million for the three months ended June 30, 2022.</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49"/>
        </w:trPr>
        <w:tc>
          <w:tcPr>
            <w:tcW w:w="9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i w:val="1"/>
                <w:iCs w:val="1"/>
                <w:color w:val="0000EE"/>
                <w:w w:val="99"/>
              </w:rPr>
              <w:t>Table of Contents</w:t>
            </w:r>
          </w:p>
        </w:tc>
        <w:tc>
          <w:tcPr>
            <w:tcW w:w="7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54"/>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Income Tax Benefit (Expense)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8"/>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presents components of income tax benefit (expense) for the indicated periods: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3"/>
        </w:trPr>
        <w:tc>
          <w:tcPr>
            <w:tcW w:w="94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ind w:left="10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04"/>
        </w:trPr>
        <w:tc>
          <w:tcPr>
            <w:tcW w:w="94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100" w:type="dxa"/>
            <w:vAlign w:val="bottom"/>
          </w:tcPr>
          <w:p>
            <w:pPr>
              <w:spacing w:after="0"/>
              <w:rPr>
                <w:sz w:val="17"/>
                <w:szCs w:val="17"/>
                <w:color w:val="auto"/>
              </w:rPr>
            </w:pPr>
          </w:p>
        </w:tc>
      </w:tr>
      <w:tr>
        <w:trPr>
          <w:trHeight w:val="204"/>
        </w:trPr>
        <w:tc>
          <w:tcPr>
            <w:tcW w:w="94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97"/>
              <w:spacing w:after="0"/>
              <w:rPr>
                <w:sz w:val="20"/>
                <w:szCs w:val="20"/>
                <w:color w:val="auto"/>
              </w:rPr>
            </w:pPr>
            <w:r>
              <w:rPr>
                <w:rFonts w:ascii="Times New Roman" w:cs="Times New Roman" w:eastAsia="Times New Roman" w:hAnsi="Times New Roman"/>
                <w:sz w:val="17"/>
                <w:szCs w:val="17"/>
                <w:i w:val="1"/>
                <w:iCs w:val="1"/>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i w:val="1"/>
                <w:iCs w:val="1"/>
                <w:color w:val="auto"/>
                <w:w w:val="74"/>
              </w:rPr>
              <w:t>thousands)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8680" w:type="dxa"/>
            <w:vAlign w:val="bottom"/>
            <w:tcBorders>
              <w:top w:val="single" w:sz="8" w:color="CCEEFF"/>
              <w:bottom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Total income tax benefit (expense)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bl>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We recognized a tax expense of $3.7 million for the six months ended June 30, 2022 as compared to a tax benefit of $2.8 million for prior year period. The increased tax expense in 2022 primarily resulted from the tax effect of increased operating profit generated and an increase in our effective income tax rate. The increase in our effective income tax rate for the six months ended June 30, 2022 compared to the same period of the prior year was primarily due to a new requirement to capitalize and amortize previously deductible research and experimental expenses resulting from a change in Section 174 made by the TCJA which became effective on January 1, 2022, and a decrease in discrete tax benefits associated with stock-based compensation deductions. The capitalization of overseas R&amp;D expenses resulted in a significant increase in our global intangible low-taxed income inclusion. Congress is considering legislation, but legislation has not passed, that would defer the capitalization requirement to later years.</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Our effective tax rate differs from statutory rates of 21% for U.S. federal income tax purposes and 12.5% to 25% for Chinese income tax purposes due to the treatment of stock-based compensation including the impact from stock option exercises and non-US research expenses. Our two PRC subsidiaries, ACM Shanghai and ACM Research (Wuxi), Inc., are liable for PRC corporate income taxes at the rates of 12.5% and 25%, respectively. Pursuant to the Corporate Income Tax Law of the PRC, our PRC subsidiaries generally would be liable for PRC corporate income taxes at a rate of 25%. According to Guoshuihan 2009 No. 203, an entity certified as an “advanced and new technology enterprise” is entitled to a preferential income tax rate of 15%. ACM Shanghai was certified as an “advanced and new technology enterprise” in 2012 and again in 2016 and 2018, with an effective period of three years. In 2021, ACM Shanghai was certified as an eligible integrated circuit production enterprise and is entitled to a preferential income tax rate of 12.5% from January 1, 2020 to December 31, 2022 instead of 15%.</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file income tax returns in the United States and state and foreign jurisdictions. Those federal, state and foreign income tax returns are under the statute of limitations subject to tax examinations for 1999 through 2021.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49"/>
        </w:trPr>
        <w:tc>
          <w:tcPr>
            <w:tcW w:w="9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i w:val="1"/>
                <w:iCs w:val="1"/>
                <w:color w:val="0000EE"/>
                <w:w w:val="99"/>
              </w:rPr>
              <w:t>Table of Contents</w:t>
            </w:r>
          </w:p>
        </w:tc>
        <w:tc>
          <w:tcPr>
            <w:tcW w:w="5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54"/>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Net Income Attributable to Non-Controlling Interests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3"/>
        </w:trPr>
        <w:tc>
          <w:tcPr>
            <w:tcW w:w="9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6"/>
          </w:tcPr>
          <w:p>
            <w:pPr>
              <w:ind w:left="8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9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line="179" w:lineRule="exact"/>
              <w:rPr>
                <w:sz w:val="20"/>
                <w:szCs w:val="20"/>
                <w:color w:val="auto"/>
              </w:rPr>
            </w:pPr>
            <w:r>
              <w:rPr>
                <w:rFonts w:ascii="Times New Roman" w:cs="Times New Roman" w:eastAsia="Times New Roman" w:hAnsi="Times New Roman"/>
                <w:sz w:val="17"/>
                <w:szCs w:val="17"/>
                <w:b w:val="1"/>
                <w:bCs w:val="1"/>
                <w:color w:val="auto"/>
                <w:w w:val="99"/>
              </w:rPr>
              <w:t>Absolute</w:t>
            </w:r>
          </w:p>
        </w:tc>
      </w:tr>
      <w:tr>
        <w:trPr>
          <w:trHeight w:val="199"/>
        </w:trPr>
        <w:tc>
          <w:tcPr>
            <w:tcW w:w="9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3"/>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 Change</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Change</w:t>
            </w:r>
          </w:p>
        </w:tc>
      </w:tr>
      <w:tr>
        <w:trPr>
          <w:trHeight w:val="224"/>
        </w:trPr>
        <w:tc>
          <w:tcPr>
            <w:tcW w:w="9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2022 v 2021</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8"/>
              </w:rPr>
              <w:t>2022 v 2021</w:t>
            </w:r>
          </w:p>
        </w:tc>
        <w:tc>
          <w:tcPr>
            <w:tcW w:w="100" w:type="dxa"/>
            <w:vAlign w:val="bottom"/>
          </w:tcPr>
          <w:p>
            <w:pPr>
              <w:spacing w:after="0"/>
              <w:rPr>
                <w:sz w:val="19"/>
                <w:szCs w:val="19"/>
                <w:color w:val="auto"/>
              </w:rPr>
            </w:pPr>
          </w:p>
        </w:tc>
      </w:tr>
      <w:tr>
        <w:trPr>
          <w:trHeight w:val="199"/>
        </w:trPr>
        <w:tc>
          <w:tcPr>
            <w:tcW w:w="9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ind w:left="580"/>
              <w:spacing w:after="0"/>
              <w:rPr>
                <w:sz w:val="20"/>
                <w:szCs w:val="20"/>
                <w:color w:val="auto"/>
              </w:rPr>
            </w:pPr>
            <w:r>
              <w:rPr>
                <w:rFonts w:ascii="Times New Roman" w:cs="Times New Roman" w:eastAsia="Times New Roman" w:hAnsi="Times New Roman"/>
                <w:sz w:val="17"/>
                <w:szCs w:val="17"/>
                <w:i w:val="1"/>
                <w:iCs w:val="1"/>
                <w:color w:val="auto"/>
              </w:rPr>
              <w:t>(in</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w w:val="77"/>
              </w:rPr>
              <w:t>thousands)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2,855</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1,119</w:t>
            </w:r>
          </w:p>
        </w:tc>
        <w:tc>
          <w:tcPr>
            <w:tcW w:w="1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155.1%  $</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1,736</w:t>
            </w:r>
          </w:p>
        </w:tc>
      </w:tr>
    </w:tbl>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2019 ACM Shanghai sold shares representing 8.3% of its outstanding ACM Shanghai shares, after which ACM Research held the remaining 91.7% of ACM Shanghai’s outstanding shares. In 2021 ACM Shanghai sold a total number shares representing an additional 10% of its outstanding ACM Shanghai shares in its STAR IPO, after which ACM Research held the remaining 82.5% of ACM Shanghai’s outstanding shares. As a result, we reflect, the portion of our net income allocable to the minority holders of ACM Shanghai shares as net income attributable to non-controlling interests.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six months ended June 30, 2022, this amount totaled $2.9 million as compared to $1.1 million in the corresponding period in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translation adjustment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3"/>
        </w:trPr>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ind w:left="10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6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line="179" w:lineRule="exact"/>
              <w:rPr>
                <w:sz w:val="20"/>
                <w:szCs w:val="20"/>
                <w:color w:val="auto"/>
              </w:rPr>
            </w:pPr>
            <w:r>
              <w:rPr>
                <w:rFonts w:ascii="Times New Roman" w:cs="Times New Roman" w:eastAsia="Times New Roman" w:hAnsi="Times New Roman"/>
                <w:sz w:val="17"/>
                <w:szCs w:val="17"/>
                <w:b w:val="1"/>
                <w:bCs w:val="1"/>
                <w:color w:val="auto"/>
                <w:w w:val="99"/>
              </w:rPr>
              <w:t>Absolute</w:t>
            </w:r>
          </w:p>
        </w:tc>
      </w:tr>
      <w:tr>
        <w:trPr>
          <w:trHeight w:val="199"/>
        </w:trPr>
        <w:tc>
          <w:tcPr>
            <w:tcW w:w="6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 Change</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Change</w:t>
            </w:r>
          </w:p>
        </w:tc>
      </w:tr>
      <w:tr>
        <w:trPr>
          <w:trHeight w:val="224"/>
        </w:trPr>
        <w:tc>
          <w:tcPr>
            <w:tcW w:w="6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2022 v 2021</w:t>
            </w:r>
          </w:p>
        </w:tc>
        <w:tc>
          <w:tcPr>
            <w:tcW w:w="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8"/>
              </w:rPr>
              <w:t>2022 v 2021</w:t>
            </w:r>
          </w:p>
        </w:tc>
        <w:tc>
          <w:tcPr>
            <w:tcW w:w="100" w:type="dxa"/>
            <w:vAlign w:val="bottom"/>
          </w:tcPr>
          <w:p>
            <w:pPr>
              <w:spacing w:after="0"/>
              <w:rPr>
                <w:sz w:val="19"/>
                <w:szCs w:val="19"/>
                <w:color w:val="auto"/>
              </w:rPr>
            </w:pPr>
          </w:p>
        </w:tc>
      </w:tr>
      <w:tr>
        <w:trPr>
          <w:trHeight w:val="199"/>
        </w:trPr>
        <w:tc>
          <w:tcPr>
            <w:tcW w:w="6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97"/>
              <w:spacing w:after="0"/>
              <w:rPr>
                <w:sz w:val="20"/>
                <w:szCs w:val="20"/>
                <w:color w:val="auto"/>
              </w:rPr>
            </w:pPr>
            <w:r>
              <w:rPr>
                <w:rFonts w:ascii="Times New Roman" w:cs="Times New Roman" w:eastAsia="Times New Roman" w:hAnsi="Times New Roman"/>
                <w:sz w:val="17"/>
                <w:szCs w:val="17"/>
                <w:i w:val="1"/>
                <w:iCs w:val="1"/>
                <w:color w:val="auto"/>
              </w:rPr>
              <w:t>(in</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w w:val="74"/>
              </w:rPr>
              <w:t>thousands)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(37,918)</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1,668</w:t>
            </w:r>
          </w:p>
        </w:tc>
        <w:tc>
          <w:tcPr>
            <w:tcW w:w="98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7"/>
                <w:szCs w:val="17"/>
                <w:color w:val="auto"/>
                <w:w w:val="95"/>
              </w:rPr>
              <w:t>(2,373.3</w:t>
            </w:r>
          </w:p>
        </w:tc>
        <w:tc>
          <w:tcPr>
            <w:tcW w:w="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1"/>
              </w:rPr>
              <w:t>)% $</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(39,586)</w:t>
            </w:r>
          </w:p>
        </w:tc>
      </w:tr>
    </w:tbl>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recorded a foreign currency translation adjustment of ($37.9) million for the six months ended June 30, 2022, as compared to $1.7 million for the same period in 2021, based on the net effect of RMB to dollar exchange rate fluctuations for the period on the converted value of ACM Shanghai’s RMB-denominated balances to U.S. dollar equivalents. The amount was especially large due to a significant weakening of the RMB versus the U.S. dollar during the period.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During the first six months of 2022, we funded our technology development and operations principally through our beginning global cash balances, including the cash balances at ACM Shanghai, and borrowings by ACM Shanghai from local financial institutions. Cash and cash equivalents, short-term time deposits and long-term time deposits declined by $94.3 million for the six-months ended June 30, 2022 primarily due to $61.3 million net cash used by operations, $22.2 million decrease due to the effect of foreign exchange on cash balances, $5.3 million in capital expenditures, and $5.0 million cash used by financing activities.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tbl>
      <w:tblPr>
        <w:tblLayout w:type="fixed"/>
        <w:tblInd w:w="2260" w:type="dxa"/>
        <w:tblCellMar>
          <w:top w:w="0" w:type="dxa"/>
          <w:left w:w="0" w:type="dxa"/>
          <w:bottom w:w="0" w:type="dxa"/>
          <w:right w:w="0" w:type="dxa"/>
        </w:tblCellMar>
      </w:tblPr>
      <w:tr>
        <w:trPr>
          <w:trHeight w:val="199"/>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5"/>
              </w:rPr>
              <w:t>June 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4"/>
        </w:trPr>
        <w:tc>
          <w:tcPr>
            <w:tcW w:w="3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40" w:type="dxa"/>
            <w:vAlign w:val="bottom"/>
            <w:vMerge w:val="restart"/>
          </w:tcPr>
          <w:p>
            <w:pPr>
              <w:spacing w:after="0"/>
              <w:rPr>
                <w:sz w:val="20"/>
                <w:szCs w:val="20"/>
                <w:color w:val="auto"/>
              </w:rPr>
            </w:pPr>
            <w:r>
              <w:rPr>
                <w:rFonts w:ascii="Times New Roman" w:cs="Times New Roman" w:eastAsia="Times New Roman" w:hAnsi="Times New Roman"/>
                <w:sz w:val="17"/>
                <w:szCs w:val="17"/>
                <w:i w:val="1"/>
                <w:iCs w:val="1"/>
                <w:color w:val="auto"/>
              </w:rPr>
              <w:t>Cash and cash equivalents and time deposits:</w:t>
            </w:r>
          </w:p>
        </w:tc>
        <w:tc>
          <w:tcPr>
            <w:tcW w:w="10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w w:val="94"/>
              </w:rPr>
              <w:t>(in thousands)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323,716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562,548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time deposits</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70,030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Long-term time deposits</w:t>
            </w: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74,500</w:t>
            </w: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468,246</w:t>
            </w:r>
          </w:p>
        </w:tc>
        <w:tc>
          <w:tcPr>
            <w:tcW w:w="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562,548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believe our existing cash and cash equivalents and short-term and long-term time deposits, our cash flow from operating activities, and bank borrowings by ACM Shanghai will be sufficient to meet our anticipated cash needs for at least the next twelve months. Our anticipated cash needs for the next twelve months do not require receipt of any PRC government subsidies.</w:t>
      </w:r>
    </w:p>
    <w:p>
      <w:pPr>
        <w:spacing w:after="0" w:line="1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Our future working capital needs beyond the next twelve months will depend on many factors, including the rate of our business and revenue growth, the payment schedules of our customers, the timing and magnitude of our capital expenditures, and the timing of investment in our research and development as well as sales and marketing. We believe our existing cash and cash equivalents and short-term and long-term time deposits, our cash flow from operating activities, and bank borrowings by ACM Shanghai will be sufficient to meet our anticipated cash needs within our longer term planning horizon. 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affect an equity or debt financing on terms acceptable to us or at all.</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Restrictions under PRC laws and regulations as well as restrictions under ACM Shanghai’s bank loan agreements, may significantly restrict ACM Shanghai’s ability to transfer a portion of ACM Shanghai’s net assets to ACM Research, other subsidiaries of ACM Research and to holders of ACM Research Class A common stock. See “Item 1A. Risk Factors–Regulatory Risks–The PRC’s currency exchange control and government restrictions on investment repatriation may impact our ability to transfer funds outside of the PRC, which could materially and adversely affect our ability to grow, make investments or acquisitions that could benefit our business, otherwise fund and conduct our business, or pay dividends on our common stock.” in our Annual Report.</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For the six months ended June 30, 2022 and 2021, no transfers, dividends, or distributions have been made between ACM Research, and its subsidiaries, including ACM Shanghai, or to holders of ACM Research Class A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do not have any off-balance sheet financing arrangements as defined in Item 303(a)(4) of Regulation S-K.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Contractual Obligations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Grant Contract for State-owned Construction Land Use Right in Shanghai City</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In 2020 ACM Shanghai, through its wholly-owned subsidiary ACM Shengwei, entered into a Grant Contract for State-owned Construction Land Use Right in Shanghai City (Category of R&amp;D Headquarters and Industrial Projects), or the Grant Agreement, with the China (Shanghai) Pilot Free Trade Zone Lin-gang Special Area Administration, or the Grantor. ACM Shengwei obtained rights to use approximately 43,000 square meters (10.6 acres) of land in the Lingang Heavy Equipment Industrial Zone of Lin-gang Special Area of China (Shanghai) Pilot Free Trade Zone, or the Land Use Right, for a period of fifty years, commencing on the date of delivery of the land in July 2020, which we refer to as the Delivery Date.</w:t>
      </w:r>
    </w:p>
    <w:p>
      <w:pPr>
        <w:spacing w:after="0" w:line="17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In exchange for its land use rights, ACM Shengwei paid aggregate grant fees of RMB 61.7 million ($9.5 million), or the Grant Fees, and a performance deposit of RMB 12.3 million ($1.9 million), which is equal to 20% of the aggregate grant fees, to secure its achievement of the following performance milestones:</w:t>
      </w:r>
    </w:p>
    <w:p>
      <w:pPr>
        <w:spacing w:after="0" w:line="159" w:lineRule="exact"/>
        <w:rPr>
          <w:sz w:val="20"/>
          <w:szCs w:val="20"/>
          <w:color w:val="auto"/>
        </w:rPr>
      </w:pPr>
    </w:p>
    <w:p>
      <w:pPr>
        <w:ind w:left="440" w:hanging="440"/>
        <w:spacing w:after="0"/>
        <w:tabs>
          <w:tab w:leader="none" w:pos="4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start of construction within 6 months after the Delivery Date (60% of the performance deposit), or Construction Start Milestone;</w:t>
      </w:r>
    </w:p>
    <w:p>
      <w:pPr>
        <w:spacing w:after="0" w:line="20" w:lineRule="exact"/>
        <w:rPr>
          <w:rFonts w:ascii="Times New Roman" w:cs="Times New Roman" w:eastAsia="Times New Roman" w:hAnsi="Times New Roman"/>
          <w:sz w:val="17"/>
          <w:szCs w:val="17"/>
          <w:color w:val="auto"/>
        </w:rPr>
      </w:pPr>
    </w:p>
    <w:p>
      <w:pPr>
        <w:ind w:left="440" w:hanging="440"/>
        <w:spacing w:after="0"/>
        <w:tabs>
          <w:tab w:leader="none" w:pos="4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completion of construction within 30 months after the Delivery Date (20% of the performance deposit), or Construction Completion Milestone; and</w:t>
      </w:r>
    </w:p>
    <w:p>
      <w:pPr>
        <w:spacing w:after="0" w:line="3" w:lineRule="exact"/>
        <w:rPr>
          <w:rFonts w:ascii="Times New Roman" w:cs="Times New Roman" w:eastAsia="Times New Roman" w:hAnsi="Times New Roman"/>
          <w:sz w:val="17"/>
          <w:szCs w:val="17"/>
          <w:color w:val="auto"/>
        </w:rPr>
      </w:pPr>
    </w:p>
    <w:p>
      <w:pPr>
        <w:ind w:left="440" w:hanging="440"/>
        <w:spacing w:after="0"/>
        <w:tabs>
          <w:tab w:leader="none" w:pos="4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start of production within 42 months after the Delivery Date (20% of the performance deposit), or Production Start Milestone.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Upon satisfaction of a milestone, the portion of the performance deposit attributable to that milestone will be repayable to ACM Shengwei within ten business days. If the achievement of any of the above milestones is delayed or abandoned, ACM Shengwei may be subject to additional penalties and may lose its rights to both the use of the granted land and any partially completed facilities on that land.</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status of the performance milestones for the period ending June 30, 2022 is as follows:</w:t>
      </w:r>
    </w:p>
    <w:p>
      <w:pPr>
        <w:spacing w:after="0" w:line="203" w:lineRule="exact"/>
        <w:rPr>
          <w:sz w:val="20"/>
          <w:szCs w:val="20"/>
          <w:color w:val="auto"/>
        </w:rPr>
      </w:pPr>
    </w:p>
    <w:p>
      <w:pPr>
        <w:ind w:left="600" w:hanging="302"/>
        <w:spacing w:after="0"/>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ACM Shengwei achieved the Construction Start Milestone and 60% of the performance deposit was refunded to ACM Shanghai in 2020.</w:t>
      </w:r>
    </w:p>
    <w:p>
      <w:pPr>
        <w:spacing w:after="0" w:line="20" w:lineRule="exact"/>
        <w:rPr>
          <w:rFonts w:ascii="Times New Roman" w:cs="Times New Roman" w:eastAsia="Times New Roman" w:hAnsi="Times New Roman"/>
          <w:sz w:val="17"/>
          <w:szCs w:val="17"/>
          <w:color w:val="auto"/>
        </w:rPr>
      </w:pPr>
    </w:p>
    <w:p>
      <w:pPr>
        <w:jc w:val="both"/>
        <w:ind w:left="600" w:hanging="302"/>
        <w:spacing w:after="0" w:line="246" w:lineRule="auto"/>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Construction Completion Milestone is required to be met prior to January 9, 2023. Although this date has not yet been reached, due to COVID-19 related restrictions, ACM Shengwei has experienced delays and does not expect to meet the milestone, and plans to file a request for an extension in December 2022. We cannot guarantee the extension will be met or that ACM Shengwei will be refunded this 20% portion of the performance deposit.</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Contractual penalties in the case of a delay of Construction Completion Milestone</w:t>
      </w:r>
      <w:r>
        <w:rPr>
          <w:rFonts w:ascii="Times New Roman" w:cs="Times New Roman" w:eastAsia="Times New Roman" w:hAnsi="Times New Roman"/>
          <w:sz w:val="17"/>
          <w:szCs w:val="17"/>
          <w:color w:val="auto"/>
        </w:rPr>
        <w:t>:</w:t>
      </w:r>
    </w:p>
    <w:p>
      <w:pPr>
        <w:spacing w:after="0" w:line="205" w:lineRule="exact"/>
        <w:rPr>
          <w:sz w:val="20"/>
          <w:szCs w:val="20"/>
          <w:color w:val="auto"/>
        </w:rPr>
      </w:pPr>
    </w:p>
    <w:p>
      <w:pPr>
        <w:ind w:left="1200" w:hanging="305"/>
        <w:spacing w:after="0" w:line="254" w:lineRule="auto"/>
        <w:tabs>
          <w:tab w:leader="none" w:pos="120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ACM Shengwei fails to complete the construction pursuant to the date agreed under the Grant Agreement or any extended completion date approved by the Grantor, ACM Shengwei shall pay 50% of the deposit for timely completion of construction as liquidated damages;</w:t>
      </w:r>
    </w:p>
    <w:p>
      <w:pPr>
        <w:spacing w:after="0" w:line="1" w:lineRule="exact"/>
        <w:rPr>
          <w:rFonts w:ascii="Times New Roman" w:cs="Times New Roman" w:eastAsia="Times New Roman" w:hAnsi="Times New Roman"/>
          <w:sz w:val="17"/>
          <w:szCs w:val="17"/>
          <w:color w:val="auto"/>
        </w:rPr>
      </w:pPr>
    </w:p>
    <w:p>
      <w:pPr>
        <w:ind w:left="1200" w:hanging="305"/>
        <w:spacing w:after="0" w:line="244" w:lineRule="auto"/>
        <w:tabs>
          <w:tab w:leader="none" w:pos="120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ACM Shengwei delays the completion for more than six months beyond the date agreed under the Grant Agreement, or beyond any extended completion date approved by the Grantor, it shall pay the total deposit for timely completion of construction as liquidated damages.</w:t>
      </w:r>
    </w:p>
    <w:p>
      <w:pPr>
        <w:jc w:val="both"/>
        <w:ind w:left="1200" w:hanging="305"/>
        <w:spacing w:after="0" w:line="246" w:lineRule="auto"/>
        <w:tabs>
          <w:tab w:leader="none" w:pos="120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delay is more than one year, the Grantor is entitled to terminate the Grant Agreement and take back the Land Use Right. In such case, the Grantor shall refund the Grant Fees for the remaining land use term after deducting the deposit agreed under the Grant Agreement and refund the deposit for timely commencement of production and relevant bank interests in full to ACM Shengwei.</w:t>
      </w:r>
    </w:p>
    <w:p>
      <w:pPr>
        <w:spacing w:after="0" w:line="178" w:lineRule="exact"/>
        <w:rPr>
          <w:rFonts w:ascii="Times New Roman" w:cs="Times New Roman" w:eastAsia="Times New Roman" w:hAnsi="Times New Roman"/>
          <w:sz w:val="17"/>
          <w:szCs w:val="17"/>
          <w:color w:val="auto"/>
        </w:rPr>
      </w:pPr>
    </w:p>
    <w:p>
      <w:pPr>
        <w:jc w:val="both"/>
        <w:ind w:left="600" w:hanging="302"/>
        <w:spacing w:after="0" w:line="256" w:lineRule="auto"/>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Production Start Milestone is required to be met prior to January 9, 2024. Although this date has not yet been reached, ACM Shengwei plans to also file a request for an extension of this milestone due to COVID-related delays. We cannot guarantee the extension will be met or that ACM Shengwei will be refunded this 20% portion of the performance deposit.</w:t>
      </w:r>
    </w:p>
    <w:p>
      <w:pPr>
        <w:spacing w:after="0" w:line="168"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Contractual penalties in the case of a delay of Production Start Milestone</w:t>
      </w:r>
      <w:r>
        <w:rPr>
          <w:rFonts w:ascii="Times New Roman" w:cs="Times New Roman" w:eastAsia="Times New Roman" w:hAnsi="Times New Roman"/>
          <w:sz w:val="17"/>
          <w:szCs w:val="17"/>
          <w:color w:val="auto"/>
        </w:rPr>
        <w:t>:</w:t>
      </w:r>
    </w:p>
    <w:p>
      <w:pPr>
        <w:spacing w:after="0" w:line="204" w:lineRule="exact"/>
        <w:rPr>
          <w:rFonts w:ascii="Times New Roman" w:cs="Times New Roman" w:eastAsia="Times New Roman" w:hAnsi="Times New Roman"/>
          <w:sz w:val="17"/>
          <w:szCs w:val="17"/>
          <w:color w:val="auto"/>
        </w:rPr>
      </w:pPr>
    </w:p>
    <w:p>
      <w:pPr>
        <w:ind w:left="1200" w:hanging="305"/>
        <w:spacing w:after="0" w:line="254" w:lineRule="auto"/>
        <w:tabs>
          <w:tab w:leader="none" w:pos="120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ACM Shengwei fails to commence production pursuant to the date agreed under the Grant Agreement or any extended commencement date approved by the Grantor, ACM Shengwei shall pay the total deposits for timely commencement of production as liquidated damages;</w:t>
      </w:r>
    </w:p>
    <w:p>
      <w:pPr>
        <w:spacing w:after="0" w:line="1" w:lineRule="exact"/>
        <w:rPr>
          <w:rFonts w:ascii="Times New Roman" w:cs="Times New Roman" w:eastAsia="Times New Roman" w:hAnsi="Times New Roman"/>
          <w:sz w:val="17"/>
          <w:szCs w:val="17"/>
          <w:color w:val="auto"/>
        </w:rPr>
      </w:pPr>
    </w:p>
    <w:p>
      <w:pPr>
        <w:jc w:val="both"/>
        <w:ind w:left="1200" w:hanging="305"/>
        <w:spacing w:after="0" w:line="246" w:lineRule="auto"/>
        <w:tabs>
          <w:tab w:leader="none" w:pos="120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ACM Shengwei fails to commence production pursuant to the extended commencement of production date, the Grantor is entitled to terminate the Grant Agreement and take back the Land Use Right. In such case, the Grantor shall refund the Grant Fees for the remaining land use term after deducting the deposit agreed under the Grant Agreement to ACM Shengwei.</w:t>
      </w:r>
    </w:p>
    <w:p>
      <w:pPr>
        <w:spacing w:after="0" w:line="17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In addition to the milestones, covenants in the Grant Agreement require that, among other things, ACM Shengwei will be required to pay liquidated damages in the event that:</w:t>
      </w:r>
    </w:p>
    <w:p>
      <w:pPr>
        <w:spacing w:after="0" w:line="159" w:lineRule="exact"/>
        <w:rPr>
          <w:sz w:val="20"/>
          <w:szCs w:val="20"/>
          <w:color w:val="auto"/>
        </w:rPr>
      </w:pPr>
    </w:p>
    <w:p>
      <w:pPr>
        <w:jc w:val="both"/>
        <w:spacing w:after="0" w:line="256" w:lineRule="auto"/>
        <w:tabs>
          <w:tab w:leader="none" w:pos="23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does not make a total investment (including the costs of construction, fixtures, equipment and grant fees) of at least RMB 450.0 million ($63.4 million). ACM Shengwei shall pay the liquidated damages equal to the same proportion of the Grant Fees as the proportion of the actual shortfall amount of investment in the total agreed investment amount or the investment intensity.</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spacing w:after="0" w:line="252" w:lineRule="auto"/>
        <w:tabs>
          <w:tab w:leader="none" w:pos="24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six years after the Delivery Date, or prior to July 9, 2026, it does not (i) generate a minimum specified amount of annual sales of products manufactured on the granted land or (ii) pay to the PRC at least RMB 157.6 million ($22.2 million) in annual total taxes (including value-added taxes, corporate income tax, personal income taxes, urban maintenance and construction taxes, education surcharges, stamp taxes, and vehicle and shipping taxes) as a result of operations in connection with the granted land.</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If the total tax revenue of the project tax fails to reach but is no less than 80% of the standard agreed under the Grant Agreement, ACM Shengwei shall pay 20% of the actual shortfall amount of the tax revenue as liquidated damages. If the total tax revenue of the project fails to reach 80% of the standard agreed under the Grant Agreement within 1 month after the agreed date of reaching target production, the Grantor is entitled to terminate this Contract, take back the Land Use Right, and shall refund the Grant Fees for the remaining Land Use Term to ACM Shengwei.</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If the Grant Agreement is terminated because of breach of any terms above, the Grantor shall take back the buildings, fixtures and auxiliary facilities on the land area and provide ACM Shengwei with corresponding compensation according to the residual value of the buildings, fixtures and auxiliary facilities when they are taken back. The total of buildings and construction in progress related to ACM Shengwei amounted to $7.9 million and $5.6 million at June 30, 2022 and December 31, 2021,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Loan and Mortgage Contract for Lingang, Shanghai Housing Units</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In connection with its financing the purchase of housing units in Lingang, Shanghai, or the Property, in November 2020 ACM Shengwei entered into a Loan and Mortgage Contract, or the Loan Agreement, with China Merchants Bank Co., Ltd., Shanghai Pilot Free Trade Zone Lin-Gang Special Area Sub-branch, or the Lender, pursuant to which the ACM Shengwei obtained a loan in the aggregate amount of $19.6 million. The loan under the Loan Agreement is secured by a pledge of the Property, which ACM Shangwei’s subsidiary received ownership of in January 2022, and is guaranteed by ACM Shanghai. Under the Loan Agreement, ACM Shengwei must deliver the right certificate of the Property within sixty days of the execution of the Loan Agreement or the Lender has the right to, among other things, declare a breach of contract and enforce its remedies under the Loan Agreement, which remedies include the ability to declare any borrowings outstanding, together with accrued and unpaid interest and fees, to be immediately due and payable. As of the date of this report, ACM Shengwei and its developer have been unable to obtain the required right certificate of the Property due to administrative difficulties related to the COVID 19 pandemic and, as a result, the procedures of the formal pledge registration by the Lender have not been completed. The Lender delivered a letter to ACM Shengwei on July 27, 2022 confirming that it is aware of the cause of the delay in ACM Shengwei’s delivery of the right certificate of the Property and as of the date of this report has not taken any action to date as a result of the delay. The Lender could, however, assert at any time that the delay is a breach of contract and, among other remedies, could seek to declare the amounts owing under the Loan Agreement to be due and payable. The Shanghai Lingang Industrial Zone Public Rental Housing Construction and Operation Management Co., Ltd., or the Developer, delivered a letter to ACM Shengwei on August 4, 2022, citing a force majeure delay due to the COVID-19-related restrictions in Shanghai for the delay of the initial registration of the housing ownership, and that it expects to complete the initial registration of housing ownership by the end of August 2022. See “Risks Related to International Aspects of Our Business—As the result of administrative delays in the PRC related to the COVID-19 pandemic, ACM Research’s indirect subsidiary ACM Shengwei has not been able to obtain the right certificate of property in Lingang, Shanghai as required by its Loan and Mortgage Contract, and our liquidity, financial position and business would be adversely affected if the lender bank were to assert successfully that the failure to obtain the right certificate is a breach of the Loan and Mortgage Contract” in Item 1A. Risk Factors” of Part II of this report.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Funds</w:t>
      </w:r>
    </w:p>
    <w:p>
      <w:pPr>
        <w:spacing w:after="0" w:line="20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Equity and Equity-related Securities. </w:t>
      </w:r>
      <w:r>
        <w:rPr>
          <w:rFonts w:ascii="Times New Roman" w:cs="Times New Roman" w:eastAsia="Times New Roman" w:hAnsi="Times New Roman"/>
          <w:sz w:val="17"/>
          <w:szCs w:val="17"/>
          <w:color w:val="auto"/>
        </w:rPr>
        <w:t>During the six months ended June 30, 2022, we received proceeds of $0.8 million from sales of ACM Research Class A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pursuant to option exercises.</w:t>
      </w:r>
    </w:p>
    <w:p>
      <w:pPr>
        <w:spacing w:after="0" w:line="156"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Short-Term and Long-Term Loan Facilities. </w:t>
      </w:r>
      <w:r>
        <w:rPr>
          <w:rFonts w:ascii="Times New Roman" w:cs="Times New Roman" w:eastAsia="Times New Roman" w:hAnsi="Times New Roman"/>
          <w:sz w:val="17"/>
          <w:szCs w:val="17"/>
          <w:color w:val="auto"/>
        </w:rPr>
        <w:t>During the six months ended June 30, 2022, ACM Shanghai paid $5 million to reduce the balance outstanding of our short-term and long-term borrowings. ACM Shanghai, together with its subsidiaries, has short-term and long-term borrowings with five banks,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80" w:type="dxa"/>
            <w:vAlign w:val="bottom"/>
          </w:tcPr>
          <w:p>
            <w:pPr>
              <w:spacing w:after="0"/>
              <w:rPr>
                <w:sz w:val="17"/>
                <w:szCs w:val="17"/>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Amount</w:t>
            </w:r>
          </w:p>
        </w:tc>
      </w:tr>
      <w:tr>
        <w:trPr>
          <w:trHeight w:val="199"/>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3"/>
          </w:tcPr>
          <w:p>
            <w:pPr>
              <w:jc w:val="center"/>
              <w:ind w:right="297"/>
              <w:spacing w:after="0"/>
              <w:rPr>
                <w:sz w:val="20"/>
                <w:szCs w:val="20"/>
                <w:color w:val="auto"/>
              </w:rPr>
            </w:pPr>
            <w:r>
              <w:rPr>
                <w:rFonts w:ascii="Times New Roman" w:cs="Times New Roman" w:eastAsia="Times New Roman" w:hAnsi="Times New Roman"/>
                <w:sz w:val="17"/>
                <w:szCs w:val="17"/>
                <w:b w:val="1"/>
                <w:bCs w:val="1"/>
                <w:color w:val="auto"/>
              </w:rPr>
              <w:t>Annual</w:t>
            </w:r>
          </w:p>
        </w:tc>
        <w:tc>
          <w:tcPr>
            <w:tcW w:w="1220" w:type="dxa"/>
            <w:vAlign w:val="bottom"/>
            <w:gridSpan w:val="2"/>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w w:val="99"/>
              </w:rPr>
              <w:t>Borrowing</w:t>
            </w:r>
          </w:p>
        </w:tc>
        <w:tc>
          <w:tcPr>
            <w:tcW w:w="8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Outstanding</w:t>
            </w:r>
          </w:p>
        </w:tc>
      </w:tr>
      <w:tr>
        <w:trPr>
          <w:trHeight w:val="224"/>
        </w:trPr>
        <w:tc>
          <w:tcPr>
            <w:tcW w:w="24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7"/>
                <w:szCs w:val="17"/>
                <w:b w:val="1"/>
                <w:bCs w:val="1"/>
                <w:color w:val="auto"/>
              </w:rPr>
              <w:t>Lender</w:t>
            </w:r>
          </w:p>
        </w:tc>
        <w:tc>
          <w:tcPr>
            <w:tcW w:w="100" w:type="dxa"/>
            <w:vAlign w:val="bottom"/>
          </w:tcPr>
          <w:p>
            <w:pPr>
              <w:spacing w:after="0"/>
              <w:rPr>
                <w:sz w:val="19"/>
                <w:szCs w:val="19"/>
                <w:color w:val="auto"/>
              </w:rPr>
            </w:pPr>
          </w:p>
        </w:tc>
        <w:tc>
          <w:tcPr>
            <w:tcW w:w="21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b w:val="1"/>
                <w:bCs w:val="1"/>
                <w:color w:val="auto"/>
              </w:rPr>
              <w:t>Agreement Date</w:t>
            </w:r>
          </w:p>
        </w:tc>
        <w:tc>
          <w:tcPr>
            <w:tcW w:w="100" w:type="dxa"/>
            <w:vAlign w:val="bottom"/>
          </w:tcPr>
          <w:p>
            <w:pPr>
              <w:spacing w:after="0"/>
              <w:rPr>
                <w:sz w:val="19"/>
                <w:szCs w:val="19"/>
                <w:color w:val="auto"/>
              </w:rPr>
            </w:pPr>
          </w:p>
        </w:tc>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Maturity Date</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Interest Rate</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Amount(1)</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at June 30, 2022</w:t>
            </w:r>
          </w:p>
        </w:tc>
        <w:tc>
          <w:tcPr>
            <w:tcW w:w="100" w:type="dxa"/>
            <w:vAlign w:val="bottom"/>
          </w:tcPr>
          <w:p>
            <w:pPr>
              <w:spacing w:after="0"/>
              <w:rPr>
                <w:sz w:val="19"/>
                <w:szCs w:val="19"/>
                <w:color w:val="auto"/>
              </w:rPr>
            </w:pPr>
          </w:p>
        </w:tc>
      </w:tr>
      <w:tr>
        <w:trPr>
          <w:trHeight w:val="199"/>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(in</w:t>
            </w:r>
          </w:p>
        </w:tc>
        <w:tc>
          <w:tcPr>
            <w:tcW w:w="1580" w:type="dxa"/>
            <w:vAlign w:val="bottom"/>
            <w:gridSpan w:val="3"/>
          </w:tcPr>
          <w:p>
            <w:pPr>
              <w:jc w:val="right"/>
              <w:ind w:right="797"/>
              <w:spacing w:after="0"/>
              <w:rPr>
                <w:sz w:val="20"/>
                <w:szCs w:val="20"/>
                <w:color w:val="auto"/>
              </w:rPr>
            </w:pPr>
            <w:r>
              <w:rPr>
                <w:rFonts w:ascii="Times New Roman" w:cs="Times New Roman" w:eastAsia="Times New Roman" w:hAnsi="Times New Roman"/>
                <w:sz w:val="17"/>
                <w:szCs w:val="17"/>
                <w:i w:val="1"/>
                <w:iCs w:val="1"/>
                <w:color w:val="auto"/>
                <w:w w:val="91"/>
              </w:rPr>
              <w:t>thousands)</w:t>
            </w:r>
          </w:p>
        </w:tc>
        <w:tc>
          <w:tcPr>
            <w:tcW w:w="100" w:type="dxa"/>
            <w:vAlign w:val="bottom"/>
          </w:tcPr>
          <w:p>
            <w:pPr>
              <w:spacing w:after="0"/>
              <w:rPr>
                <w:sz w:val="17"/>
                <w:szCs w:val="17"/>
                <w:color w:val="auto"/>
              </w:rPr>
            </w:pPr>
          </w:p>
        </w:tc>
      </w:tr>
      <w:tr>
        <w:trPr>
          <w:trHeight w:val="19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D0D0D"/>
              </w:rPr>
              <w:t>Bank of Shanghai Pudong Branch</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D0D0D"/>
              </w:rPr>
              <w:t>June 2021</w:t>
            </w:r>
          </w:p>
        </w:tc>
        <w:tc>
          <w:tcPr>
            <w:tcW w:w="2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0D0D0D"/>
              </w:rPr>
              <w:t>June 2022</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0D0D0D"/>
              </w:rPr>
              <w:t>RMB100,000</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D0D0D"/>
              </w:rPr>
              <w:t>-</w:t>
            </w:r>
          </w:p>
        </w:tc>
        <w:tc>
          <w:tcPr>
            <w:tcW w:w="100" w:type="dxa"/>
            <w:vAlign w:val="bottom"/>
            <w:shd w:val="clear" w:color="auto" w:fill="CCEEFF"/>
          </w:tcPr>
          <w:p>
            <w:pPr>
              <w:spacing w:after="0"/>
              <w:rPr>
                <w:sz w:val="17"/>
                <w:szCs w:val="17"/>
                <w:color w:val="auto"/>
              </w:rPr>
            </w:pPr>
          </w:p>
        </w:tc>
      </w:tr>
      <w:tr>
        <w:trPr>
          <w:trHeight w:val="199"/>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D0D0D"/>
              </w:rPr>
              <w:t>$</w:t>
            </w:r>
          </w:p>
        </w:tc>
        <w:tc>
          <w:tcPr>
            <w:tcW w:w="1220" w:type="dxa"/>
            <w:vAlign w:val="bottom"/>
            <w:gridSpan w:val="2"/>
          </w:tcPr>
          <w:p>
            <w:pPr>
              <w:jc w:val="right"/>
              <w:ind w:right="157"/>
              <w:spacing w:after="0"/>
              <w:rPr>
                <w:sz w:val="20"/>
                <w:szCs w:val="20"/>
                <w:color w:val="auto"/>
              </w:rPr>
            </w:pPr>
            <w:r>
              <w:rPr>
                <w:rFonts w:ascii="Times New Roman" w:cs="Times New Roman" w:eastAsia="Times New Roman" w:hAnsi="Times New Roman"/>
                <w:sz w:val="17"/>
                <w:szCs w:val="17"/>
                <w:color w:val="0D0D0D"/>
              </w:rPr>
              <w:t>14,900</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0D0D0D"/>
              </w:rPr>
              <w:t>-</w:t>
            </w:r>
          </w:p>
        </w:tc>
        <w:tc>
          <w:tcPr>
            <w:tcW w:w="100" w:type="dxa"/>
            <w:vAlign w:val="bottom"/>
          </w:tcPr>
          <w:p>
            <w:pPr>
              <w:spacing w:after="0"/>
              <w:rPr>
                <w:sz w:val="17"/>
                <w:szCs w:val="17"/>
                <w:color w:val="auto"/>
              </w:rPr>
            </w:pPr>
          </w:p>
        </w:tc>
      </w:tr>
      <w:tr>
        <w:trPr>
          <w:trHeight w:val="19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D0D0D"/>
              </w:rPr>
              <w:t>China Everbright Bank</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D0D0D"/>
              </w:rPr>
              <w:t>July 2021</w:t>
            </w:r>
          </w:p>
        </w:tc>
        <w:tc>
          <w:tcPr>
            <w:tcW w:w="2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0D0D0D"/>
              </w:rPr>
              <w:t>October 2022</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0D0D0D"/>
              </w:rPr>
              <w:t>1.95%</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0D0D0D"/>
              </w:rPr>
              <w:t>RMB150,000</w:t>
            </w: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D0D0D"/>
              </w:rPr>
              <w:t>RMB22,875</w:t>
            </w:r>
          </w:p>
        </w:tc>
      </w:tr>
      <w:tr>
        <w:trPr>
          <w:trHeight w:val="199"/>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D0D0D"/>
              </w:rPr>
              <w:t>$</w:t>
            </w:r>
          </w:p>
        </w:tc>
        <w:tc>
          <w:tcPr>
            <w:tcW w:w="1220" w:type="dxa"/>
            <w:vAlign w:val="bottom"/>
            <w:gridSpan w:val="2"/>
          </w:tcPr>
          <w:p>
            <w:pPr>
              <w:jc w:val="right"/>
              <w:ind w:right="157"/>
              <w:spacing w:after="0"/>
              <w:rPr>
                <w:sz w:val="20"/>
                <w:szCs w:val="20"/>
                <w:color w:val="auto"/>
              </w:rPr>
            </w:pPr>
            <w:r>
              <w:rPr>
                <w:rFonts w:ascii="Times New Roman" w:cs="Times New Roman" w:eastAsia="Times New Roman" w:hAnsi="Times New Roman"/>
                <w:sz w:val="17"/>
                <w:szCs w:val="17"/>
                <w:color w:val="0D0D0D"/>
              </w:rPr>
              <w:t>22,350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D0D0D"/>
                <w:w w:val="70"/>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D0D0D"/>
              </w:rPr>
              <w:t>3,408</w:t>
            </w:r>
          </w:p>
        </w:tc>
      </w:tr>
      <w:tr>
        <w:trPr>
          <w:trHeight w:val="19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D0D0D"/>
              </w:rPr>
              <w:t>Bank of Communications</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D0D0D"/>
              </w:rPr>
              <w:t>July 2021</w:t>
            </w:r>
          </w:p>
        </w:tc>
        <w:tc>
          <w:tcPr>
            <w:tcW w:w="2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0D0D0D"/>
              </w:rPr>
              <w:t>October 2022</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0D0D0D"/>
              </w:rPr>
              <w:t>3.85%</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0D0D0D"/>
              </w:rPr>
              <w:t>RMB60,000</w:t>
            </w: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D0D0D"/>
              </w:rPr>
              <w:t>RMB10,000</w:t>
            </w:r>
          </w:p>
        </w:tc>
      </w:tr>
      <w:tr>
        <w:trPr>
          <w:trHeight w:val="199"/>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D0D0D"/>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0D0D0D"/>
              </w:rPr>
              <w:t>8,940</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D0D0D"/>
                <w:w w:val="70"/>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D0D0D"/>
              </w:rPr>
              <w:t>1,490</w:t>
            </w:r>
          </w:p>
        </w:tc>
      </w:tr>
      <w:tr>
        <w:trPr>
          <w:trHeight w:val="19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D0D0D"/>
              </w:rPr>
              <w:t>China Merchants Bank</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D0D0D"/>
              </w:rPr>
              <w:t>October 2021</w:t>
            </w:r>
          </w:p>
        </w:tc>
        <w:tc>
          <w:tcPr>
            <w:tcW w:w="2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0D0D0D"/>
              </w:rPr>
              <w:t>October 2022</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0D0D0D"/>
              </w:rPr>
              <w:t>RMB100,000</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D0D0D"/>
              </w:rPr>
              <w:t>-</w:t>
            </w:r>
          </w:p>
        </w:tc>
        <w:tc>
          <w:tcPr>
            <w:tcW w:w="100" w:type="dxa"/>
            <w:vAlign w:val="bottom"/>
            <w:shd w:val="clear" w:color="auto" w:fill="CCEEFF"/>
          </w:tcPr>
          <w:p>
            <w:pPr>
              <w:spacing w:after="0"/>
              <w:rPr>
                <w:sz w:val="17"/>
                <w:szCs w:val="17"/>
                <w:color w:val="auto"/>
              </w:rPr>
            </w:pPr>
          </w:p>
        </w:tc>
      </w:tr>
      <w:tr>
        <w:trPr>
          <w:trHeight w:val="199"/>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D0D0D"/>
              </w:rPr>
              <w:t>$</w:t>
            </w:r>
          </w:p>
        </w:tc>
        <w:tc>
          <w:tcPr>
            <w:tcW w:w="1220" w:type="dxa"/>
            <w:vAlign w:val="bottom"/>
            <w:gridSpan w:val="2"/>
          </w:tcPr>
          <w:p>
            <w:pPr>
              <w:jc w:val="right"/>
              <w:ind w:right="157"/>
              <w:spacing w:after="0"/>
              <w:rPr>
                <w:sz w:val="20"/>
                <w:szCs w:val="20"/>
                <w:color w:val="auto"/>
              </w:rPr>
            </w:pPr>
            <w:r>
              <w:rPr>
                <w:rFonts w:ascii="Times New Roman" w:cs="Times New Roman" w:eastAsia="Times New Roman" w:hAnsi="Times New Roman"/>
                <w:sz w:val="17"/>
                <w:szCs w:val="17"/>
                <w:color w:val="0D0D0D"/>
              </w:rPr>
              <w:t>14,900</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0D0D0D"/>
              </w:rPr>
              <w:t>-</w:t>
            </w:r>
          </w:p>
        </w:tc>
        <w:tc>
          <w:tcPr>
            <w:tcW w:w="100" w:type="dxa"/>
            <w:vAlign w:val="bottom"/>
          </w:tcPr>
          <w:p>
            <w:pPr>
              <w:spacing w:after="0"/>
              <w:rPr>
                <w:sz w:val="17"/>
                <w:szCs w:val="17"/>
                <w:color w:val="auto"/>
              </w:rPr>
            </w:pPr>
          </w:p>
        </w:tc>
      </w:tr>
      <w:tr>
        <w:trPr>
          <w:trHeight w:val="183"/>
        </w:trPr>
        <w:tc>
          <w:tcPr>
            <w:tcW w:w="24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D0D0D"/>
              </w:rPr>
              <w:t>China Merchants Bank</w:t>
            </w: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D0D0D"/>
              </w:rPr>
              <w:t>November 2020</w:t>
            </w:r>
          </w:p>
        </w:tc>
        <w:tc>
          <w:tcPr>
            <w:tcW w:w="2240" w:type="dxa"/>
            <w:vAlign w:val="bottom"/>
            <w:gridSpan w:val="2"/>
            <w:shd w:val="clear" w:color="auto" w:fill="CCEEFF"/>
          </w:tcPr>
          <w:p>
            <w:pPr>
              <w:ind w:left="100"/>
              <w:spacing w:after="0" w:line="183" w:lineRule="exact"/>
              <w:rPr>
                <w:sz w:val="20"/>
                <w:szCs w:val="20"/>
                <w:color w:val="auto"/>
              </w:rPr>
            </w:pPr>
            <w:r>
              <w:rPr>
                <w:rFonts w:ascii="Times New Roman" w:cs="Times New Roman" w:eastAsia="Times New Roman" w:hAnsi="Times New Roman"/>
                <w:sz w:val="17"/>
                <w:szCs w:val="17"/>
                <w:color w:val="0D0D0D"/>
              </w:rPr>
              <w:t>Repayable by</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57"/>
              <w:spacing w:after="0" w:line="183" w:lineRule="exact"/>
              <w:rPr>
                <w:sz w:val="20"/>
                <w:szCs w:val="20"/>
                <w:color w:val="auto"/>
              </w:rPr>
            </w:pPr>
            <w:r>
              <w:rPr>
                <w:rFonts w:ascii="Times New Roman" w:cs="Times New Roman" w:eastAsia="Times New Roman" w:hAnsi="Times New Roman"/>
                <w:sz w:val="17"/>
                <w:szCs w:val="17"/>
                <w:color w:val="0D0D0D"/>
              </w:rPr>
              <w:t>RMB128,500</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00"/>
              <w:spacing w:after="0" w:line="183" w:lineRule="exact"/>
              <w:rPr>
                <w:sz w:val="20"/>
                <w:szCs w:val="20"/>
                <w:color w:val="auto"/>
              </w:rPr>
            </w:pPr>
            <w:r>
              <w:rPr>
                <w:rFonts w:ascii="Times New Roman" w:cs="Times New Roman" w:eastAsia="Times New Roman" w:hAnsi="Times New Roman"/>
                <w:sz w:val="17"/>
                <w:szCs w:val="17"/>
                <w:color w:val="0D0D0D"/>
              </w:rPr>
              <w:t>RMB111,909</w:t>
            </w:r>
          </w:p>
        </w:tc>
      </w:tr>
      <w:tr>
        <w:trPr>
          <w:trHeight w:val="199"/>
        </w:trPr>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0D0D0D"/>
              </w:rPr>
              <w:t>installments and the last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0D0D0D"/>
              </w:rPr>
              <w:t>installments repayable in</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0D0D0D"/>
              </w:rPr>
              <w:t>November 2030</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0D0D0D"/>
              </w:rPr>
              <w:t>4.65%</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9"/>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D0D0D"/>
              </w:rPr>
              <w:t>$</w:t>
            </w:r>
          </w:p>
        </w:tc>
        <w:tc>
          <w:tcPr>
            <w:tcW w:w="1220" w:type="dxa"/>
            <w:vAlign w:val="bottom"/>
            <w:gridSpan w:val="2"/>
          </w:tcPr>
          <w:p>
            <w:pPr>
              <w:jc w:val="right"/>
              <w:ind w:right="157"/>
              <w:spacing w:after="0"/>
              <w:rPr>
                <w:sz w:val="20"/>
                <w:szCs w:val="20"/>
                <w:color w:val="auto"/>
              </w:rPr>
            </w:pPr>
            <w:r>
              <w:rPr>
                <w:rFonts w:ascii="Times New Roman" w:cs="Times New Roman" w:eastAsia="Times New Roman" w:hAnsi="Times New Roman"/>
                <w:sz w:val="17"/>
                <w:szCs w:val="17"/>
                <w:color w:val="0D0D0D"/>
              </w:rPr>
              <w:t>19,147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D0D0D"/>
                <w:w w:val="70"/>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D0D0D"/>
              </w:rPr>
              <w:t>16,675</w:t>
            </w:r>
          </w:p>
        </w:tc>
      </w:tr>
      <w:tr>
        <w:trPr>
          <w:trHeight w:val="183"/>
        </w:trPr>
        <w:tc>
          <w:tcPr>
            <w:tcW w:w="24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D0D0D"/>
              </w:rPr>
              <w:t>Bank of China</w:t>
            </w: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D0D0D"/>
              </w:rPr>
              <w:t>June 2021</w:t>
            </w:r>
          </w:p>
        </w:tc>
        <w:tc>
          <w:tcPr>
            <w:tcW w:w="2240" w:type="dxa"/>
            <w:vAlign w:val="bottom"/>
            <w:gridSpan w:val="2"/>
            <w:shd w:val="clear" w:color="auto" w:fill="CCEEFF"/>
          </w:tcPr>
          <w:p>
            <w:pPr>
              <w:ind w:left="100"/>
              <w:spacing w:after="0" w:line="183" w:lineRule="exact"/>
              <w:rPr>
                <w:sz w:val="20"/>
                <w:szCs w:val="20"/>
                <w:color w:val="auto"/>
              </w:rPr>
            </w:pPr>
            <w:r>
              <w:rPr>
                <w:rFonts w:ascii="Times New Roman" w:cs="Times New Roman" w:eastAsia="Times New Roman" w:hAnsi="Times New Roman"/>
                <w:sz w:val="17"/>
                <w:szCs w:val="17"/>
                <w:color w:val="0D0D0D"/>
              </w:rPr>
              <w:t>Repayable by</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57"/>
              <w:spacing w:after="0" w:line="183" w:lineRule="exact"/>
              <w:rPr>
                <w:sz w:val="20"/>
                <w:szCs w:val="20"/>
                <w:color w:val="auto"/>
              </w:rPr>
            </w:pPr>
            <w:r>
              <w:rPr>
                <w:rFonts w:ascii="Times New Roman" w:cs="Times New Roman" w:eastAsia="Times New Roman" w:hAnsi="Times New Roman"/>
                <w:sz w:val="17"/>
                <w:szCs w:val="17"/>
                <w:color w:val="0D0D0D"/>
              </w:rPr>
              <w:t>RMB10,000</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00"/>
              <w:spacing w:after="0" w:line="183" w:lineRule="exact"/>
              <w:rPr>
                <w:sz w:val="20"/>
                <w:szCs w:val="20"/>
                <w:color w:val="auto"/>
              </w:rPr>
            </w:pPr>
            <w:r>
              <w:rPr>
                <w:rFonts w:ascii="Times New Roman" w:cs="Times New Roman" w:eastAsia="Times New Roman" w:hAnsi="Times New Roman"/>
                <w:sz w:val="17"/>
                <w:szCs w:val="17"/>
                <w:color w:val="0D0D0D"/>
              </w:rPr>
              <w:t>RMB9,000</w:t>
            </w:r>
          </w:p>
        </w:tc>
      </w:tr>
      <w:tr>
        <w:trPr>
          <w:trHeight w:val="199"/>
        </w:trPr>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0D0D0D"/>
              </w:rPr>
              <w:t>installments and the last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0D0D0D"/>
              </w:rPr>
              <w:t>installments repayable in</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0D0D0D"/>
              </w:rPr>
              <w:t>June 2024</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0D0D0D"/>
              </w:rPr>
              <w:t>2.60%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9"/>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D0D0D"/>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0D0D0D"/>
              </w:rPr>
              <w:t>1,490</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D0D0D"/>
                <w:w w:val="70"/>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D0D0D"/>
              </w:rPr>
              <w:t>1,341</w:t>
            </w:r>
          </w:p>
        </w:tc>
      </w:tr>
      <w:tr>
        <w:trPr>
          <w:trHeight w:val="183"/>
        </w:trPr>
        <w:tc>
          <w:tcPr>
            <w:tcW w:w="24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D0D0D"/>
              </w:rPr>
              <w:t>Bank of China</w:t>
            </w: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D0D0D"/>
              </w:rPr>
              <w:t>September, 2021</w:t>
            </w:r>
          </w:p>
        </w:tc>
        <w:tc>
          <w:tcPr>
            <w:tcW w:w="2240" w:type="dxa"/>
            <w:vAlign w:val="bottom"/>
            <w:gridSpan w:val="2"/>
            <w:shd w:val="clear" w:color="auto" w:fill="CCEEFF"/>
          </w:tcPr>
          <w:p>
            <w:pPr>
              <w:ind w:left="100"/>
              <w:spacing w:after="0" w:line="183" w:lineRule="exact"/>
              <w:rPr>
                <w:sz w:val="20"/>
                <w:szCs w:val="20"/>
                <w:color w:val="auto"/>
              </w:rPr>
            </w:pPr>
            <w:r>
              <w:rPr>
                <w:rFonts w:ascii="Times New Roman" w:cs="Times New Roman" w:eastAsia="Times New Roman" w:hAnsi="Times New Roman"/>
                <w:sz w:val="17"/>
                <w:szCs w:val="17"/>
                <w:color w:val="0D0D0D"/>
              </w:rPr>
              <w:t>Repayable by</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57"/>
              <w:spacing w:after="0" w:line="183" w:lineRule="exact"/>
              <w:rPr>
                <w:sz w:val="20"/>
                <w:szCs w:val="20"/>
                <w:color w:val="auto"/>
              </w:rPr>
            </w:pPr>
            <w:r>
              <w:rPr>
                <w:rFonts w:ascii="Times New Roman" w:cs="Times New Roman" w:eastAsia="Times New Roman" w:hAnsi="Times New Roman"/>
                <w:sz w:val="17"/>
                <w:szCs w:val="17"/>
                <w:color w:val="0D0D0D"/>
              </w:rPr>
              <w:t>RMB35,000</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00"/>
              <w:spacing w:after="0" w:line="183" w:lineRule="exact"/>
              <w:rPr>
                <w:sz w:val="20"/>
                <w:szCs w:val="20"/>
                <w:color w:val="auto"/>
              </w:rPr>
            </w:pPr>
            <w:r>
              <w:rPr>
                <w:rFonts w:ascii="Times New Roman" w:cs="Times New Roman" w:eastAsia="Times New Roman" w:hAnsi="Times New Roman"/>
                <w:sz w:val="17"/>
                <w:szCs w:val="17"/>
                <w:color w:val="0D0D0D"/>
              </w:rPr>
              <w:t>RMB33,250</w:t>
            </w:r>
          </w:p>
        </w:tc>
      </w:tr>
      <w:tr>
        <w:trPr>
          <w:trHeight w:val="199"/>
        </w:trPr>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0D0D0D"/>
              </w:rPr>
              <w:t>installments and the last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0D0D0D"/>
              </w:rPr>
              <w:t>installments repayable in</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0D0D0D"/>
              </w:rPr>
              <w:t>September 2021</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0D0D0D"/>
              </w:rPr>
              <w:t>2.60%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4"/>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D0D0D"/>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0D0D0D"/>
              </w:rPr>
              <w:t>5,215</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D0D0D"/>
                <w:w w:val="70"/>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D0D0D"/>
              </w:rPr>
              <w:t>4,954</w:t>
            </w:r>
          </w:p>
        </w:tc>
      </w:tr>
      <w:tr>
        <w:trPr>
          <w:trHeight w:val="239"/>
        </w:trPr>
        <w:tc>
          <w:tcPr>
            <w:tcW w:w="2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3"/>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86,942</w:t>
            </w: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27,868</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3" w:lineRule="exact"/>
        <w:rPr>
          <w:sz w:val="20"/>
          <w:szCs w:val="20"/>
          <w:color w:val="auto"/>
        </w:rPr>
      </w:pPr>
    </w:p>
    <w:p>
      <w:pPr>
        <w:jc w:val="both"/>
        <w:ind w:left="440" w:hanging="440"/>
        <w:spacing w:after="0" w:line="256" w:lineRule="auto"/>
        <w:tabs>
          <w:tab w:leader="none" w:pos="4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Converted from RMB to dollars as of June 30, 2022. All of the amounts owing under the line of credit with Bank of Shanghai Pudong Branch are guaranteed CleanChip Technologies LTD, a wholly-owned subsidiary of ACM Shanghai. The loan from China Merchants Bank is secured by a pledge of the property of ACM Shengwei and guaranteed by ACM Shanghai, as described above under “—Contractual Obligations.”</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Government Research and Development Grants. </w:t>
      </w:r>
      <w:r>
        <w:rPr>
          <w:rFonts w:ascii="Times New Roman" w:cs="Times New Roman" w:eastAsia="Times New Roman" w:hAnsi="Times New Roman"/>
          <w:sz w:val="17"/>
          <w:szCs w:val="17"/>
          <w:color w:val="auto"/>
        </w:rPr>
        <w:t>As described under “—Key Components of Results of Operations—PRC Government Research and Development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Funding,” ACM Shanghai has received research and development grants from local and central PRC governmental authorities. ACM Shanghai received no cash payments related to such grants in the first six months of 2022, as compared to cash receipts of $0.6 million in the same period of 2021. Not all grant amounts are received in the year in which a grant is awarded. Because of the nature and terms of the grants, the amounts and timing of payments under the grants are difficult to predict and vary from period to period. In addition, we expect to apply for additional grants when available in the future, but the grant application process can extend for a significant period of time and we cannot predict whether, or when, we will determine to apply for any such grants.</w:t>
      </w:r>
    </w:p>
    <w:p>
      <w:pPr>
        <w:spacing w:after="0" w:line="177"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Advances from Customers. </w:t>
      </w:r>
      <w:r>
        <w:rPr>
          <w:rFonts w:ascii="Times New Roman" w:cs="Times New Roman" w:eastAsia="Times New Roman" w:hAnsi="Times New Roman"/>
          <w:sz w:val="17"/>
          <w:szCs w:val="17"/>
          <w:color w:val="auto"/>
        </w:rPr>
        <w:t>During the six-months ended June 30, 2022, advances from customers increased $41.6 million, due to an increase of payments made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customers for first tools under evaluation, and an increase in pre-payments made by customers prior to delivery of repeat tools.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49"/>
        </w:trPr>
        <w:tc>
          <w:tcPr>
            <w:tcW w:w="9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i w:val="1"/>
                <w:iCs w:val="1"/>
                <w:color w:val="0000EE"/>
                <w:w w:val="99"/>
              </w:rPr>
              <w:t>Table of Contents</w:t>
            </w:r>
          </w:p>
        </w:tc>
        <w:tc>
          <w:tcPr>
            <w:tcW w:w="9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35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 xml:space="preserve">Working Capital. </w:t>
            </w:r>
            <w:r>
              <w:rPr>
                <w:rFonts w:ascii="Times New Roman" w:cs="Times New Roman" w:eastAsia="Times New Roman" w:hAnsi="Times New Roman"/>
                <w:sz w:val="17"/>
                <w:szCs w:val="17"/>
                <w:color w:val="auto"/>
              </w:rPr>
              <w:t>The following table sets forth selected working capital information:</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3"/>
        </w:trPr>
        <w:tc>
          <w:tcPr>
            <w:tcW w:w="940" w:type="dxa"/>
            <w:vAlign w:val="bottom"/>
          </w:tcPr>
          <w:p>
            <w:pPr>
              <w:spacing w:after="0"/>
              <w:rPr>
                <w:sz w:val="24"/>
                <w:szCs w:val="24"/>
                <w:color w:val="auto"/>
              </w:rPr>
            </w:pPr>
          </w:p>
        </w:tc>
        <w:tc>
          <w:tcPr>
            <w:tcW w:w="9080" w:type="dxa"/>
            <w:vAlign w:val="bottom"/>
          </w:tcPr>
          <w:p>
            <w:pPr>
              <w:spacing w:after="0"/>
              <w:rPr>
                <w:sz w:val="24"/>
                <w:szCs w:val="24"/>
                <w:color w:val="auto"/>
              </w:rPr>
            </w:pP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June 30, 2022</w:t>
            </w:r>
          </w:p>
        </w:tc>
      </w:tr>
      <w:tr>
        <w:trPr>
          <w:trHeight w:val="199"/>
        </w:trPr>
        <w:tc>
          <w:tcPr>
            <w:tcW w:w="940" w:type="dxa"/>
            <w:vAlign w:val="bottom"/>
          </w:tcPr>
          <w:p>
            <w:pPr>
              <w:spacing w:after="0"/>
              <w:rPr>
                <w:sz w:val="17"/>
                <w:szCs w:val="17"/>
                <w:color w:val="auto"/>
              </w:rPr>
            </w:pPr>
          </w:p>
        </w:tc>
        <w:tc>
          <w:tcPr>
            <w:tcW w:w="90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323,716</w:t>
            </w:r>
          </w:p>
        </w:tc>
        <w:tc>
          <w:tcPr>
            <w:tcW w:w="80" w:type="dxa"/>
            <w:vAlign w:val="bottom"/>
            <w:shd w:val="clear" w:color="auto" w:fill="CCEEFF"/>
          </w:tcPr>
          <w:p>
            <w:pPr>
              <w:spacing w:after="0"/>
              <w:rPr>
                <w:sz w:val="17"/>
                <w:szCs w:val="17"/>
                <w:color w:val="auto"/>
              </w:rPr>
            </w:pPr>
          </w:p>
        </w:tc>
      </w:tr>
      <w:tr>
        <w:trPr>
          <w:trHeight w:val="199"/>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Accounts receivable, less allowance for doubtful amounts</w:t>
            </w: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154,627</w:t>
            </w:r>
          </w:p>
        </w:tc>
        <w:tc>
          <w:tcPr>
            <w:tcW w:w="80" w:type="dxa"/>
            <w:vAlign w:val="bottom"/>
          </w:tcPr>
          <w:p>
            <w:pPr>
              <w:spacing w:after="0"/>
              <w:rPr>
                <w:sz w:val="17"/>
                <w:szCs w:val="17"/>
                <w:color w:val="auto"/>
              </w:rPr>
            </w:pPr>
          </w:p>
        </w:tc>
      </w:tr>
      <w:tr>
        <w:trPr>
          <w:trHeight w:val="204"/>
        </w:trPr>
        <w:tc>
          <w:tcPr>
            <w:tcW w:w="10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Inventory</w:t>
            </w: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288,080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20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Working capital</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766,423</w:t>
            </w:r>
          </w:p>
        </w:tc>
        <w:tc>
          <w:tcPr>
            <w:tcW w:w="80" w:type="dxa"/>
            <w:vAlign w:val="bottom"/>
          </w:tcPr>
          <w:p>
            <w:pPr>
              <w:spacing w:after="0"/>
              <w:rPr>
                <w:sz w:val="17"/>
                <w:szCs w:val="17"/>
                <w:color w:val="auto"/>
              </w:rPr>
            </w:pPr>
          </w:p>
        </w:tc>
      </w:tr>
    </w:tbl>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Our cash and cash equivalents at June 30, 2022 were unrestricted and held for working capital purposes. ACM Shanghai, our only direct PRC subsidiary, is, however, subject to PRC restrictions on distributions to equity holders. We currently intend for ACM Shanghai to retain all available funds any future earnings for use in the operation of its business and do not anticipate its paying any cash dividends. We have not entered into, and do not expect to enter into, investments for trading or speculative purposes. Our accounts receivable balance fluctuates from period to period, which affects our cash flow from operating activities. Fluctuations vary depending on cash collections, client mix, and the timing of shipment and acceptance of our tools.</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Uses of Funds</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Cash Flow from Operating Activities. </w:t>
      </w:r>
      <w:r>
        <w:rPr>
          <w:rFonts w:ascii="Times New Roman" w:cs="Times New Roman" w:eastAsia="Times New Roman" w:hAnsi="Times New Roman"/>
          <w:sz w:val="17"/>
          <w:szCs w:val="17"/>
          <w:color w:val="auto"/>
        </w:rPr>
        <w:t>Our operations used cash flow of $61.3 million in the first six months of 2022. Our cash flow from operating activities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influenced by (a) the level of net income, (b) the amount of cash we invest in personnel and technology development to support anticipated future growth in our business, (c) increases in the number of customers using our products, and (d) the amount and timing of payments by customers.</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Capital Expenditures. </w:t>
      </w:r>
      <w:r>
        <w:rPr>
          <w:rFonts w:ascii="Times New Roman" w:cs="Times New Roman" w:eastAsia="Times New Roman" w:hAnsi="Times New Roman"/>
          <w:sz w:val="17"/>
          <w:szCs w:val="17"/>
          <w:color w:val="auto"/>
        </w:rPr>
        <w:t>We incurred $5.3 million in capital expenditures during the first six months of 2022, versus $2.4 million capital expenditures in the same period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2021. Capital expenditures in the six months ended June 30, 2022 were incurred principally for the addition of production capacity and general maintenance and improvements to our global facilities.</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Effect of exchange rate fluctuations on cash and cash equivalents. </w:t>
      </w:r>
      <w:r>
        <w:rPr>
          <w:rFonts w:ascii="Times New Roman" w:cs="Times New Roman" w:eastAsia="Times New Roman" w:hAnsi="Times New Roman"/>
          <w:sz w:val="17"/>
          <w:szCs w:val="17"/>
          <w:color w:val="auto"/>
        </w:rPr>
        <w:t>The value of our cash, and cash equivalents declined $22.2 million during the first six months of 2022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versus an increase of $0.3 million in the same period of 2021. The impact of fluctuations of the RMB to U.S. dollar currency exchange rate on a significant balance of these items held in RMB-denominated accounts (Note 2) contributed to change.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We Evaluate Our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present information below with respect to four measures of financial performance:</w:t>
      </w:r>
    </w:p>
    <w:p>
      <w:pPr>
        <w:spacing w:after="0" w:line="203" w:lineRule="exact"/>
        <w:rPr>
          <w:sz w:val="20"/>
          <w:szCs w:val="20"/>
          <w:color w:val="auto"/>
        </w:rPr>
      </w:pPr>
    </w:p>
    <w:p>
      <w:pPr>
        <w:jc w:val="both"/>
        <w:ind w:left="440" w:hanging="440"/>
        <w:spacing w:after="0" w:line="251" w:lineRule="auto"/>
        <w:tabs>
          <w:tab w:leader="none" w:pos="4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define “shipments” of tools to include (a) a “repeat” delivery to a customer of a type of tool that the customer has previously accepted, for which we recognize revenue upon delivery, and (b) a “first-time” delivery of a “first tool” to a customer on an approval basis, for which we may recognize revenue in the future if contractual conditions are met, or if a purchase order is received.</w:t>
      </w:r>
    </w:p>
    <w:p>
      <w:pPr>
        <w:ind w:left="440" w:hanging="440"/>
        <w:spacing w:after="0" w:line="244" w:lineRule="auto"/>
        <w:tabs>
          <w:tab w:leader="none" w:pos="4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define “adjusted EBITDA” as our net income excluding interest expense (net), income tax benefit (expense), depreciation and amortization, and stock-based compensation. We define adjusted EBITDA to also exclude restructuring costs, although we have not incurred any such costs to date.</w:t>
      </w:r>
    </w:p>
    <w:p>
      <w:pPr>
        <w:ind w:left="440" w:hanging="440"/>
        <w:spacing w:after="0"/>
        <w:tabs>
          <w:tab w:leader="none" w:pos="4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define “free cash flow” as net cash provided by operating activities less purchases of property and equipment (net of proceeds from disposals).</w:t>
      </w:r>
    </w:p>
    <w:p>
      <w:pPr>
        <w:spacing w:after="0" w:line="3" w:lineRule="exact"/>
        <w:rPr>
          <w:rFonts w:ascii="Times New Roman" w:cs="Times New Roman" w:eastAsia="Times New Roman" w:hAnsi="Times New Roman"/>
          <w:sz w:val="17"/>
          <w:szCs w:val="17"/>
          <w:color w:val="auto"/>
        </w:rPr>
      </w:pPr>
    </w:p>
    <w:p>
      <w:pPr>
        <w:ind w:left="440" w:hanging="440"/>
        <w:spacing w:after="0"/>
        <w:tabs>
          <w:tab w:leader="none" w:pos="4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define “adjusted operating income (loss)” as our income (loss) from operations excluding stock-based compensation.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5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Shipments, adjusted EBITDA, free cash flow and adjusted operating income (loss) are not prepared in accordance with GAAP, and should not be considered in isolation of, or as an alternative to, measures prepared in accordance with GAAP.</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Shipments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consider shipments a key operating metric as it reflects the total value of products delivered to customers and prospective customers by our productive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Shipments consist of two components:</w:t>
      </w:r>
    </w:p>
    <w:p>
      <w:pPr>
        <w:spacing w:after="0" w:line="203" w:lineRule="exact"/>
        <w:rPr>
          <w:sz w:val="20"/>
          <w:szCs w:val="20"/>
          <w:color w:val="auto"/>
        </w:rPr>
      </w:pPr>
    </w:p>
    <w:p>
      <w:pPr>
        <w:ind w:left="440" w:hanging="440"/>
        <w:spacing w:after="0"/>
        <w:tabs>
          <w:tab w:leader="none" w:pos="4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shipment to a customer of a type of tool that the customer has previously accepted, for which we recognize revenue when the tool is delivered; and</w:t>
      </w:r>
    </w:p>
    <w:p>
      <w:pPr>
        <w:spacing w:after="0" w:line="20" w:lineRule="exact"/>
        <w:rPr>
          <w:rFonts w:ascii="Times New Roman" w:cs="Times New Roman" w:eastAsia="Times New Roman" w:hAnsi="Times New Roman"/>
          <w:sz w:val="17"/>
          <w:szCs w:val="17"/>
          <w:color w:val="auto"/>
        </w:rPr>
      </w:pPr>
    </w:p>
    <w:p>
      <w:pPr>
        <w:jc w:val="both"/>
        <w:ind w:left="440" w:hanging="440"/>
        <w:spacing w:after="0" w:line="246" w:lineRule="auto"/>
        <w:tabs>
          <w:tab w:leader="none" w:pos="4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 or subject to the costumer’s subsequent discretionary commitment to purchase the tool.</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“First tool” shipments can be made to either an existing customer that has not previously accepted that specific type of tool in the past ─ for example, a delivery of a SAPS V tool to a customer that previously had received only SAPS II tools ─ or to a new customer that has never purchased any tool from us.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Shipments in the three and six months ended June 30, 2022 totaled $112 million and $179 million, as compared to $82 million and $156 million for the same periods in 2021. Repeat tool shipments in the three and six-months ended June 30, 2022 totaled $67 million and $97 million, as compared to $49 million and $87 million for the same periods in 2021. First tool shipments in the three- and six-months ended June 30, 2022 totaled $45 million and $82 million, as compared to $34 million and $69 million for the same periods in 2021.</w:t>
      </w:r>
    </w:p>
    <w:p>
      <w:pPr>
        <w:spacing w:after="0" w:line="1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dollar amount attributed to a “first tool” shipment is equal to the consideration we expect to receive if any and all contractual requirements are satisfied and the customer accepts the tool, or if the customer subsequently determines in its discretion to purchase the tool. There are a number of limitations related to the use of shipments in evaluating our business, including that customers have significant, or in some cases total, discretion in determining whether to accept or purchase our tools after evaluation and their decision not to accept or purchase delivered tools is likely to result in our inability to recognize revenue from the delivered tools. “First tool” shipments reflect the value of incremental new products under evaluation delivered to our customers or prospective customers for a given period and is used as an internal key metric to reflect future potential revenue opportunity. The cumulative cost of “first tool” shipments under evaluation at customers which have not been accepted by the customer is carried at cost and reflected in finished goods inventory (see note 5 to the condensed consolidated financial statements included in this report). “First tool” shipments exclude deliveries to customers for which ACM does not have a basis to expect future revenue.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Adjusted EBITDA</w:t>
      </w:r>
    </w:p>
    <w:p>
      <w:pPr>
        <w:spacing w:after="0" w:line="2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There are a number of limitations related to the use of adjusted EBITDA rather than net income (loss), which is the nearest GAAP equivalent. Some of these limitations are:</w:t>
      </w:r>
    </w:p>
    <w:p>
      <w:pPr>
        <w:spacing w:after="0" w:line="159" w:lineRule="exact"/>
        <w:rPr>
          <w:sz w:val="20"/>
          <w:szCs w:val="20"/>
          <w:color w:val="auto"/>
        </w:rPr>
      </w:pPr>
    </w:p>
    <w:p>
      <w:pPr>
        <w:ind w:left="440" w:hanging="440"/>
        <w:spacing w:after="0" w:line="254" w:lineRule="auto"/>
        <w:tabs>
          <w:tab w:leader="none" w:pos="4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excludes depreciation and amortization and, although these are non-cash expenses, the assets being depreciated or amortized may have to be replaced in the future;</w:t>
      </w:r>
    </w:p>
    <w:p>
      <w:pPr>
        <w:spacing w:after="0" w:line="1" w:lineRule="exact"/>
        <w:rPr>
          <w:rFonts w:ascii="Times New Roman" w:cs="Times New Roman" w:eastAsia="Times New Roman" w:hAnsi="Times New Roman"/>
          <w:sz w:val="17"/>
          <w:szCs w:val="17"/>
          <w:color w:val="auto"/>
        </w:rPr>
      </w:pPr>
    </w:p>
    <w:p>
      <w:pPr>
        <w:jc w:val="both"/>
        <w:ind w:left="440" w:hanging="440"/>
        <w:spacing w:after="0" w:line="244" w:lineRule="auto"/>
        <w:tabs>
          <w:tab w:leader="none" w:pos="4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spacing w:after="0" w:line="1" w:lineRule="exact"/>
        <w:rPr>
          <w:rFonts w:ascii="Times New Roman" w:cs="Times New Roman" w:eastAsia="Times New Roman" w:hAnsi="Times New Roman"/>
          <w:sz w:val="17"/>
          <w:szCs w:val="17"/>
          <w:color w:val="auto"/>
        </w:rPr>
      </w:pPr>
    </w:p>
    <w:p>
      <w:pPr>
        <w:ind w:left="440" w:hanging="440"/>
        <w:spacing w:after="0" w:line="244" w:lineRule="auto"/>
        <w:tabs>
          <w:tab w:leader="none" w:pos="4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expenses and other items that we exclude in our calculation of adjusted EBITDA may differ from the expenses and other items, if any, that other companies may exclude from adjusted EBITDA when they report their operating results;</w:t>
      </w:r>
    </w:p>
    <w:p>
      <w:pPr>
        <w:ind w:left="440" w:hanging="440"/>
        <w:spacing w:after="0"/>
        <w:tabs>
          <w:tab w:leader="none" w:pos="4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changes in, or cash requirements for, working capital needs;</w:t>
      </w:r>
    </w:p>
    <w:p>
      <w:pPr>
        <w:spacing w:after="0" w:line="3" w:lineRule="exact"/>
        <w:rPr>
          <w:rFonts w:ascii="Times New Roman" w:cs="Times New Roman" w:eastAsia="Times New Roman" w:hAnsi="Times New Roman"/>
          <w:sz w:val="17"/>
          <w:szCs w:val="17"/>
          <w:color w:val="auto"/>
        </w:rPr>
      </w:pPr>
    </w:p>
    <w:p>
      <w:pPr>
        <w:ind w:left="440" w:hanging="440"/>
        <w:spacing w:after="0"/>
        <w:tabs>
          <w:tab w:leader="none" w:pos="4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interest expense, or the requirements necessary to service interest or principal payments on debt;</w:t>
      </w:r>
    </w:p>
    <w:p>
      <w:pPr>
        <w:spacing w:after="0" w:line="3" w:lineRule="exact"/>
        <w:rPr>
          <w:rFonts w:ascii="Times New Roman" w:cs="Times New Roman" w:eastAsia="Times New Roman" w:hAnsi="Times New Roman"/>
          <w:sz w:val="17"/>
          <w:szCs w:val="17"/>
          <w:color w:val="auto"/>
        </w:rPr>
      </w:pPr>
    </w:p>
    <w:p>
      <w:pPr>
        <w:ind w:left="440" w:hanging="440"/>
        <w:spacing w:after="0"/>
        <w:tabs>
          <w:tab w:leader="none" w:pos="4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income tax expense (benefit) or the cash requirements to pay taxes;</w:t>
      </w:r>
    </w:p>
    <w:p>
      <w:pPr>
        <w:spacing w:after="0" w:line="3" w:lineRule="exact"/>
        <w:rPr>
          <w:rFonts w:ascii="Times New Roman" w:cs="Times New Roman" w:eastAsia="Times New Roman" w:hAnsi="Times New Roman"/>
          <w:sz w:val="17"/>
          <w:szCs w:val="17"/>
          <w:color w:val="auto"/>
        </w:rPr>
      </w:pPr>
    </w:p>
    <w:p>
      <w:pPr>
        <w:ind w:left="440" w:hanging="440"/>
        <w:spacing w:after="0"/>
        <w:tabs>
          <w:tab w:leader="none" w:pos="4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historical cash expenditures or future requirements for capital expenditures or contractual commitments;</w:t>
      </w:r>
    </w:p>
    <w:p>
      <w:pPr>
        <w:spacing w:after="0" w:line="3" w:lineRule="exact"/>
        <w:rPr>
          <w:rFonts w:ascii="Times New Roman" w:cs="Times New Roman" w:eastAsia="Times New Roman" w:hAnsi="Times New Roman"/>
          <w:sz w:val="17"/>
          <w:szCs w:val="17"/>
          <w:color w:val="auto"/>
        </w:rPr>
      </w:pPr>
    </w:p>
    <w:p>
      <w:pPr>
        <w:ind w:left="440" w:hanging="440"/>
        <w:spacing w:after="0" w:line="244" w:lineRule="auto"/>
        <w:tabs>
          <w:tab w:leader="none" w:pos="4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jc w:val="both"/>
        <w:ind w:left="440" w:hanging="440"/>
        <w:spacing w:after="0" w:line="246" w:lineRule="auto"/>
        <w:tabs>
          <w:tab w:leader="none" w:pos="4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includes expense reductions and non-operating other income attributable to PRC governmental grants, which may mask the effect of underlying developments in net income, including trends in current expenses and interest expense, and free cash flow includes the PRC governmental grants, the amount and timing of which can be difficult to predict and are outside our control.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reconciles net income, the most directly comparable GAAP financial measure, to adjusted EBITDA: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00" w:type="dxa"/>
            <w:vAlign w:val="bottom"/>
            <w:gridSpan w:val="6"/>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180"/>
              <w:spacing w:after="0" w:line="179" w:lineRule="exact"/>
              <w:rPr>
                <w:sz w:val="20"/>
                <w:szCs w:val="20"/>
                <w:color w:val="auto"/>
              </w:rPr>
            </w:pPr>
            <w:r>
              <w:rPr>
                <w:rFonts w:ascii="Times New Roman" w:cs="Times New Roman" w:eastAsia="Times New Roman" w:hAnsi="Times New Roman"/>
                <w:sz w:val="17"/>
                <w:szCs w:val="17"/>
                <w:b w:val="1"/>
                <w:bCs w:val="1"/>
                <w:color w:val="auto"/>
                <w:w w:val="99"/>
              </w:rPr>
              <w:t>Absolute</w:t>
            </w:r>
          </w:p>
        </w:tc>
        <w:tc>
          <w:tcPr>
            <w:tcW w:w="0" w:type="dxa"/>
            <w:vAlign w:val="bottom"/>
          </w:tcPr>
          <w:p>
            <w:pPr>
              <w:spacing w:after="0"/>
              <w:rPr>
                <w:sz w:val="1"/>
                <w:szCs w:val="1"/>
                <w:color w:val="auto"/>
              </w:rPr>
            </w:pPr>
          </w:p>
        </w:tc>
      </w:tr>
      <w:tr>
        <w:trPr>
          <w:trHeight w:val="199"/>
        </w:trPr>
        <w:tc>
          <w:tcPr>
            <w:tcW w:w="4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22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6"/>
              </w:rPr>
              <w:t>% Change</w:t>
            </w: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Change 2022</w:t>
            </w:r>
          </w:p>
        </w:tc>
        <w:tc>
          <w:tcPr>
            <w:tcW w:w="0" w:type="dxa"/>
            <w:vAlign w:val="bottom"/>
          </w:tcPr>
          <w:p>
            <w:pPr>
              <w:spacing w:after="0"/>
              <w:rPr>
                <w:sz w:val="1"/>
                <w:szCs w:val="1"/>
                <w:color w:val="auto"/>
              </w:rPr>
            </w:pPr>
          </w:p>
        </w:tc>
      </w:tr>
      <w:tr>
        <w:trPr>
          <w:trHeight w:val="224"/>
        </w:trPr>
        <w:tc>
          <w:tcPr>
            <w:tcW w:w="4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2022 v 2021</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8"/>
              </w:rPr>
              <w:t>v 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Adjusted EBITDA Data:</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97"/>
              <w:spacing w:after="0"/>
              <w:rPr>
                <w:sz w:val="20"/>
                <w:szCs w:val="20"/>
                <w:color w:val="auto"/>
              </w:rPr>
            </w:pPr>
            <w:r>
              <w:rPr>
                <w:rFonts w:ascii="Times New Roman" w:cs="Times New Roman" w:eastAsia="Times New Roman" w:hAnsi="Times New Roman"/>
                <w:sz w:val="17"/>
                <w:szCs w:val="17"/>
                <w:i w:val="1"/>
                <w:iCs w:val="1"/>
                <w:color w:val="auto"/>
              </w:rPr>
              <w:t>(in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7"/>
                <w:szCs w:val="17"/>
                <w:i w:val="1"/>
                <w:iCs w:val="1"/>
                <w:color w:val="auto"/>
                <w:w w:val="74"/>
              </w:rPr>
              <w:t>thousands)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3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178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9,305</w:t>
            </w:r>
          </w:p>
        </w:tc>
        <w:tc>
          <w:tcPr>
            <w:tcW w:w="1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13,156</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(29.3)%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(3,851)</w:t>
            </w:r>
          </w:p>
        </w:tc>
        <w:tc>
          <w:tcPr>
            <w:tcW w:w="0" w:type="dxa"/>
            <w:vAlign w:val="bottom"/>
          </w:tcPr>
          <w:p>
            <w:pPr>
              <w:spacing w:after="0"/>
              <w:rPr>
                <w:sz w:val="1"/>
                <w:szCs w:val="1"/>
                <w:color w:val="auto"/>
              </w:rPr>
            </w:pPr>
          </w:p>
        </w:tc>
      </w:tr>
      <w:tr>
        <w:trPr>
          <w:trHeight w:val="199"/>
        </w:trPr>
        <w:tc>
          <w:tcPr>
            <w:tcW w:w="4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(3,382)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303</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(1,216.2)%</w:t>
            </w:r>
          </w:p>
        </w:tc>
        <w:tc>
          <w:tcPr>
            <w:tcW w:w="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(3,685)</w:t>
            </w: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 benefit</w:t>
            </w:r>
          </w:p>
        </w:tc>
        <w:tc>
          <w:tcPr>
            <w:tcW w:w="1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(2,755)</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(233.1)%</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6,423</w:t>
            </w:r>
          </w:p>
        </w:tc>
        <w:tc>
          <w:tcPr>
            <w:tcW w:w="0" w:type="dxa"/>
            <w:vAlign w:val="bottom"/>
          </w:tcPr>
          <w:p>
            <w:pPr>
              <w:spacing w:after="0"/>
              <w:rPr>
                <w:sz w:val="1"/>
                <w:szCs w:val="1"/>
                <w:color w:val="auto"/>
              </w:rPr>
            </w:pPr>
          </w:p>
        </w:tc>
      </w:tr>
      <w:tr>
        <w:trPr>
          <w:trHeight w:val="199"/>
        </w:trPr>
        <w:tc>
          <w:tcPr>
            <w:tcW w:w="4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1,031</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147.8%</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1,524</w:t>
            </w: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 based compensation</w:t>
            </w:r>
          </w:p>
        </w:tc>
        <w:tc>
          <w:tcPr>
            <w:tcW w:w="1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2,545</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31.4%</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798</w:t>
            </w:r>
          </w:p>
        </w:tc>
        <w:tc>
          <w:tcPr>
            <w:tcW w:w="0" w:type="dxa"/>
            <w:vAlign w:val="bottom"/>
          </w:tcPr>
          <w:p>
            <w:pPr>
              <w:spacing w:after="0"/>
              <w:rPr>
                <w:sz w:val="1"/>
                <w:szCs w:val="1"/>
                <w:color w:val="auto"/>
              </w:rPr>
            </w:pPr>
          </w:p>
        </w:tc>
      </w:tr>
      <w:tr>
        <w:trPr>
          <w:trHeight w:val="199"/>
        </w:trPr>
        <w:tc>
          <w:tcPr>
            <w:tcW w:w="4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Unrealized (gain) loss on trading securities</w:t>
            </w: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(2,736)</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(256.5)%</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7,017</w:t>
            </w:r>
          </w:p>
        </w:tc>
        <w:tc>
          <w:tcPr>
            <w:tcW w:w="0" w:type="dxa"/>
            <w:vAlign w:val="bottom"/>
          </w:tcPr>
          <w:p>
            <w:pPr>
              <w:spacing w:after="0"/>
              <w:rPr>
                <w:sz w:val="1"/>
                <w:szCs w:val="1"/>
                <w:color w:val="auto"/>
              </w:rPr>
            </w:pPr>
          </w:p>
        </w:tc>
      </w:tr>
      <w:tr>
        <w:trPr>
          <w:trHeight w:val="25"/>
        </w:trPr>
        <w:tc>
          <w:tcPr>
            <w:tcW w:w="4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16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19,770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11,544</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71.3%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25"/>
        </w:trPr>
        <w:tc>
          <w:tcPr>
            <w:tcW w:w="4300" w:type="dxa"/>
            <w:vAlign w:val="bottom"/>
            <w:tcBorders>
              <w:top w:val="single" w:sz="8" w:color="CCEEFF"/>
            </w:tcBorders>
          </w:tcPr>
          <w:p>
            <w:pPr>
              <w:spacing w:after="0"/>
              <w:rPr>
                <w:sz w:val="24"/>
                <w:szCs w:val="24"/>
                <w:color w:val="auto"/>
              </w:rPr>
            </w:pPr>
          </w:p>
        </w:tc>
        <w:tc>
          <w:tcPr>
            <w:tcW w:w="1600" w:type="dxa"/>
            <w:vAlign w:val="bottom"/>
            <w:tcBorders>
              <w:top w:val="single" w:sz="8" w:color="CCEEFF"/>
            </w:tcBorders>
          </w:tcPr>
          <w:p>
            <w:pPr>
              <w:jc w:val="right"/>
              <w:ind w:right="125"/>
              <w:spacing w:after="0"/>
              <w:rPr>
                <w:sz w:val="20"/>
                <w:szCs w:val="20"/>
                <w:color w:val="auto"/>
              </w:rPr>
            </w:pPr>
            <w:r>
              <w:rPr>
                <w:rFonts w:ascii="Times New Roman" w:cs="Times New Roman" w:eastAsia="Times New Roman" w:hAnsi="Times New Roman"/>
                <w:sz w:val="13"/>
                <w:szCs w:val="13"/>
                <w:color w:val="auto"/>
              </w:rPr>
              <w:t>60</w:t>
            </w: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43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$8.2 million increase in adjusted EBITDA for the six months ended June 30, 2022 as compared to the same period in 2021 reflected a $3.9 million decrease in net income, a $7.0 million increase in unrealized (gain) loss on trading securities, a $1.5 million increase in depreciation and amortization, and a $0.8 million increase in stock-based compensation, partly offset by a $3.4 million impact from an increase in interest income, net, and a $6.4 million impact from a change in income tax benefit (expense)</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do not exclude from adjusted EBITDA expense reductions and non-operating other income attributable to PRC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PRC grants, please see “—Key Components of Results of Operations—PRC Government Research and Development Funding.”</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Free Cash Flow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reconciles net cash provided by (used in) operating activities, the most directly comparable GAAP financial measure, to free cash flow: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00" w:type="dxa"/>
            <w:vAlign w:val="bottom"/>
            <w:gridSpan w:val="6"/>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59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180"/>
              <w:spacing w:after="0" w:line="179" w:lineRule="exact"/>
              <w:rPr>
                <w:sz w:val="20"/>
                <w:szCs w:val="20"/>
                <w:color w:val="auto"/>
              </w:rPr>
            </w:pPr>
            <w:r>
              <w:rPr>
                <w:rFonts w:ascii="Times New Roman" w:cs="Times New Roman" w:eastAsia="Times New Roman" w:hAnsi="Times New Roman"/>
                <w:sz w:val="17"/>
                <w:szCs w:val="17"/>
                <w:b w:val="1"/>
                <w:bCs w:val="1"/>
                <w:color w:val="auto"/>
                <w:w w:val="99"/>
              </w:rPr>
              <w:t>Absolute</w:t>
            </w:r>
          </w:p>
        </w:tc>
        <w:tc>
          <w:tcPr>
            <w:tcW w:w="0" w:type="dxa"/>
            <w:vAlign w:val="bottom"/>
          </w:tcPr>
          <w:p>
            <w:pPr>
              <w:spacing w:after="0"/>
              <w:rPr>
                <w:sz w:val="1"/>
                <w:szCs w:val="1"/>
                <w:color w:val="auto"/>
              </w:rPr>
            </w:pPr>
          </w:p>
        </w:tc>
      </w:tr>
      <w:tr>
        <w:trPr>
          <w:trHeight w:val="199"/>
        </w:trPr>
        <w:tc>
          <w:tcPr>
            <w:tcW w:w="5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22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6"/>
              </w:rPr>
              <w:t>% Change</w:t>
            </w: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Change 2022</w:t>
            </w:r>
          </w:p>
        </w:tc>
        <w:tc>
          <w:tcPr>
            <w:tcW w:w="0" w:type="dxa"/>
            <w:vAlign w:val="bottom"/>
          </w:tcPr>
          <w:p>
            <w:pPr>
              <w:spacing w:after="0"/>
              <w:rPr>
                <w:sz w:val="1"/>
                <w:szCs w:val="1"/>
                <w:color w:val="auto"/>
              </w:rPr>
            </w:pPr>
          </w:p>
        </w:tc>
      </w:tr>
      <w:tr>
        <w:trPr>
          <w:trHeight w:val="224"/>
        </w:trPr>
        <w:tc>
          <w:tcPr>
            <w:tcW w:w="5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2022 v 2021</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8"/>
              </w:rPr>
              <w:t>v 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9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Free Cash Flow Data:</w:t>
            </w:r>
          </w:p>
        </w:tc>
        <w:tc>
          <w:tcPr>
            <w:tcW w:w="180" w:type="dxa"/>
            <w:vAlign w:val="bottom"/>
          </w:tcPr>
          <w:p>
            <w:pPr>
              <w:spacing w:after="0"/>
              <w:rPr>
                <w:sz w:val="18"/>
                <w:szCs w:val="18"/>
                <w:color w:val="auto"/>
              </w:rPr>
            </w:pPr>
          </w:p>
        </w:tc>
        <w:tc>
          <w:tcPr>
            <w:tcW w:w="940" w:type="dxa"/>
            <w:vAlign w:val="bottom"/>
          </w:tcPr>
          <w:p>
            <w:pPr>
              <w:jc w:val="right"/>
              <w:ind w:right="97"/>
              <w:spacing w:after="0"/>
              <w:rPr>
                <w:sz w:val="20"/>
                <w:szCs w:val="20"/>
                <w:color w:val="auto"/>
              </w:rPr>
            </w:pPr>
            <w:r>
              <w:rPr>
                <w:rFonts w:ascii="Times New Roman" w:cs="Times New Roman" w:eastAsia="Times New Roman" w:hAnsi="Times New Roman"/>
                <w:sz w:val="17"/>
                <w:szCs w:val="17"/>
                <w:i w:val="1"/>
                <w:iCs w:val="1"/>
                <w:color w:val="auto"/>
              </w:rPr>
              <w:t>(in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7"/>
                <w:szCs w:val="17"/>
                <w:i w:val="1"/>
                <w:iCs w:val="1"/>
                <w:color w:val="auto"/>
                <w:w w:val="74"/>
              </w:rPr>
              <w:t>thousands)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(61,297)</w:t>
            </w:r>
          </w:p>
        </w:tc>
        <w:tc>
          <w:tcPr>
            <w:tcW w:w="460" w:type="dxa"/>
            <w:vAlign w:val="bottom"/>
            <w:gridSpan w:val="2"/>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241</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(25,534.4)%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(61,538)</w:t>
            </w:r>
          </w:p>
        </w:tc>
        <w:tc>
          <w:tcPr>
            <w:tcW w:w="0" w:type="dxa"/>
            <w:vAlign w:val="bottom"/>
          </w:tcPr>
          <w:p>
            <w:pPr>
              <w:spacing w:after="0"/>
              <w:rPr>
                <w:sz w:val="1"/>
                <w:szCs w:val="1"/>
                <w:color w:val="auto"/>
              </w:rPr>
            </w:pPr>
          </w:p>
        </w:tc>
      </w:tr>
      <w:tr>
        <w:trPr>
          <w:trHeight w:val="199"/>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Purchase property and equipment</w:t>
            </w:r>
          </w:p>
        </w:tc>
        <w:tc>
          <w:tcPr>
            <w:tcW w:w="1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(5,256)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(2,353)</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123.4%</w:t>
            </w:r>
          </w:p>
        </w:tc>
        <w:tc>
          <w:tcPr>
            <w:tcW w:w="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(2,903)</w:t>
            </w:r>
          </w:p>
        </w:tc>
        <w:tc>
          <w:tcPr>
            <w:tcW w:w="0" w:type="dxa"/>
            <w:vAlign w:val="bottom"/>
          </w:tcPr>
          <w:p>
            <w:pPr>
              <w:spacing w:after="0"/>
              <w:rPr>
                <w:sz w:val="1"/>
                <w:szCs w:val="1"/>
                <w:color w:val="auto"/>
              </w:rPr>
            </w:pPr>
          </w:p>
        </w:tc>
      </w:tr>
      <w:tr>
        <w:trPr>
          <w:trHeight w:val="25"/>
        </w:trPr>
        <w:tc>
          <w:tcPr>
            <w:tcW w:w="5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Free cash flow</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(66,553)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(2,112)</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3,051.2%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(64,441)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$64.4 million decrease in free cash flow for the six months ended June 30, 2022 as compared to the same period in 2021 reflected the factors driving net cash provided by operating activities, including increases in advances from customers, accounts payable, other payables and accrued expenses and net income, partly offset by increases in inventory, accounts receivables, and other liabilities. These were partly offset by an increase of purchases of property and equipment and intangible assets. Consistent with our methodology for calculating adjusted EBITDA, we do not adjust free cash flow for the effects of PRC government subsidies, because we take those subsidies into account in incurring expenses and capital expenditures. We do not adjust free cash flow for the effects of time-deposits, which for our internal purposes are considered as largely similar to cash.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Operating Income</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Adjusted operating income excludes stock-based compensation from income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less. The following tables reflect the exclusion of stock-based compensation, or SBC, from line items comprising income from operations: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49"/>
        </w:trPr>
        <w:tc>
          <w:tcPr>
            <w:tcW w:w="26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58"/>
        </w:trPr>
        <w:tc>
          <w:tcPr>
            <w:tcW w:w="94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9"/>
        </w:trPr>
        <w:tc>
          <w:tcPr>
            <w:tcW w:w="9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77"/>
              <w:spacing w:after="0" w:line="179" w:lineRule="exact"/>
              <w:rPr>
                <w:sz w:val="20"/>
                <w:szCs w:val="20"/>
                <w:color w:val="auto"/>
              </w:rPr>
            </w:pPr>
            <w:r>
              <w:rPr>
                <w:rFonts w:ascii="Times New Roman" w:cs="Times New Roman" w:eastAsia="Times New Roman" w:hAnsi="Times New Roman"/>
                <w:sz w:val="17"/>
                <w:szCs w:val="17"/>
                <w:b w:val="1"/>
                <w:bCs w:val="1"/>
                <w:color w:val="auto"/>
                <w:w w:val="96"/>
              </w:rPr>
              <w:t>Adjusted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9"/>
        </w:trPr>
        <w:tc>
          <w:tcPr>
            <w:tcW w:w="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Actual</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97"/>
              <w:spacing w:after="0"/>
              <w:rPr>
                <w:sz w:val="20"/>
                <w:szCs w:val="20"/>
                <w:color w:val="auto"/>
              </w:rPr>
            </w:pPr>
            <w:r>
              <w:rPr>
                <w:rFonts w:ascii="Times New Roman" w:cs="Times New Roman" w:eastAsia="Times New Roman" w:hAnsi="Times New Roman"/>
                <w:sz w:val="17"/>
                <w:szCs w:val="17"/>
                <w:b w:val="1"/>
                <w:bCs w:val="1"/>
                <w:color w:val="auto"/>
                <w:w w:val="96"/>
              </w:rPr>
              <w:t>(Non-</w:t>
            </w:r>
          </w:p>
        </w:tc>
        <w:tc>
          <w:tcPr>
            <w:tcW w:w="180" w:type="dxa"/>
            <w:vAlign w:val="bottom"/>
          </w:tcPr>
          <w:p>
            <w:pPr>
              <w:spacing w:after="0"/>
              <w:rPr>
                <w:sz w:val="17"/>
                <w:szCs w:val="17"/>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Actual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Adjusted</w:t>
            </w:r>
          </w:p>
        </w:tc>
      </w:tr>
      <w:tr>
        <w:trPr>
          <w:trHeight w:val="224"/>
        </w:trPr>
        <w:tc>
          <w:tcPr>
            <w:tcW w:w="9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(GAAP)</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SBC</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7"/>
                <w:szCs w:val="17"/>
                <w:b w:val="1"/>
                <w:bCs w:val="1"/>
                <w:color w:val="auto"/>
                <w:w w:val="96"/>
              </w:rPr>
              <w:t>GAAP)</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(GAAP)</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SBC</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96"/>
              </w:rPr>
              <w:t>(Non-GAAP)</w:t>
            </w:r>
          </w:p>
        </w:tc>
        <w:tc>
          <w:tcPr>
            <w:tcW w:w="100" w:type="dxa"/>
            <w:vAlign w:val="bottom"/>
          </w:tcPr>
          <w:p>
            <w:pPr>
              <w:spacing w:after="0"/>
              <w:rPr>
                <w:sz w:val="19"/>
                <w:szCs w:val="19"/>
                <w:color w:val="auto"/>
              </w:rPr>
            </w:pPr>
          </w:p>
        </w:tc>
      </w:tr>
      <w:tr>
        <w:trPr>
          <w:trHeight w:val="199"/>
        </w:trPr>
        <w:tc>
          <w:tcPr>
            <w:tcW w:w="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97"/>
              <w:spacing w:after="0"/>
              <w:rPr>
                <w:sz w:val="20"/>
                <w:szCs w:val="20"/>
                <w:color w:val="auto"/>
              </w:rPr>
            </w:pPr>
            <w:r>
              <w:rPr>
                <w:rFonts w:ascii="Times New Roman" w:cs="Times New Roman" w:eastAsia="Times New Roman" w:hAnsi="Times New Roman"/>
                <w:sz w:val="17"/>
                <w:szCs w:val="17"/>
                <w:i w:val="1"/>
                <w:iCs w:val="1"/>
                <w:color w:val="auto"/>
              </w:rPr>
              <w:t>(in</w:t>
            </w:r>
          </w:p>
        </w:tc>
        <w:tc>
          <w:tcPr>
            <w:tcW w:w="1340" w:type="dxa"/>
            <w:vAlign w:val="bottom"/>
            <w:gridSpan w:val="3"/>
          </w:tcPr>
          <w:p>
            <w:pPr>
              <w:jc w:val="right"/>
              <w:ind w:right="677"/>
              <w:spacing w:after="0"/>
              <w:rPr>
                <w:sz w:val="20"/>
                <w:szCs w:val="20"/>
                <w:color w:val="auto"/>
              </w:rPr>
            </w:pPr>
            <w:r>
              <w:rPr>
                <w:rFonts w:ascii="Times New Roman" w:cs="Times New Roman" w:eastAsia="Times New Roman" w:hAnsi="Times New Roman"/>
                <w:sz w:val="17"/>
                <w:szCs w:val="17"/>
                <w:i w:val="1"/>
                <w:iCs w:val="1"/>
                <w:color w:val="auto"/>
                <w:w w:val="74"/>
              </w:rPr>
              <w:t>thousands)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146,581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146,581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97,596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97,596</w:t>
            </w:r>
          </w:p>
        </w:tc>
      </w:tr>
      <w:tr>
        <w:trPr>
          <w:trHeight w:val="20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(82,738)</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(253)</w:t>
            </w:r>
          </w:p>
        </w:tc>
        <w:tc>
          <w:tcPr>
            <w:tcW w:w="160" w:type="dxa"/>
            <w:vAlign w:val="bottom"/>
          </w:tcPr>
          <w:p>
            <w:pPr>
              <w:spacing w:after="0"/>
              <w:rPr>
                <w:sz w:val="17"/>
                <w:szCs w:val="17"/>
                <w:color w:val="auto"/>
              </w:rPr>
            </w:pPr>
          </w:p>
        </w:tc>
        <w:tc>
          <w:tcPr>
            <w:tcW w:w="11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(82,485)</w:t>
            </w:r>
          </w:p>
        </w:tc>
        <w:tc>
          <w:tcPr>
            <w:tcW w:w="18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(57,871)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(181)</w:t>
            </w:r>
          </w:p>
        </w:tc>
        <w:tc>
          <w:tcPr>
            <w:tcW w:w="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(57,690)</w:t>
            </w:r>
          </w:p>
        </w:tc>
      </w:tr>
      <w:tr>
        <w:trPr>
          <w:trHeight w:val="199"/>
        </w:trPr>
        <w:tc>
          <w:tcPr>
            <w:tcW w:w="2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Gross profit</w:t>
            </w:r>
          </w:p>
        </w:tc>
        <w:tc>
          <w:tcPr>
            <w:tcW w:w="6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63,843</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64,096</w:t>
            </w: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39,725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39,906</w:t>
            </w:r>
          </w:p>
        </w:tc>
        <w:tc>
          <w:tcPr>
            <w:tcW w:w="100" w:type="dxa"/>
            <w:vAlign w:val="bottom"/>
            <w:shd w:val="clear" w:color="auto" w:fill="CCEEFF"/>
          </w:tcPr>
          <w:p>
            <w:pPr>
              <w:spacing w:after="0"/>
              <w:rPr>
                <w:sz w:val="17"/>
                <w:szCs w:val="17"/>
                <w:color w:val="auto"/>
              </w:rPr>
            </w:pPr>
          </w:p>
        </w:tc>
      </w:tr>
      <w:tr>
        <w:trPr>
          <w:trHeight w:val="199"/>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2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Sales and marketing</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(14,361)</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(928)</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(13,433)</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(11,097)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(983)</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(10,114)</w:t>
            </w:r>
          </w:p>
        </w:tc>
      </w:tr>
      <w:tr>
        <w:trPr>
          <w:trHeight w:val="199"/>
        </w:trPr>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(28,713)</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(1,067)</w:t>
            </w:r>
          </w:p>
        </w:tc>
        <w:tc>
          <w:tcPr>
            <w:tcW w:w="160" w:type="dxa"/>
            <w:vAlign w:val="bottom"/>
          </w:tcPr>
          <w:p>
            <w:pPr>
              <w:spacing w:after="0"/>
              <w:rPr>
                <w:sz w:val="17"/>
                <w:szCs w:val="17"/>
                <w:color w:val="auto"/>
              </w:rPr>
            </w:pPr>
          </w:p>
        </w:tc>
        <w:tc>
          <w:tcPr>
            <w:tcW w:w="11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(27,646)</w:t>
            </w:r>
          </w:p>
        </w:tc>
        <w:tc>
          <w:tcPr>
            <w:tcW w:w="18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(13,437)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(508)</w:t>
            </w:r>
          </w:p>
        </w:tc>
        <w:tc>
          <w:tcPr>
            <w:tcW w:w="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(12,929)</w:t>
            </w:r>
          </w:p>
        </w:tc>
      </w:tr>
      <w:tr>
        <w:trPr>
          <w:trHeight w:val="199"/>
        </w:trPr>
        <w:tc>
          <w:tcPr>
            <w:tcW w:w="2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(10,040)</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(1,095)</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(8,945)</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(7,410)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(873)</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(6,537)</w:t>
            </w:r>
          </w:p>
        </w:tc>
      </w:tr>
      <w:tr>
        <w:trPr>
          <w:trHeight w:val="25"/>
        </w:trPr>
        <w:tc>
          <w:tcPr>
            <w:tcW w:w="9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9"/>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(3,343)</w:t>
            </w:r>
          </w:p>
        </w:tc>
        <w:tc>
          <w:tcPr>
            <w:tcW w:w="160" w:type="dxa"/>
            <w:vAlign w:val="bottom"/>
          </w:tcPr>
          <w:p>
            <w:pPr>
              <w:spacing w:after="0"/>
              <w:rPr>
                <w:sz w:val="17"/>
                <w:szCs w:val="17"/>
                <w:color w:val="auto"/>
              </w:rPr>
            </w:pPr>
          </w:p>
        </w:tc>
        <w:tc>
          <w:tcPr>
            <w:tcW w:w="118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14,072</w:t>
            </w: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7,781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(2,545)</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10,326</w:t>
            </w:r>
          </w:p>
        </w:tc>
      </w:tr>
      <w:tr>
        <w:trPr>
          <w:trHeight w:val="25"/>
        </w:trPr>
        <w:tc>
          <w:tcPr>
            <w:tcW w:w="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Adjusted operating income for the six months ended June 30, 2022 increased by $3.7 million, as compared with the same period in 2021, due to a $2.9 million increase in income from operations, offset by a $0.8 million increase in stock-based compensation expense.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Risks</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market risks and the ways we manage them are summarized in the section captioned “Part II, Item 7A. Quantitative and Qualitative Disclosures About Market Risk” in our Annual Report . There have been no material changes in the first six months of 2022 to our market risks or to our management of such risks.</w:t>
      </w:r>
    </w:p>
    <w:p>
      <w:pPr>
        <w:spacing w:after="0" w:line="15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207" w:lineRule="exact"/>
        <w:rPr>
          <w:sz w:val="20"/>
          <w:szCs w:val="20"/>
          <w:color w:val="auto"/>
        </w:rPr>
      </w:pPr>
    </w:p>
    <w:p>
      <w:pPr>
        <w:jc w:val="both"/>
        <w:spacing w:after="0" w:line="202" w:lineRule="exact"/>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evaluated the effectiveness of our company’s disclosure controls and procedures pursuant to Rule 13a-15 under the Securities Exchange Act of 1934, or the Exchange Act, as of June 30, 2022. The evaluation included certain internal control areas in which we have made and are continuing to make changes to improve and enhance controls.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The effectiveness of the disclosure controls and procedures is also necessarily limited by the staff and other resources available to management and the geographic diversity of our company’s operations. As a result of the COVID-19 pandemic, beginning in 2020 we have faced additional challenges in operating and monitoring our disclosure controls and procedures as a result of employees working remotely and management travel being limited. In addition, we face potential heightened cybersecurity risks as our level of dependence on our IT networks and related systems increases, stemming from employees working remotely, and the number of malware campaigns and phishing attacks preying on the uncertainties surrounding COVID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19 increases.</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Based on that evaluation, our Chief Executive Officer and Chief Financial Officer concluded that, as of June 30, 2022, our company’s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 and Remediation Efforts</w:t>
      </w:r>
    </w:p>
    <w:p>
      <w:pPr>
        <w:spacing w:after="0" w:line="20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during the six months ended June 30, 2022 that have materially affected, or are reasonably likely to materially affect, our internal control over financial reporting. We will continue to review and document our disclosure controls and procedures, including our internal control over financial reporting and may from time to time make changes to enhance their effectiveness and ensure that our systems evolve with our 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0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From time to time we may become involved in other legal proceedings or may be subject to claims arising in the ordinary course of our business. Although the results of these proceedings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A. Risk Factors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Except as set forth below, there were no material changes to the risk factors discussed in Item 1A, “Risk Factors” of Part I in our Annual Report and in Item1A, “Risk Factors” of Part II in our Quarterly Report on Form 10-Q for the quarter ended March 31, 2022. In addition to the other information set forth in this report, you should carefully consider those risk factors, which could materially affect our business, financial condition and future operating results. Those risk factors are not the only risks facing our company. Additional risks and uncertainties not currently known to us or that we currently deem to be immaterial also may have a material adverse effect on our business, financial condition and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International Aspects of Our Business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If any PRC central government authority were to determine that existing PRC laws or regulations require that ACM Shanghai obtain the authority’s permission or approval to continue the listing of ACM Research’s Class A common stock in the United States or if those existing PRC laws and regulations, or interpretations thereof, were to change to require such permission or approval,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w:t>
      </w:r>
    </w:p>
    <w:p>
      <w:pPr>
        <w:spacing w:after="0" w:line="1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PRC central government authorities have taken steps to preclude, or significantly discourage, certain PRC companies from listing on U.S. and other exchanges outside the PRC. Investments activities in the PRC by non-PRC investors are principally governed by the Encouraged Industries Catalog for Foreign Investment (2020 version) and the Special Administrative Measures for Foreign Investment Access (Negative List 2021), both of which were promulgated by the PRC’s Ministry of Commerce, or MOFCOM, and National Development and Reform Commission. These regulations set forth the industries in which foreign investments are encouraged, restricted and prohibited. Industries that are not listed in any of these three categories are generally open to foreign investment unless otherwise specifically restricted by other PRC rules and regulations. We believe that our operations do not fall within any industry that is restricted or prohibited under these regulations and that the regulations therefore do not apply to us.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PRC-based companies that seek to list their shares in the United States but are subject to PRC restrictions on investments by non-PRC investors sometimes use a special purpose vehicle known as a variable interest entity, or VIE, created in an off-shore jurisdiction such as the Cayman Islands. In these structures, a VIE enters into a series of contractual arrangements with the PRC-based operating company and its PRC-based shareholders that afford those shareholders, rather than the shareholders of the VIE, effective control over the finances and operations of the operating company. The VIE, effectively a shell company, issues shares that are listed for trading on a U.S. exchange, but the enterprise is controlled by the legacy PRC-based shareholders and is subject to PRC laws and regulations. ACM Research is not a VIE or other special purpose, or shell, company, and its relationship with ACM Shanghai does not involve the types of contractual arrangements existing between a VIE and a PRC-based operating company. ACM Research is a Delaware corporation founded in California in 1998 that formed ACM Shanghai to conduct business operations in the PRC. ACM Research controls the operations of ACM Shanghai through its direct ownership of ACM Shanghai shares, and it also conducts sales and marketing activities focused on sales of ACM Shanghai products in North America, Europe and certain regions in Asia outside mainland China.</w:t>
      </w:r>
    </w:p>
    <w:p>
      <w:pPr>
        <w:spacing w:after="0" w:line="1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We do not believe that our corporate structure or any other matters relating to our business operations currently require that ACM Shanghai obtain any permissions or approvals from the China Securities Regulatory Commission, or CSRC, or any other PRC central government authority in connection with ACM’s listing, or offering for sale in the future, shares of Class A common stock in the United States. We, including ACM Shanghai, therefore have never solicited any permission or approval from any PRC central government authority in connection with ACM Research’s seeking and maintaining the listing of Class A common stock in the United States. In the event that either the CSRC or another PRC central government authority were to determine that existing PRC laws or regulations require that ACM Shanghai obtain the authority’s permission or approval to continue ACM Research’s listing of Class A common stock in the United States or if those existing PRC laws and regulations, or interpretations thereof, were to change to require such permission or approval, ACM Shanghai could be unable to obtain any such permission or approval or could be able to obtain such permission or approval only on terms and conditions that impose material new operating or other restrictions and limitations on ACM Shanghai. In such circumstances, it would materially and adversely affect the value of Class A common stock. In addition, ACM Shanghai could face sanctions by the CSRC or other PRC central government authorities or pressure from the PRC government in various business matters for failure to obtain such permission or approval. Such potential sanctions or pressure may include fines and penalties on ACM Shanghai’s operations in the PRC, limitations on its operating privileges in the PRC, delays in or restrictions on the transfer of proceeds from a public offering of ACM Research securities in the United States to ACM Shanghai, restrictions on or prohibition of the payments or remittance of dividends by ACM Shanghai to ACM Research, or other actions that could have a material and adverse effect on our business, financial condition, results of operations, reputation and prospects, as well as the trading price of ACM Research Class A common stock.</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PRC central government authorities may intervene in, or influence, ACM Shanghai’s PRC-based operations at any time, and those authorities’ rules and regulations in the PRC can change quickly with little or no advance notice.</w:t>
      </w:r>
    </w:p>
    <w:p>
      <w:pPr>
        <w:spacing w:after="0" w:line="1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business of ACM Shanghai is subject to complex laws and regulations in the PRC that can change quickly with little or no advance notice. To date, beyond the COVID-19-related restrictions in 2022, we have not experienced such intervention or influence by PRC central government authorities or a change in those authorities’ rules and regulations that have had a material impact of ACM Shanghai or ACM Research. We cannot assure you, however, that future changes in PRC laws and regulations will not materially and adversely affect our PRC-based operations. For example:</w:t>
      </w:r>
    </w:p>
    <w:p>
      <w:pPr>
        <w:spacing w:after="0" w:line="174" w:lineRule="exact"/>
        <w:rPr>
          <w:sz w:val="20"/>
          <w:szCs w:val="20"/>
          <w:color w:val="auto"/>
        </w:rPr>
      </w:pPr>
    </w:p>
    <w:p>
      <w:pPr>
        <w:jc w:val="both"/>
        <w:ind w:left="600" w:hanging="302"/>
        <w:spacing w:after="0" w:line="247" w:lineRule="auto"/>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Our commercial success depends in part on our ability to obtain and maintain patent and trade secret protection for our intellectual property, including our SAPS, TEBO, Tahoe, ECP, furnace and other technologies and the design of our Ultra C equipment. See “Risks Related to Our Intellectual Property and Data Security</w:t>
      </w:r>
      <w:r>
        <w:rPr>
          <w:rFonts w:ascii="Times New Roman" w:cs="Times New Roman" w:eastAsia="Times New Roman" w:hAnsi="Times New Roman"/>
          <w:sz w:val="19"/>
          <w:szCs w:val="19"/>
          <w:color w:val="auto"/>
        </w:rPr>
        <w:t>¾</w:t>
      </w:r>
      <w:r>
        <w:rPr>
          <w:rFonts w:ascii="Times New Roman" w:cs="Times New Roman" w:eastAsia="Times New Roman" w:hAnsi="Times New Roman"/>
          <w:sz w:val="17"/>
          <w:szCs w:val="17"/>
          <w:i w:val="1"/>
          <w:iCs w:val="1"/>
          <w:color w:val="auto"/>
        </w:rPr>
        <w:t>Our success depends on our ability to protect our intellectual property, including our SAPS, TEBO, Tahoe, ECP,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furnace and other technologies</w:t>
      </w:r>
      <w:r>
        <w:rPr>
          <w:rFonts w:ascii="Times New Roman" w:cs="Times New Roman" w:eastAsia="Times New Roman" w:hAnsi="Times New Roman"/>
          <w:sz w:val="17"/>
          <w:szCs w:val="17"/>
          <w:color w:val="auto"/>
        </w:rPr>
        <w:t>.” in Item 1A, “Risk Factors” of Part I of our Annual Report. The significant majority of our intellectual property has been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developed in the PRC and is owned by ACM Shanghai. Implementation and enforcement of intellectual property-related laws in the PRC has historically been lacking due primarily to ambiguities in PRC intellectual property law. See “Risks Related to Our Intellectual Property and Data Security</w:t>
      </w:r>
      <w:r>
        <w:rPr>
          <w:rFonts w:ascii="Times New Roman" w:cs="Times New Roman" w:eastAsia="Times New Roman" w:hAnsi="Times New Roman"/>
          <w:sz w:val="19"/>
          <w:szCs w:val="19"/>
          <w:color w:val="auto"/>
        </w:rPr>
        <w:t>¾</w:t>
      </w:r>
      <w:r>
        <w:rPr>
          <w:rFonts w:ascii="Times New Roman" w:cs="Times New Roman" w:eastAsia="Times New Roman" w:hAnsi="Times New Roman"/>
          <w:sz w:val="17"/>
          <w:szCs w:val="17"/>
          <w:i w:val="1"/>
          <w:iCs w:val="1"/>
          <w:color w:val="auto"/>
        </w:rPr>
        <w:t>We may not be 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 protect our intellectual property rights throughout the world, including the PRC, which could materially, negatively affect our business</w:t>
      </w:r>
      <w:r>
        <w:rPr>
          <w:rFonts w:ascii="Times New Roman" w:cs="Times New Roman" w:eastAsia="Times New Roman" w:hAnsi="Times New Roman"/>
          <w:sz w:val="17"/>
          <w:szCs w:val="17"/>
          <w:color w:val="auto"/>
        </w:rPr>
        <w:t>.” in Item 1A, “Risk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Factors” of Part I of our Annual Report. In the event PRC central government authorities were to significantly revise or revamp the current scope and structure of intellectual property protection in the PRC, our ability to protect and enforce our intellectual property rights for our key proprietary technologies may be adversely impacted and competitors may be able to match our technologies and tools in order to compete with us.</w:t>
      </w:r>
    </w:p>
    <w:p>
      <w:pPr>
        <w:spacing w:after="0" w:line="180" w:lineRule="exact"/>
        <w:rPr>
          <w:rFonts w:ascii="Times New Roman" w:cs="Times New Roman" w:eastAsia="Times New Roman" w:hAnsi="Times New Roman"/>
          <w:sz w:val="17"/>
          <w:szCs w:val="17"/>
          <w:color w:val="auto"/>
        </w:rPr>
      </w:pPr>
    </w:p>
    <w:p>
      <w:pPr>
        <w:jc w:val="both"/>
        <w:ind w:left="600" w:hanging="302"/>
        <w:spacing w:after="0" w:line="249" w:lineRule="auto"/>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Title Defect in Leased Premises</w:t>
      </w:r>
      <w:r>
        <w:rPr>
          <w:rFonts w:ascii="Times New Roman" w:cs="Times New Roman" w:eastAsia="Times New Roman" w:hAnsi="Times New Roman"/>
          <w:sz w:val="17"/>
          <w:szCs w:val="17"/>
          <w:color w:val="auto"/>
        </w:rPr>
        <w:t>. We conduct research and development, service support operations, and a portion of our manufacturing at ACM Shanghai’s headquarters located in the Zhangjiang Hi Tech Park in Shanghai, which ACM Shanghai leases from Zhangjiang Group. Zhangjiang Group has not obtained a certificate of property title for the premises, although it has represented to ACM Shanghai that it has the right to rent the premises to ACM Shanghai. If any adjustment in local regional overall planning of Shanghai, or any other reason, results in the demolition of such premises, the premises could not continue to be leased to ACM Shanghai and the day-to-day production and operation of ACM Shanghai would be materially and adversely affected. See Item 2, “Properties” of Part I of our Annual Report.</w:t>
      </w:r>
    </w:p>
    <w:p>
      <w:pPr>
        <w:spacing w:after="0" w:line="176" w:lineRule="exact"/>
        <w:rPr>
          <w:rFonts w:ascii="Times New Roman" w:cs="Times New Roman" w:eastAsia="Times New Roman" w:hAnsi="Times New Roman"/>
          <w:sz w:val="17"/>
          <w:szCs w:val="17"/>
          <w:color w:val="auto"/>
        </w:rPr>
      </w:pPr>
    </w:p>
    <w:p>
      <w:pPr>
        <w:jc w:val="both"/>
        <w:ind w:left="600" w:hanging="302"/>
        <w:spacing w:after="0" w:line="203" w:lineRule="exact"/>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COVID-19 Pandemic</w:t>
      </w:r>
      <w:r>
        <w:rPr>
          <w:rFonts w:ascii="Times New Roman" w:cs="Times New Roman" w:eastAsia="Times New Roman" w:hAnsi="Times New Roman"/>
          <w:sz w:val="17"/>
          <w:szCs w:val="17"/>
          <w:color w:val="auto"/>
        </w:rPr>
        <w:t>. We conduct substantially all of our product development, manufacturing, support and services in the PRC, and those activities have been directly impacted by COVID-19 and related restrictions on transportation and public appearances, including implementation by PRC government authorities of “spot” and full-city quarantines in the city of Shanghai, where substantially all of our operations are located. Furthermore, a number of our key customers have substantial operations based in operations areas of the PRC, including in the City of Shanghai, which required us to defer, in the first quarter of 2022, shipments of finished products to those customers. Protective measures taken by PRC government authorities in upcoming months could result in closures or reductions of PRC operations or production, whether of ACM Shanghai or of some of its key customers, or other business interruptions, any of which could materially adversely affect our operations. See “</w:t>
      </w:r>
      <w:r>
        <w:rPr>
          <w:rFonts w:ascii="Times New Roman" w:cs="Times New Roman" w:eastAsia="Times New Roman" w:hAnsi="Times New Roman"/>
          <w:sz w:val="17"/>
          <w:szCs w:val="17"/>
          <w:i w:val="1"/>
          <w:iCs w:val="1"/>
          <w:color w:val="auto"/>
        </w:rPr>
        <w:t>Substantially all of our operations, as well as significant operations of a number of our key customers, are located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areas of the PRC impacted by the COVID</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19 pandemic, and our operations have been, and may continue to be, adversely affected by the effects of PRC restrictions imposed as the result of COVID</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19.</w:t>
      </w:r>
      <w:r>
        <w:rPr>
          <w:rFonts w:ascii="Times New Roman" w:cs="Times New Roman" w:eastAsia="Times New Roman" w:hAnsi="Times New Roman"/>
          <w:sz w:val="17"/>
          <w:szCs w:val="17"/>
          <w:color w:val="auto"/>
        </w:rPr>
        <w:t>” in Item 1A, “Risk Factors” of Part II of this report.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ind w:left="600" w:hanging="302"/>
        <w:spacing w:after="0" w:line="246" w:lineRule="auto"/>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Data Security</w:t>
      </w:r>
      <w:r>
        <w:rPr>
          <w:rFonts w:ascii="Times New Roman" w:cs="Times New Roman" w:eastAsia="Times New Roman" w:hAnsi="Times New Roman"/>
          <w:sz w:val="17"/>
          <w:szCs w:val="17"/>
          <w:color w:val="auto"/>
        </w:rPr>
        <w:t>. The Standing Committee of the National People’s Congress, or the Standing Committee, has promulgated the Cyber Security Law, which imposes requirements on entities who build and operate the PRC’s internet architecture or provide services in the PRC over the internet, and the Data Security Law, which imposes data security and privacy obligations on entities and individuals carrying out data activities. The Data Security Law also provides for a national security review procedure for data activities that may affect national security and imposes export restrictions on certain data an information. ACM Shanghai is not subject to the existing restrictions imposed by the Cyber Security Law or the Data Security Law, in part because its business operations do not involve the collection, processing or use of data or information involving personal privacy or private information of customers. In addition, ACM Shanghai is subject to oversight by the Cyberspace Administration of China, or the CAC, regarding data security. ACM Shanghai does not collect or maintain personal information except for routine personal information necessary to process payroll payments and other benefits and emergency contact information, and as a result, ACM Shanghai is not currently subject to significant restrictions or limitations in addressing and managing data security issues and complying with CAC regulations. To date, ACM Shanghai has not been involved in any investigations on cybersecurity review initiated by the CAC or any related PRC central government authority and has not received any inquiry, notice, warning, or sanction in such respect. Cybersecurity is increasingly a focus of the PRC central government, however, and the CAC or other PRC central government authorities could require ACM Shanghai to comply with additional, and more restrictive, PRC cybersecurity regulations, which could cause ACM Shanghai to make changes to its operations that could materially harm our business, financial condition, results of operations, reputation and prospects.</w:t>
      </w:r>
    </w:p>
    <w:p>
      <w:pPr>
        <w:spacing w:after="0" w:line="181" w:lineRule="exact"/>
        <w:rPr>
          <w:rFonts w:ascii="Times New Roman" w:cs="Times New Roman" w:eastAsia="Times New Roman" w:hAnsi="Times New Roman"/>
          <w:sz w:val="17"/>
          <w:szCs w:val="17"/>
          <w:color w:val="auto"/>
        </w:rPr>
      </w:pPr>
    </w:p>
    <w:p>
      <w:pPr>
        <w:jc w:val="both"/>
        <w:ind w:left="600" w:hanging="302"/>
        <w:spacing w:after="0" w:line="263" w:lineRule="auto"/>
        <w:tabs>
          <w:tab w:leader="none" w:pos="6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Anti-Monopoly</w:t>
      </w:r>
      <w:r>
        <w:rPr>
          <w:rFonts w:ascii="Times New Roman" w:cs="Times New Roman" w:eastAsia="Times New Roman" w:hAnsi="Times New Roman"/>
          <w:sz w:val="16"/>
          <w:szCs w:val="16"/>
          <w:color w:val="auto"/>
        </w:rPr>
        <w:t>. A number of PRC laws and regulations have established procedures and requirements that could make merger and acquisition activities in China by foreign investors more time consuming and complex. These laws and regulations, which include the Anti-Monopoly Law and the Rules of the Ministry of Commerce on Implementation of Security Review System of Mergers and Acquisitions of Domestic Enterprises by Foreign Investors, impose requirements that in some instances that MOFCOM be notified in advance of, for example, any change-of-control transaction in which a foreign investor takes control of a PRC domestic enterprise. In addition, such Rules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MOFCOM. In February 2021 the Anti-Monopoly Committee of the State Council published the Anti-Monopoly Guidelines for the Internet Platform Economy Sector, which stipulate that any concentration of undertakings involving VIEs is subject to anti-monopoly review. Those Guidelines provide more stringent rules for Internet platform operators, including regulations on the use of data and algorithms, technology and platform to commit abusive acts. The Measures for the Security Review for Foreign Investment, which was promulgated jointly by National Development and Reform Commission and MOFCOM effective January 18, 2021, and the Standing Committee on Amending the Anti-Monopoly Law of the People’s Republic of China, which was promulgated by the Standing Committee effective August 1, 2022, delineated provisions concerning the security review procedures on foreign investment, including the types of investments subject to review and the scopes and procedures of the review. ACM Shanghai does not have the concentration of business operators stipulated in the Anti-Monopoly Law, and our operations and activities to date have not otherwise subjected us to restrictive provisions or limitations set forth inapplicable PRC laws and regulations govern merger and acquisition activities. Among other things, ACM Shanghai’s business operations do not constitute identified “national defense and security” concerns associated with the arms industry, any industry ancillary to the arms industry, or any other field related to national defense security. We cannot assure you, however, that future changes in PRC laws and regulations governing mergers and acquisitions, including activities in the PRC by foreign investors, will not extend or otherwise modify existing requirements, which could materially and adversely affect our PRC-based operations or our ability to expand by investments or acquisitions.</w:t>
      </w:r>
    </w:p>
    <w:p>
      <w:pPr>
        <w:spacing w:after="0" w:line="377" w:lineRule="exact"/>
        <w:rPr>
          <w:rFonts w:ascii="Times New Roman" w:cs="Times New Roman" w:eastAsia="Times New Roman" w:hAnsi="Times New Roman"/>
          <w:sz w:val="16"/>
          <w:szCs w:val="16"/>
          <w:color w:val="auto"/>
        </w:rPr>
      </w:pPr>
    </w:p>
    <w:p>
      <w:pPr>
        <w:jc w:val="both"/>
        <w:ind w:left="600" w:hanging="302"/>
        <w:spacing w:after="0" w:line="252" w:lineRule="auto"/>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Permits</w:t>
      </w:r>
      <w:r>
        <w:rPr>
          <w:rFonts w:ascii="Times New Roman" w:cs="Times New Roman" w:eastAsia="Times New Roman" w:hAnsi="Times New Roman"/>
          <w:sz w:val="17"/>
          <w:szCs w:val="17"/>
          <w:color w:val="auto"/>
        </w:rPr>
        <w:t>. In the ordinary course of business, ACM Shanghai has obtained all of the permits and licenses it believes are necessary for it to operate in the PRC. ACM Shanghai may be adversely affected, however, by the complexity, uncertainties and changes in PRC laws and regulations applicable to, or otherwise affecting, the semiconductor equipment industry and related businesses, and any lack of requisite approvals, licenses or permits applicable to ACM Shanghai’s business may have a material adverse effect on its business and results of operations.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3" w:lineRule="exact"/>
        <w:rPr>
          <w:sz w:val="20"/>
          <w:szCs w:val="20"/>
          <w:color w:val="auto"/>
        </w:rPr>
      </w:pPr>
    </w:p>
    <w:p>
      <w:pPr>
        <w:jc w:val="both"/>
        <w:ind w:left="600" w:hanging="302"/>
        <w:spacing w:after="0" w:line="247" w:lineRule="auto"/>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Trade Policies</w:t>
      </w:r>
      <w:r>
        <w:rPr>
          <w:rFonts w:ascii="Times New Roman" w:cs="Times New Roman" w:eastAsia="Times New Roman" w:hAnsi="Times New Roman"/>
          <w:sz w:val="17"/>
          <w:szCs w:val="17"/>
          <w:color w:val="auto"/>
        </w:rPr>
        <w:t>. Since 2018, general trade tensions between the United States and the PRC have escalated. See “Regulatory Risks —</w:t>
      </w:r>
      <w:r>
        <w:rPr>
          <w:rFonts w:ascii="Times New Roman" w:cs="Times New Roman" w:eastAsia="Times New Roman" w:hAnsi="Times New Roman"/>
          <w:sz w:val="17"/>
          <w:szCs w:val="17"/>
          <w:i w:val="1"/>
          <w:iCs w:val="1"/>
          <w:color w:val="auto"/>
        </w:rPr>
        <w:t>Changes in government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trade policies could limit the demand for our tools and increase the cost of our tools.” </w:t>
      </w:r>
      <w:r>
        <w:rPr>
          <w:rFonts w:ascii="Times New Roman" w:cs="Times New Roman" w:eastAsia="Times New Roman" w:hAnsi="Times New Roman"/>
          <w:sz w:val="17"/>
          <w:szCs w:val="17"/>
          <w:color w:val="auto"/>
        </w:rPr>
        <w:t>in Item 1A, “Risk Factors” of Part I of our Annual Report.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imposition of tariffs by the U.S. and PRC governments and the surrounding economic uncertainty may negatively impact the semiconductor industry, including reducing the demand of fabricators for capital equipment such as our tools. Further changes in trade policy, tariffs, additional taxes, restrictions on exports or other trade barriers, or restrictions on supplies, equipment, and raw materials including rare earth minerals, may limit the ability of our customers to manufacture or sell semiconductors or to make the manufacture or sale of semiconductors more expensive and less profitable, which could lead those customers to fabricate fewer semiconductors and to invest less in capital equipment such as our tools. In addition, if the PRC were to impose additional tariffs on raw materials, subsystems or other supplies that we source from the United States, our cost for those supplies would increase. As a result of any of the foregoing events, the imposition or new or additional tariffs may limit our ability to manufacture tools, increase our selling and/or manufacturing costs, decrease margins, or inhibit our ability to sell tools or to purchase necessary equipment and supplies, which could have a material adverse effect on our business, results of operations, or financial conditions.</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Moreover, by imposing industrial policies and other economic measures, such as control of foreign exchange, taxation and foreign investment, the PRC central government exerts considerable direct and indirect influence on the development of the PRC economy. Other political, economic and social factors may also lead to further legal and regulatory changes and reforms, which may adversely effect our operations and business development.</w:t>
      </w:r>
    </w:p>
    <w:p>
      <w:pPr>
        <w:spacing w:after="0" w:line="16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The PRC central government may determine to exert additional control over offerings conducted overseas or foreign investment in PRC-based issuers, which could result in a material change in operations of ACM Shanghai and the value of ACM Research Class A common stock.</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PRC central government may determine to exert additional control over securities offerings conducted overseas and/or foreign investment in PRC-based issuers, which could result in a material adverse change in operations of ACM Shanghai and the cause the value of ACM Research Class A common stock to significantly decline. See also “¾</w:t>
      </w:r>
      <w:r>
        <w:rPr>
          <w:rFonts w:ascii="Times New Roman" w:cs="Times New Roman" w:eastAsia="Times New Roman" w:hAnsi="Times New Roman"/>
          <w:sz w:val="17"/>
          <w:szCs w:val="17"/>
          <w:i w:val="1"/>
          <w:iCs w:val="1"/>
          <w:color w:val="auto"/>
        </w:rPr>
        <w:t>If any PRC central government authority were to determine that existing PRC laws or regulations require that ACM Shanghai obtain the authority’s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permission or approval to continue the listing of ACM Research’s Class A common stock in the United States or if those existing PRC laws and regulations, or interpretations thereof, were to change to require such permission or approval,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w:t>
      </w:r>
      <w:r>
        <w:rPr>
          <w:rFonts w:ascii="Times New Roman" w:cs="Times New Roman" w:eastAsia="Times New Roman" w:hAnsi="Times New Roman"/>
          <w:sz w:val="17"/>
          <w:szCs w:val="17"/>
          <w:color w:val="auto"/>
        </w:rPr>
        <w:t>”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 may be difficult for overseas regulators to conduct investigations or collect evidence within the PRC.</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Stockholder claims or regulatory investigations that are common in the United States generally are difficult to pursue as a matter of law or practicality in the PRC. For example, in the PRC, there are significant legal and other obstacles to providing information needed for regulatory investigations or litigation initiated outside of the PRC. Although the authorities in the PRC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implementing rules under Article 177 have yet to be promulgated, the inability for an overseas securities regulator to directly conduct investigation or evidence collection activities within the PRC may further increase difficulties faced by you in protecting your interests.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Because certain of our assets are located outside of the United States and certain of our directors and officers reside outside of the United States, it may be difficult for you to enforce your rights based on the U.S. federal securities laws against such assets or officers and directors or to enforce a judgment of a United States court against assets or officers and directors in the PRC.</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While ACM Research is a Delaware corporation, certain of our officers and directors are nonresidents of the United States, and certain of our assets are located in the PRC, and the operations of ACM Shanghai are conducted in the PRC. It may, therefore, not be possible to effect service of process on such persons in the United States, and it may be difficult to enforce any judgments rendered against them or any of our assets that are located overseas. Moreover, there is doubt whether courts in the PRC would enforce (a) judgments of United States courts against ACM Shanghai, our directors or officers based on the civil liability provisions of the securities laws of the United States or any state, or (b) in original actions brought in the PRC, liabilities against us or any nonresidents based upon the securities laws of the United States or any state.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COVID–19 Pandemic</w:t>
      </w:r>
    </w:p>
    <w:p>
      <w:pPr>
        <w:spacing w:after="0" w:line="181" w:lineRule="exact"/>
        <w:rPr>
          <w:sz w:val="20"/>
          <w:szCs w:val="20"/>
          <w:color w:val="auto"/>
        </w:rPr>
      </w:pPr>
    </w:p>
    <w:p>
      <w:pPr>
        <w:jc w:val="both"/>
        <w:spacing w:after="0" w:line="230" w:lineRule="exact"/>
        <w:rPr>
          <w:sz w:val="20"/>
          <w:szCs w:val="20"/>
          <w:color w:val="auto"/>
        </w:rPr>
      </w:pPr>
      <w:r>
        <w:rPr>
          <w:rFonts w:ascii="Times New Roman" w:cs="Times New Roman" w:eastAsia="Times New Roman" w:hAnsi="Times New Roman"/>
          <w:sz w:val="16"/>
          <w:szCs w:val="16"/>
          <w:b w:val="1"/>
          <w:bCs w:val="1"/>
          <w:i w:val="1"/>
          <w:iCs w:val="1"/>
          <w:color w:val="auto"/>
        </w:rPr>
        <w:t>Substantially all of our operations, as well as significant operations of a number of our key customers, are located in areas of the PRC impacted by the COVID</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b w:val="1"/>
          <w:bCs w:val="1"/>
          <w:i w:val="1"/>
          <w:iCs w:val="1"/>
          <w:color w:val="auto"/>
        </w:rPr>
        <w:t>19 pandemic, and our operations have been, and may continue to be, adversely affected by the effects of PRC restrictions imposed as the result of COVID</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b w:val="1"/>
          <w:bCs w:val="1"/>
          <w:i w:val="1"/>
          <w:i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6991985</wp:posOffset>
            </wp:positionH>
            <wp:positionV relativeFrom="paragraph">
              <wp:posOffset>-219075</wp:posOffset>
            </wp:positionV>
            <wp:extent cx="6096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960" cy="38100"/>
                    </a:xfrm>
                    <a:prstGeom prst="rect">
                      <a:avLst/>
                    </a:prstGeom>
                    <a:noFill/>
                  </pic:spPr>
                </pic:pic>
              </a:graphicData>
            </a:graphic>
          </wp:anchor>
        </w:drawing>
        <w:drawing>
          <wp:anchor simplePos="0" relativeHeight="251657728" behindDoc="1" locked="0" layoutInCell="0" allowOverlap="1">
            <wp:simplePos x="0" y="0"/>
            <wp:positionH relativeFrom="column">
              <wp:posOffset>6508115</wp:posOffset>
            </wp:positionH>
            <wp:positionV relativeFrom="paragraph">
              <wp:posOffset>-92075</wp:posOffset>
            </wp:positionV>
            <wp:extent cx="6096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960" cy="38100"/>
                    </a:xfrm>
                    <a:prstGeom prst="rect">
                      <a:avLst/>
                    </a:prstGeom>
                    <a:noFill/>
                  </pic:spPr>
                </pic:pic>
              </a:graphicData>
            </a:graphic>
          </wp:anchor>
        </w:drawing>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We conduct substantially all of our product development, manufacturing, support and services in the PRC, and those activities have been directly impacted by COVID-19 and related restrictions on transportation and public appearances. In March 2022 several regions in China began to experience elevated levels of COVID-19 infections, and the PRC government instituted policies to restrict the spread of the virus. The policies began with an increase of “spot quarantines,” under which a positive polymerase chain reaction, or PCR, or other tests would result in the quarantining of individual buildings, groups of buildings, or even full neighborhoods. The policies were later expanded to full-city restrictions, including in the City of Shanghai, where substantially all of our operations are located. COVID-19 related restrictions in Shanghai began to limit employee access to, and logistics activities of, our offices and production facilities in the Pudong district of Shanghai during in the first quarter of 2022, and therefore limited our ability to ship finished products to customers and to produce new products. Spot quarantines in mid-March 2022 began to impact a number of our employees and led to a closure of our administrative and R&amp;D offices in Zhangjiang in the Pudong district. A subsequent restriction that encompassed the entire Pudong region of Shanghai was imposed in late March 2022 and impacted the operation of our Chuansha production facility.</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Furthermore, a number of our key customers have substantial operations based in operations areas of the PRC, including in the City of Shanghai, subject to the full-city restrictions, which have been limiting the operations of those customers since the first quarter of 2022, including inhibiting their ability to receive, implement, operate and evaluate new tools for their manufacturing facilities. As a result, in some cases, we have been required to defer shipments of finished products to these customers because of operational and logistics limitations affecting our customers rather than, or in addition to, us.</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anticipate that the effects of the PRC restrictions may continue for several months, with a gradual return of PRC operations and global logistics as Shanghai and other areas in the PRC begin to reopen. We cannot assure that closures or reductions of PRC operations or production, whether of our company or of some of our key customers, will not be extended or re-introduced in the second half of 2022 as the result of business interruptions arising from protective measures being taken by the PRC and other governmental agencies or of other consequences of COVID-19, which would continue to affect our operations adversely.</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As the result of administrative delays in the PRC related to the COVID-19 pandemic, ACM Research’s indirect subsidiary ACM Shengwei has not been able to obtain the right certificate of property in Lingang, Shanghai as required by its Loan and Mortgage Contract, and our liquidity, financial position and business would be adversely affected if the lender bank were to assert successfully that the failure to obtain the right certificate is a breach of the Loan and Mortgage Contract.</w:t>
      </w:r>
    </w:p>
    <w:p>
      <w:pPr>
        <w:spacing w:after="0" w:line="172" w:lineRule="exact"/>
        <w:rPr>
          <w:sz w:val="20"/>
          <w:szCs w:val="20"/>
          <w:color w:val="auto"/>
        </w:rPr>
      </w:pPr>
    </w:p>
    <w:p>
      <w:pPr>
        <w:jc w:val="both"/>
        <w:spacing w:after="0" w:line="201" w:lineRule="exact"/>
        <w:rPr>
          <w:sz w:val="20"/>
          <w:szCs w:val="20"/>
          <w:color w:val="auto"/>
        </w:rPr>
      </w:pPr>
      <w:r>
        <w:rPr>
          <w:rFonts w:ascii="Times New Roman" w:cs="Times New Roman" w:eastAsia="Times New Roman" w:hAnsi="Times New Roman"/>
          <w:sz w:val="16"/>
          <w:szCs w:val="16"/>
          <w:color w:val="auto"/>
        </w:rPr>
        <w:t>In connection with its financing of the purchase of housing units in Lingang, Shanghai, or the Property, in November 2020 ACM Shengwei, a direct subsidiary of ACM Shanghai and indirect subsidiary of ACM Research, entered into a Loan and Mortgage Contract, or the Loan Agreement, with China Merchants Bank Co., Ltd., Shanghai Pilot Free Trade Zone Lin-Gang Special Area Sub-branch, or the Lender, pursuant to which the ACM Shengwei obtained a loan in the aggregate amount of $19.6 million. The loan under the Loan Agreement is secured by a pledge of the Property, which ACM Shangwei’s subsidiary received ownership of in January 2022, and guaranteed by ACM Shanghai. Under the Loan Agreement, ACM Shengwei must deliver the right certificate of the Property within sixty days of the execution of the Loan Agreement or the Lender has the right to, among other things, declare a breach of contract and enforce its remedies under the Loan Agreement, which remedies include the ability to declare any borrowings outstanding, together with accrued and unpaid interest and fees, to be immediately due and payable. As of the date of this report, ACM Shengwei and its developer have been unable to obtain the required right certificate of the Property due to administrative difficulties related to the COVID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19 pandemic and, as a result, the procedures of the formal pledge registration by the Lender have not been completed. The Lender has acknowledged that it is aware of the cause of the delay in ACM Shengwei’s delivery of the right certificate of the Property and has not taken any action to date as a result of the delay, but the Lender could at any time assert that the delay is a breach of contract and, among other remedies, could seek to declare the amounts owing under the Loan Agreement to be due and payable. Any such assertion would require that we incur legal fees and spend management time in responding and could result in uncertainties with respect to ownership and management of the Property. Moreover, if we were to be unsuccessful in defending against such assertion and the amounts outstanding under the Loan Agreement were to be accelerated, ACM Shengwei, and ACM Shanghai as guarantor, may not have sufficient cash or be able to obtain refinancing, or may need to divert funds from other planned projects and uses, in order to repay the amounts due, which would harm our liquidity, financial position and business.</w:t>
      </w:r>
    </w:p>
    <w:p>
      <w:pPr>
        <w:spacing w:after="0" w:line="18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As the result of COVID-19 related restrictions in Shanghai,ACM Research’s indirect subsidiary ACM Shengwei may be unable to achieve certain performance milestones required by its Grant Contract for State-owned Construction Land Use Right in Shanghai City, and our liquidity, financial position and business would be adversely affected if ACM Shengwei is subject to penalties or loses its rights to the use of the granted land and any partially completed facilities on the land.</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In 2020 ACM Shanghai, through its wholly-owned subsidiary ACM Shengwei, entered into a Grant Contract for State-owned Construction Land Use Right in Shanghai City (Category of R&amp;D Headquarters and Industrial Projects), or the Grant Agreement, with the China (Shanghai) Pilot Free Trade Zone Lin-gang Special Area Administration, or the Grantor in connection with ACM Shengwei’s obtaining of rights to use approximately 43,000 square meters (10.6 acres) of land in the Lingang Heavy Equipment Industrial Zone of Lin-gang Special Area of China (Shanghai) Pilot Free Trade Zone, or the Land Use Right, for a period of fifty years, commencing on the date of delivery of the land in July 2020, or the Delivery Date.</w:t>
      </w:r>
    </w:p>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connection with the land use rights, ACM Shengwei paid a performance deposit of RMB 12.3 million ($1.9 million) to secure its achievement of certain milestones, consisting of: (a) the start of construction within 6 months after the Delivery Date (60% of the performance deposit); (b) the completion of construction within 30 months after the Delivery Date (20% of the performance deposit), or Construction Completion Milestone; and (c) the start of production within 42 months after the Delivery Date (20% of the performance deposit), or Production Start Milestone. If the achievement the Construction Completion Milestone or the Production Start Milestone is delayed or abandoned, ACM Shengwei may be subject to penalties and may lose its rights to both the use of the granted land and any partially completed facilities on that land.</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As a result of COVID-19 related restrictions, ACM Shengwei has experienced delays and does not expect to timely meet the Construction Completion Milestone and intends to file an extension request with respect to both the Consturction Completion Milestone and the Production Start Milestone. There is no guarantee that an extension will be granted, and if granted, that ACM Shengwei will be able to meet any subsequently agreed to timeline, in which the portion of the performance deposit related to achieving the Construction Completion Milestone or the performance deposit related to achieving the Production Start Milestone may be subject to forfeiture. Additionally, if achievement of the Construction Completion Milestone is delayed is more than one year, the Grantor is entitled to terminate the Grant Agreement and take back the Land Use Right, in exchange for a refund of the grant fees for the remaining land use term after deducting the deposit agreed under the Grant Agreement and refund the deposit related to the Production Start Milestone. We cannot guarantee that the refund of the fees will reflect fair market value of the Land Use Right or that they would cover the expended costs of ACM Shengwei with respect to the Grant Agreement and the Land Use Right. Moreover, loss of the deposit, or more significantly, the Land Use Right could significantly negatively impact our liquidity, financial position and business.</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The exacerbation or further continuation of currently challenging global systemic economic and financial conditions could adversely affect our business, results of operations and financial condition.</w:t>
      </w:r>
    </w:p>
    <w:p>
      <w:pPr>
        <w:spacing w:after="0" w:line="1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Any prolonged slowdown in the PRC, United States or global economy may have a negative impact on our business, results of operations and financial condition. Market reactions to the global outbreak of COVID-19 have negatively affected the world’s financial markets since March 2020, and a continuation of those reactions may cause a potential slowdowns of the local, regional and global economy. Financial and other markets in the United States and worldwide have experienced significant volatility reflecting uncertainty over, among other things, (a) the long-term effects of the expansionary monetary and fiscal policies adopted by the central banks and financial authorities of some of the world’s leading economies, including the United States and the PRC, (b) unrest in Ukraine, the Middle East and Africa, and (c) the rising level of inflation in major industrial countries, including the United States, and worries that efforts to curb inflation may result in an economic recession. General inflation, including rising energy prices, interest rates and wages, could adversely impact our business by increasing our operating and borrowing costs as well as limiting the amount of capital available for customers to purchase our products. This economic turmoil has had, and could continue to have, a number of repercussions on our business, including significant decreases in orders from our customers, business slowdowns or cessations at key suppliers resulting in delays in our product deliveries, increased raw material prices leading to increased production costs that we may not be able to pass onto customers, and business challenges at customers resulting in the inability to obtain credit to finance purchases of our products or even insolvency, and counterparty failures negatively impacting our operations and sales. Any systemic economic or financial crisis could cause revenues for the semiconductor industry as a whole to decline dramatically, which could materially and adversely affect our results of operations.</w:t>
      </w:r>
    </w:p>
    <w:p>
      <w:pPr>
        <w:spacing w:after="0" w:line="17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to manufacture and transport significant portions of our tools and our failure to manage our relationships with these parties could harm our relationships with our customers, increase our costs, decrease our sales and limit our growth.</w:t>
      </w:r>
    </w:p>
    <w:p>
      <w:pPr>
        <w:spacing w:after="0" w:line="155" w:lineRule="exact"/>
        <w:rPr>
          <w:sz w:val="20"/>
          <w:szCs w:val="20"/>
          <w:color w:val="auto"/>
        </w:rPr>
      </w:pPr>
    </w:p>
    <w:p>
      <w:pPr>
        <w:jc w:val="both"/>
        <w:spacing w:after="0" w:line="202" w:lineRule="exact"/>
        <w:rPr>
          <w:sz w:val="20"/>
          <w:szCs w:val="20"/>
          <w:color w:val="auto"/>
        </w:rPr>
      </w:pPr>
      <w:r>
        <w:rPr>
          <w:rFonts w:ascii="Times New Roman" w:cs="Times New Roman" w:eastAsia="Times New Roman" w:hAnsi="Times New Roman"/>
          <w:sz w:val="17"/>
          <w:szCs w:val="17"/>
          <w:color w:val="auto"/>
        </w:rPr>
        <w:t>Our tools are complex and require components and subassemblies having a high degree of reliability, accuracy and performance. We rely on third parties to manufacture and deliver most of the subassemblies and supply most of the components used in our tools. Accordingly, we cannot directly control our delivery schedules and quality assurance. This reliance on third parties could result in shortages or quality assurance problems. In addition, supply chain constraints have intensified due to a variety of factors, including the ongoing COVID-19 pandemic and the June 2022 truck driver strike in South Korea, where certain of our operations and customers are located. See also “Item 1A. Risk Factors–Risks Related to the COVID-19 Outbreak–Our global supply chain may be materially adversely impacted due to the COVID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19 pandemic” included in our Annual Report. These issues and our ability to manage increased demand could delay shipments of our tools, increase our testing or production costs or lead to costly failure claims.</w:t>
      </w:r>
    </w:p>
    <w:p>
      <w:pPr>
        <w:sectPr>
          <w:pgSz w:w="11900" w:h="16838" w:orient="portrait"/>
          <w:cols w:equalWidth="0" w:num="1">
            <w:col w:w="11240"/>
          </w:cols>
          <w:pgMar w:left="320" w:top="118" w:right="339" w:bottom="401"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401"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We do not have long-term supply contracts with some of our suppliers, and those suppliers are not obligated to perform services or supply products to us for any specific period, in any specific quantities or at any specific price, except as may be provided in a particular purchase order. In addition, we attempt to maintain relatively low inventories and acquire subassemblies and components only as needed. There are significant risks associated with our reliance on these third-party suppliers, including:</w:t>
      </w:r>
    </w:p>
    <w:p>
      <w:pPr>
        <w:spacing w:after="0" w:line="152" w:lineRule="exact"/>
        <w:rPr>
          <w:sz w:val="20"/>
          <w:szCs w:val="20"/>
          <w:color w:val="auto"/>
        </w:rPr>
      </w:pPr>
    </w:p>
    <w:p>
      <w:pPr>
        <w:ind w:left="440" w:hanging="440"/>
        <w:spacing w:after="0"/>
        <w:tabs>
          <w:tab w:leader="none" w:pos="4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price increases;</w:t>
      </w:r>
    </w:p>
    <w:p>
      <w:pPr>
        <w:spacing w:after="0" w:line="20" w:lineRule="exact"/>
        <w:rPr>
          <w:rFonts w:ascii="Times New Roman" w:cs="Times New Roman" w:eastAsia="Times New Roman" w:hAnsi="Times New Roman"/>
          <w:sz w:val="17"/>
          <w:szCs w:val="17"/>
          <w:color w:val="auto"/>
        </w:rPr>
      </w:pPr>
    </w:p>
    <w:p>
      <w:pPr>
        <w:ind w:left="440" w:hanging="440"/>
        <w:spacing w:after="0"/>
        <w:tabs>
          <w:tab w:leader="none" w:pos="4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capacity shortages or other inability to meet any increase in demand for our products;</w:t>
      </w:r>
    </w:p>
    <w:p>
      <w:pPr>
        <w:spacing w:after="0" w:line="3" w:lineRule="exact"/>
        <w:rPr>
          <w:rFonts w:ascii="Times New Roman" w:cs="Times New Roman" w:eastAsia="Times New Roman" w:hAnsi="Times New Roman"/>
          <w:sz w:val="17"/>
          <w:szCs w:val="17"/>
          <w:color w:val="auto"/>
        </w:rPr>
      </w:pPr>
    </w:p>
    <w:p>
      <w:pPr>
        <w:ind w:left="440" w:hanging="440"/>
        <w:spacing w:after="0"/>
        <w:tabs>
          <w:tab w:leader="none" w:pos="4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control over manufacturing process for components and subassemblies and delivery schedules;</w:t>
      </w:r>
    </w:p>
    <w:p>
      <w:pPr>
        <w:spacing w:after="0" w:line="3" w:lineRule="exact"/>
        <w:rPr>
          <w:rFonts w:ascii="Times New Roman" w:cs="Times New Roman" w:eastAsia="Times New Roman" w:hAnsi="Times New Roman"/>
          <w:sz w:val="17"/>
          <w:szCs w:val="17"/>
          <w:color w:val="auto"/>
        </w:rPr>
      </w:pPr>
    </w:p>
    <w:p>
      <w:pPr>
        <w:ind w:left="440" w:hanging="440"/>
        <w:spacing w:after="0" w:line="244" w:lineRule="auto"/>
        <w:tabs>
          <w:tab w:leader="none" w:pos="4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ability of some suppliers to manufacture and sell subassemblies or parts in the volumes we require and at acceptable quality levels and prices, due to the suppliers’ relatively small operations and limited manufacturing resources;</w:t>
      </w:r>
    </w:p>
    <w:p>
      <w:pPr>
        <w:ind w:left="440" w:hanging="440"/>
        <w:spacing w:after="0"/>
        <w:tabs>
          <w:tab w:leader="none" w:pos="4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exposure to potential misappropriation of our intellectual property; and</w:t>
      </w:r>
    </w:p>
    <w:p>
      <w:pPr>
        <w:spacing w:after="0" w:line="3" w:lineRule="exact"/>
        <w:rPr>
          <w:rFonts w:ascii="Times New Roman" w:cs="Times New Roman" w:eastAsia="Times New Roman" w:hAnsi="Times New Roman"/>
          <w:sz w:val="17"/>
          <w:szCs w:val="17"/>
          <w:color w:val="auto"/>
        </w:rPr>
      </w:pPr>
    </w:p>
    <w:p>
      <w:pPr>
        <w:ind w:left="440" w:hanging="440"/>
        <w:spacing w:after="0"/>
        <w:tabs>
          <w:tab w:leader="none" w:pos="4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warranties on subassemblies and components supplied to us.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Any delays in the shipment of our products due to our reliance on third-party suppliers could harm our relationships with our customers. In addition, any increase in costs due to our suppliers increasing the price they charge us for subassemblies and components or arising from our need to replace our current suppliers that we are unable to pass on to our customers could negatively affect our operating results.</w:t>
      </w:r>
    </w:p>
    <w:p>
      <w:pPr>
        <w:spacing w:after="0" w:line="14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7"/>
          <w:szCs w:val="17"/>
          <w:b w:val="1"/>
          <w:bCs w:val="1"/>
          <w:i w:val="1"/>
          <w:iCs w:val="1"/>
          <w:color w:val="auto"/>
        </w:rPr>
        <w:t>Our supply chain may be materially adversely impacted due to global events, including continuing COVID</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19 outbreaks, transportation delays and the armed conflict in Ukraine.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4827270</wp:posOffset>
            </wp:positionH>
            <wp:positionV relativeFrom="paragraph">
              <wp:posOffset>-207010</wp:posOffset>
            </wp:positionV>
            <wp:extent cx="6096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960" cy="38100"/>
                    </a:xfrm>
                    <a:prstGeom prst="rect">
                      <a:avLst/>
                    </a:prstGeom>
                    <a:noFill/>
                  </pic:spPr>
                </pic:pic>
              </a:graphicData>
            </a:graphic>
          </wp:anchor>
        </w:drawing>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rely upon the facilities of our global suppliers with operations in the PRC, Japan, Taiwan and the United States to support our business. We source the substantial majority of our components from Asia, and as a result, our supply chain can be adversely affected by a variety of global events, including COVID-19 restrictions (see “Item 1A. Risk Factors–Risks Related to the COVID-19 Pandemic–Substantially all of our operations, as well as significant operations of a number of our key customers, are located in areas of the PRC impacted by the COVID 19 pandemic, and our operations have been, and may continue to be, adversely affected by the effects of PRC restrictions imposed as the result of COVID 19”), transportation delays, including those related to the June 2022 truck driver strike in South Korea resulting from escalated fuel prices, and the armed conflict in Ukraine. As a result of these types of global events and resulting governmental and business reactions, our suppliers may not have the materials, capacity, or capability to supply our components according to our schedule and specifications. Further, there may be logistics issues, including our ability and our supply chain’s ability to quickly ramp up production, labor issues and transportation demands that may cause further delays. Supply chain constraints have intensified due to COVID-19 and may further intensify due to other global events, contributing to existing global shortages coupled with increased demand in the supply of semiconductors. The unavailability of any component or supplier could result in production delays, underutilized facilities, and loss of access to critical raw materials and parts for producing and supporting our tools, and could impact our ongoing capacity expansion and our ability to fulfill our product delivery obligations. If our suppliers’ operations are curtailed, we may need to seek alternate sources of supply, which may be more expensive. Alternate sources may not be available or may result in delays in shipments to us from our supply chain and subsequently to our customers, each of which would affect our results of operations. These types of disruptions and governmental restrictions may also result in the inability of our customers to obtain materials necessary for their full production, which could also result in reduced demand for our products. While disruptions and governmental restrictions, as well as related general limitations on movement around the world, are expected to be temporary, the duration of the production and supply chain disruption, and related financial impact, cannot be estimated at this time. Should the production and distribution closures continue for an extended period of time, the impact on our supply chain could have a material adverse effect on our results of operations and cash flows. Business disruptions could also negatively affect the sources and availability of components and materials that are essential to the operation of our business. Moreover, our customers source a range of production equipment, supplies and services from other suppliers with operations around the world, and any reduction in supply capacity at those customers’ factories may reduce or even halt those customers’ production and result in a decrease in the demand for our products.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Regulatory Risks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sell our tools to Chinese customers may be restricted by regulatory actions.</w:t>
      </w:r>
    </w:p>
    <w:p>
      <w:pPr>
        <w:spacing w:after="0" w:line="207" w:lineRule="exact"/>
        <w:rPr>
          <w:sz w:val="20"/>
          <w:szCs w:val="20"/>
          <w:color w:val="auto"/>
        </w:rPr>
      </w:pPr>
    </w:p>
    <w:p>
      <w:pPr>
        <w:jc w:val="both"/>
        <w:spacing w:after="0" w:line="200" w:lineRule="exact"/>
        <w:rPr>
          <w:sz w:val="20"/>
          <w:szCs w:val="20"/>
          <w:color w:val="auto"/>
        </w:rPr>
      </w:pPr>
      <w:r>
        <w:rPr>
          <w:rFonts w:ascii="Times New Roman" w:cs="Times New Roman" w:eastAsia="Times New Roman" w:hAnsi="Times New Roman"/>
          <w:sz w:val="17"/>
          <w:szCs w:val="17"/>
          <w:color w:val="auto"/>
        </w:rPr>
        <w:t>The Bureau of Industry and Security of the U.S. Department of Commerce, or BIS, recently has imposed and may continue to impose additional restrictions, including licensing requirements, under the Export Administration Regulations, or EAR, with respect to certain PRC companies that impact the supply of U.S. products and certain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 products incorporating U.S. content, or that are manufactured using certain U.S. technology or software, to such companies and the sourcing of U.S. items by non-U.S. companies for use in manufacturing products for such companies. For example, BIS has added a number of PRC entities to the Entity List under the EAR which means that any items subject to the EAR, including certain non-U.S. produced products with U.S. content, require a BIS license for supply to the listed entities. Among other companies, in December 2020, SMIC, one of the largest chip manufacturers in the PRC, was added to the Entity List. Challenges faced by SMIC and its key suppliers as a result of the listing could indirectly impact SMIC’s demand for, or our ability to supply, our products. As of the second quarter of 2022, BIS is also considering adding The Shanghai Huahong (Group) Company, Ltd., or The Huali Huahong Group, a leading PRC foundry, and Yangtze Memory Technologies Company (YMTC), a leading PRC memory chip company to the Entity List. In 2021, The Huali Huahong Group accounted for 28.1% of our revenue and Yangtze Memory Technologies Co., Ltd., together with one of its subsidiaries, accounted for 20.8% of our revenue. We cannot be certain what additional actions the U.S. government may take with respect to PRC entities, and whether such actions will impact our relationships with our PRC-based customers, including changes to the Entity List restrictions, other export regulations, tariffs or other trade restrictions, or whether the PRC government may take any actions in response to U.S. government action that may adversely affect our ability to do business with our PRC-based customers. Even in the absence of new restrictions, tariffs or trade actions imposed by the U.S. or PRC government, our PRC-based customers may take actions to reduce dependence on the supply of products subject to potential U.S. trade regulations, including our tools, which could have a material adverse effect on our operating results. We are unable to predict the duration of the restrictions imposed by the U.S. government or of any additional governmental actions that may impact our relationships with our PRC-based customers, any of which could have a long-term adverse effect on our business, operating results and financial condition.</w:t>
      </w:r>
    </w:p>
    <w:p>
      <w:pPr>
        <w:spacing w:after="0" w:line="18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Sales of Unregistered Equity Securities</w:t>
      </w:r>
    </w:p>
    <w:p>
      <w:pPr>
        <w:spacing w:after="0" w:line="2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 the three months ended June 30, 2022, ACM Research issued, pursuant to the exercise of stock options at a per share exercise prices ranging from $0.25 to $0.50 per share, an aggregate of 94,872 shares of Class A common stock that were not registered under the Securities Act of 1933. We believe the offer and sale of those shares were exempt from registration under the Securities Act of 1933 by virtue of Section 4(a)(2) thereof (or Regulation D promulgated thereunder) because they did not involve a public offering. The recipients of the shares acquired the securities for investment only and not with a view to or for sale in connection with any distribution thereof, and appropriate legends were recorded with respect to the shares. The recipients of the shares were accredited investors under Rule 501 of Regulation 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60" w:type="dxa"/>
            <w:vAlign w:val="bottom"/>
          </w:tcPr>
          <w:p>
            <w:pPr>
              <w:spacing w:after="0"/>
              <w:rPr>
                <w:sz w:val="17"/>
                <w:szCs w:val="17"/>
                <w:color w:val="auto"/>
              </w:rPr>
            </w:pPr>
          </w:p>
        </w:tc>
        <w:tc>
          <w:tcPr>
            <w:tcW w:w="55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Exercised</w:t>
            </w:r>
          </w:p>
        </w:tc>
        <w:tc>
          <w:tcPr>
            <w:tcW w:w="2240" w:type="dxa"/>
            <w:vAlign w:val="bottom"/>
          </w:tcPr>
          <w:p>
            <w:pPr>
              <w:spacing w:after="0"/>
              <w:rPr>
                <w:sz w:val="17"/>
                <w:szCs w:val="17"/>
                <w:color w:val="auto"/>
              </w:rPr>
            </w:pPr>
          </w:p>
        </w:tc>
      </w:tr>
      <w:tr>
        <w:trPr>
          <w:trHeight w:val="224"/>
        </w:trPr>
        <w:tc>
          <w:tcPr>
            <w:tcW w:w="2260" w:type="dxa"/>
            <w:vAlign w:val="bottom"/>
          </w:tcPr>
          <w:p>
            <w:pPr>
              <w:spacing w:after="0"/>
              <w:rPr>
                <w:sz w:val="19"/>
                <w:szCs w:val="19"/>
                <w:color w:val="auto"/>
              </w:rPr>
            </w:pPr>
          </w:p>
        </w:tc>
        <w:tc>
          <w:tcPr>
            <w:tcW w:w="5500" w:type="dxa"/>
            <w:vAlign w:val="bottom"/>
            <w:tcBorders>
              <w:bottom w:val="single" w:sz="8" w:color="auto"/>
            </w:tcBorders>
          </w:tcPr>
          <w:p>
            <w:pPr>
              <w:jc w:val="right"/>
              <w:ind w:right="2400"/>
              <w:spacing w:after="0"/>
              <w:rPr>
                <w:sz w:val="20"/>
                <w:szCs w:val="20"/>
                <w:color w:val="auto"/>
              </w:rPr>
            </w:pPr>
            <w:r>
              <w:rPr>
                <w:rFonts w:ascii="Times New Roman" w:cs="Times New Roman" w:eastAsia="Times New Roman" w:hAnsi="Times New Roman"/>
                <w:sz w:val="17"/>
                <w:szCs w:val="17"/>
                <w:b w:val="1"/>
                <w:bCs w:val="1"/>
                <w:color w:val="auto"/>
              </w:rPr>
              <w:t>Sale Date</w:t>
            </w:r>
          </w:p>
        </w:tc>
        <w:tc>
          <w:tcPr>
            <w:tcW w:w="12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Shares (Net)</w:t>
            </w:r>
          </w:p>
        </w:tc>
        <w:tc>
          <w:tcPr>
            <w:tcW w:w="2240" w:type="dxa"/>
            <w:vAlign w:val="bottom"/>
          </w:tcPr>
          <w:p>
            <w:pPr>
              <w:spacing w:after="0"/>
              <w:rPr>
                <w:sz w:val="19"/>
                <w:szCs w:val="19"/>
                <w:color w:val="auto"/>
              </w:rPr>
            </w:pPr>
          </w:p>
        </w:tc>
      </w:tr>
      <w:tr>
        <w:trPr>
          <w:trHeight w:val="199"/>
        </w:trPr>
        <w:tc>
          <w:tcPr>
            <w:tcW w:w="2260" w:type="dxa"/>
            <w:vAlign w:val="bottom"/>
          </w:tcPr>
          <w:p>
            <w:pPr>
              <w:spacing w:after="0"/>
              <w:rPr>
                <w:sz w:val="17"/>
                <w:szCs w:val="17"/>
                <w:color w:val="auto"/>
              </w:rPr>
            </w:pPr>
          </w:p>
        </w:tc>
        <w:tc>
          <w:tcPr>
            <w:tcW w:w="55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May 3, 2022</w:t>
            </w:r>
          </w:p>
        </w:tc>
        <w:tc>
          <w:tcPr>
            <w:tcW w:w="12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39,373</w:t>
            </w:r>
          </w:p>
        </w:tc>
        <w:tc>
          <w:tcPr>
            <w:tcW w:w="2240" w:type="dxa"/>
            <w:vAlign w:val="bottom"/>
          </w:tcPr>
          <w:p>
            <w:pPr>
              <w:spacing w:after="0"/>
              <w:rPr>
                <w:sz w:val="17"/>
                <w:szCs w:val="17"/>
                <w:color w:val="auto"/>
              </w:rPr>
            </w:pPr>
          </w:p>
        </w:tc>
      </w:tr>
      <w:tr>
        <w:trPr>
          <w:trHeight w:val="199"/>
        </w:trPr>
        <w:tc>
          <w:tcPr>
            <w:tcW w:w="2260" w:type="dxa"/>
            <w:vAlign w:val="bottom"/>
          </w:tcPr>
          <w:p>
            <w:pPr>
              <w:spacing w:after="0"/>
              <w:rPr>
                <w:sz w:val="17"/>
                <w:szCs w:val="17"/>
                <w:color w:val="auto"/>
              </w:rPr>
            </w:pPr>
          </w:p>
        </w:tc>
        <w:tc>
          <w:tcPr>
            <w:tcW w:w="550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May 16, 2022</w:t>
            </w: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19,002</w:t>
            </w:r>
          </w:p>
        </w:tc>
        <w:tc>
          <w:tcPr>
            <w:tcW w:w="2240" w:type="dxa"/>
            <w:vAlign w:val="bottom"/>
          </w:tcPr>
          <w:p>
            <w:pPr>
              <w:spacing w:after="0"/>
              <w:rPr>
                <w:sz w:val="17"/>
                <w:szCs w:val="17"/>
                <w:color w:val="auto"/>
              </w:rPr>
            </w:pPr>
          </w:p>
        </w:tc>
      </w:tr>
      <w:tr>
        <w:trPr>
          <w:trHeight w:val="204"/>
        </w:trPr>
        <w:tc>
          <w:tcPr>
            <w:tcW w:w="2260" w:type="dxa"/>
            <w:vAlign w:val="bottom"/>
          </w:tcPr>
          <w:p>
            <w:pPr>
              <w:spacing w:after="0"/>
              <w:rPr>
                <w:sz w:val="17"/>
                <w:szCs w:val="17"/>
                <w:color w:val="auto"/>
              </w:rPr>
            </w:pPr>
          </w:p>
        </w:tc>
        <w:tc>
          <w:tcPr>
            <w:tcW w:w="55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May 18, 2022</w:t>
            </w:r>
          </w:p>
        </w:tc>
        <w:tc>
          <w:tcPr>
            <w:tcW w:w="12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36,150</w:t>
            </w:r>
          </w:p>
        </w:tc>
        <w:tc>
          <w:tcPr>
            <w:tcW w:w="2240" w:type="dxa"/>
            <w:vAlign w:val="bottom"/>
          </w:tcPr>
          <w:p>
            <w:pPr>
              <w:spacing w:after="0"/>
              <w:rPr>
                <w:sz w:val="17"/>
                <w:szCs w:val="17"/>
                <w:color w:val="auto"/>
              </w:rPr>
            </w:pPr>
          </w:p>
        </w:tc>
      </w:tr>
      <w:tr>
        <w:trPr>
          <w:trHeight w:val="204"/>
        </w:trPr>
        <w:tc>
          <w:tcPr>
            <w:tcW w:w="2260" w:type="dxa"/>
            <w:vAlign w:val="bottom"/>
          </w:tcPr>
          <w:p>
            <w:pPr>
              <w:spacing w:after="0"/>
              <w:rPr>
                <w:sz w:val="17"/>
                <w:szCs w:val="17"/>
                <w:color w:val="auto"/>
              </w:rPr>
            </w:pPr>
          </w:p>
        </w:tc>
        <w:tc>
          <w:tcPr>
            <w:tcW w:w="55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rPr>
              <w:t>Total</w:t>
            </w:r>
          </w:p>
        </w:tc>
        <w:tc>
          <w:tcPr>
            <w:tcW w:w="12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94,525</w:t>
            </w:r>
          </w:p>
        </w:tc>
        <w:tc>
          <w:tcPr>
            <w:tcW w:w="2240" w:type="dxa"/>
            <w:vAlign w:val="bottom"/>
          </w:tcPr>
          <w:p>
            <w:pPr>
              <w:spacing w:after="0"/>
              <w:rPr>
                <w:sz w:val="17"/>
                <w:szCs w:val="17"/>
                <w:color w:val="auto"/>
              </w:rPr>
            </w:pPr>
          </w:p>
        </w:tc>
      </w:tr>
      <w:tr>
        <w:trPr>
          <w:trHeight w:val="525"/>
        </w:trPr>
        <w:tc>
          <w:tcPr>
            <w:tcW w:w="2260" w:type="dxa"/>
            <w:vAlign w:val="bottom"/>
          </w:tcPr>
          <w:p>
            <w:pPr>
              <w:spacing w:after="0"/>
              <w:rPr>
                <w:sz w:val="24"/>
                <w:szCs w:val="24"/>
                <w:color w:val="auto"/>
              </w:rPr>
            </w:pPr>
          </w:p>
        </w:tc>
        <w:tc>
          <w:tcPr>
            <w:tcW w:w="5500" w:type="dxa"/>
            <w:vAlign w:val="bottom"/>
          </w:tcPr>
          <w:p>
            <w:pPr>
              <w:jc w:val="right"/>
              <w:ind w:right="1980"/>
              <w:spacing w:after="0"/>
              <w:rPr>
                <w:sz w:val="20"/>
                <w:szCs w:val="20"/>
                <w:color w:val="auto"/>
              </w:rPr>
            </w:pPr>
            <w:r>
              <w:rPr>
                <w:rFonts w:ascii="Times New Roman" w:cs="Times New Roman" w:eastAsia="Times New Roman" w:hAnsi="Times New Roman"/>
                <w:sz w:val="13"/>
                <w:szCs w:val="13"/>
                <w:color w:val="auto"/>
              </w:rPr>
              <w:t>71</w:t>
            </w:r>
          </w:p>
        </w:tc>
        <w:tc>
          <w:tcPr>
            <w:tcW w:w="1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0"/>
        </w:trPr>
        <w:tc>
          <w:tcPr>
            <w:tcW w:w="2260" w:type="dxa"/>
            <w:vAlign w:val="bottom"/>
            <w:tcBorders>
              <w:bottom w:val="single" w:sz="8" w:color="auto"/>
            </w:tcBorders>
          </w:tcPr>
          <w:p>
            <w:pPr>
              <w:spacing w:after="0"/>
              <w:rPr>
                <w:sz w:val="3"/>
                <w:szCs w:val="3"/>
                <w:color w:val="auto"/>
              </w:rPr>
            </w:pPr>
          </w:p>
        </w:tc>
        <w:tc>
          <w:tcPr>
            <w:tcW w:w="55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exhibits are filed as part of this report:</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Exhibit</w:t>
            </w:r>
          </w:p>
        </w:tc>
        <w:tc>
          <w:tcPr>
            <w:tcW w:w="9920" w:type="dxa"/>
            <w:vAlign w:val="bottom"/>
          </w:tcPr>
          <w:p>
            <w:pPr>
              <w:spacing w:after="0"/>
              <w:rPr>
                <w:sz w:val="17"/>
                <w:szCs w:val="17"/>
                <w:color w:val="auto"/>
              </w:rPr>
            </w:pPr>
          </w:p>
        </w:tc>
      </w:tr>
      <w:tr>
        <w:trPr>
          <w:trHeight w:val="224"/>
        </w:trPr>
        <w:tc>
          <w:tcPr>
            <w:tcW w:w="380" w:type="dxa"/>
            <w:vAlign w:val="bottom"/>
          </w:tcPr>
          <w:p>
            <w:pPr>
              <w:spacing w:after="0"/>
              <w:rPr>
                <w:sz w:val="19"/>
                <w:szCs w:val="19"/>
                <w:color w:val="auto"/>
              </w:rPr>
            </w:pPr>
          </w:p>
        </w:tc>
        <w:tc>
          <w:tcPr>
            <w:tcW w:w="940" w:type="dxa"/>
            <w:vAlign w:val="bottom"/>
            <w:gridSpan w:val="2"/>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w w:val="95"/>
              </w:rPr>
              <w:t>No.</w:t>
            </w:r>
          </w:p>
        </w:tc>
        <w:tc>
          <w:tcPr>
            <w:tcW w:w="9920" w:type="dxa"/>
            <w:vAlign w:val="bottom"/>
          </w:tcPr>
          <w:p>
            <w:pPr>
              <w:ind w:left="456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99"/>
        </w:trPr>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920" w:type="dxa"/>
            <w:vAlign w:val="bottom"/>
            <w:tcBorders>
              <w:top w:val="single" w:sz="8" w:color="auto"/>
            </w:tcBorders>
          </w:tcPr>
          <w:p>
            <w:pPr>
              <w:spacing w:after="0"/>
              <w:rPr>
                <w:sz w:val="17"/>
                <w:szCs w:val="17"/>
                <w:color w:val="auto"/>
              </w:rPr>
            </w:pPr>
          </w:p>
        </w:tc>
      </w:tr>
      <w:tr>
        <w:trPr>
          <w:trHeight w:val="162"/>
        </w:trPr>
        <w:tc>
          <w:tcPr>
            <w:tcW w:w="11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0000EE"/>
              </w:rPr>
              <w:t>31.</w:t>
            </w:r>
            <w:r>
              <w:rPr>
                <w:rFonts w:ascii="Times New Roman" w:cs="Times New Roman" w:eastAsia="Times New Roman" w:hAnsi="Times New Roman"/>
                <w:sz w:val="17"/>
                <w:szCs w:val="17"/>
                <w:u w:val="single" w:color="auto"/>
                <w:color w:val="0000EE"/>
              </w:rPr>
              <w:t>01</w:t>
            </w:r>
          </w:p>
        </w:tc>
        <w:tc>
          <w:tcPr>
            <w:tcW w:w="180" w:type="dxa"/>
            <w:vAlign w:val="bottom"/>
            <w:shd w:val="clear" w:color="auto" w:fill="CCEEFF"/>
          </w:tcPr>
          <w:p>
            <w:pPr>
              <w:spacing w:after="0"/>
              <w:rPr>
                <w:sz w:val="14"/>
                <w:szCs w:val="14"/>
                <w:color w:val="auto"/>
              </w:rPr>
            </w:pPr>
          </w:p>
        </w:tc>
        <w:tc>
          <w:tcPr>
            <w:tcW w:w="99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Certification of Principal Executive Officer Pursuant to Rules 13a-14(a) and 15d-14(a) under the Securities Exchange Act of 1934, as Adopted</w:t>
            </w:r>
          </w:p>
        </w:tc>
      </w:tr>
      <w:tr>
        <w:trPr>
          <w:trHeight w:val="216"/>
        </w:trPr>
        <w:tc>
          <w:tcPr>
            <w:tcW w:w="380" w:type="dxa"/>
            <w:vAlign w:val="bottom"/>
            <w:tcBorders>
              <w:top w:val="single" w:sz="8" w:color="0000EE"/>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Pursuant to Section 302 of the Sarbanes-Oxley Act of 2002</w:t>
            </w:r>
          </w:p>
        </w:tc>
      </w:tr>
      <w:tr>
        <w:trPr>
          <w:trHeight w:val="162"/>
        </w:trPr>
        <w:tc>
          <w:tcPr>
            <w:tcW w:w="1140" w:type="dxa"/>
            <w:vAlign w:val="bottom"/>
            <w:gridSpan w:val="2"/>
          </w:tcPr>
          <w:p>
            <w:pPr>
              <w:spacing w:after="0" w:line="162" w:lineRule="exact"/>
              <w:rPr>
                <w:sz w:val="20"/>
                <w:szCs w:val="20"/>
                <w:color w:val="auto"/>
              </w:rPr>
            </w:pPr>
            <w:r>
              <w:rPr>
                <w:rFonts w:ascii="Times New Roman" w:cs="Times New Roman" w:eastAsia="Times New Roman" w:hAnsi="Times New Roman"/>
                <w:sz w:val="17"/>
                <w:szCs w:val="17"/>
                <w:color w:val="0000EE"/>
              </w:rPr>
              <w:t>31.</w:t>
            </w:r>
            <w:r>
              <w:rPr>
                <w:rFonts w:ascii="Times New Roman" w:cs="Times New Roman" w:eastAsia="Times New Roman" w:hAnsi="Times New Roman"/>
                <w:sz w:val="17"/>
                <w:szCs w:val="17"/>
                <w:u w:val="single" w:color="auto"/>
                <w:color w:val="0000EE"/>
              </w:rPr>
              <w:t>02</w:t>
            </w:r>
          </w:p>
        </w:tc>
        <w:tc>
          <w:tcPr>
            <w:tcW w:w="180" w:type="dxa"/>
            <w:vAlign w:val="bottom"/>
          </w:tcPr>
          <w:p>
            <w:pPr>
              <w:spacing w:after="0"/>
              <w:rPr>
                <w:sz w:val="14"/>
                <w:szCs w:val="14"/>
                <w:color w:val="auto"/>
              </w:rPr>
            </w:pPr>
          </w:p>
        </w:tc>
        <w:tc>
          <w:tcPr>
            <w:tcW w:w="9920" w:type="dxa"/>
            <w:vAlign w:val="bottom"/>
          </w:tcPr>
          <w:p>
            <w:pPr>
              <w:spacing w:after="0" w:line="162" w:lineRule="exact"/>
              <w:rPr>
                <w:sz w:val="20"/>
                <w:szCs w:val="20"/>
                <w:color w:val="auto"/>
              </w:rPr>
            </w:pPr>
            <w:r>
              <w:rPr>
                <w:rFonts w:ascii="Times New Roman" w:cs="Times New Roman" w:eastAsia="Times New Roman" w:hAnsi="Times New Roman"/>
                <w:sz w:val="17"/>
                <w:szCs w:val="17"/>
                <w:color w:val="auto"/>
              </w:rPr>
              <w:t>Certification of Principal Financial Officer Pursuant to Rules 13a-14(a) and 15d-14(a) under the Securities Exchange Act of 1934, as Adopted</w:t>
            </w:r>
          </w:p>
        </w:tc>
      </w:tr>
      <w:tr>
        <w:trPr>
          <w:trHeight w:val="216"/>
        </w:trPr>
        <w:tc>
          <w:tcPr>
            <w:tcW w:w="380" w:type="dxa"/>
            <w:vAlign w:val="bottom"/>
            <w:tcBorders>
              <w:top w:val="single" w:sz="8" w:color="0000EE"/>
            </w:tcBorders>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7"/>
                <w:szCs w:val="17"/>
                <w:color w:val="auto"/>
              </w:rPr>
              <w:t>Pursuant to Section 302 of the Sarbanes-Oxley Act of 2002</w:t>
            </w:r>
          </w:p>
        </w:tc>
      </w:tr>
      <w:tr>
        <w:trPr>
          <w:trHeight w:val="162"/>
        </w:trPr>
        <w:tc>
          <w:tcPr>
            <w:tcW w:w="11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0000EE"/>
              </w:rPr>
              <w:t>32.</w:t>
            </w:r>
            <w:r>
              <w:rPr>
                <w:rFonts w:ascii="Times New Roman" w:cs="Times New Roman" w:eastAsia="Times New Roman" w:hAnsi="Times New Roman"/>
                <w:sz w:val="17"/>
                <w:szCs w:val="17"/>
                <w:u w:val="single" w:color="auto"/>
                <w:color w:val="0000EE"/>
              </w:rPr>
              <w:t>01</w:t>
            </w:r>
          </w:p>
        </w:tc>
        <w:tc>
          <w:tcPr>
            <w:tcW w:w="180" w:type="dxa"/>
            <w:vAlign w:val="bottom"/>
            <w:shd w:val="clear" w:color="auto" w:fill="CCEEFF"/>
          </w:tcPr>
          <w:p>
            <w:pPr>
              <w:spacing w:after="0"/>
              <w:rPr>
                <w:sz w:val="14"/>
                <w:szCs w:val="14"/>
                <w:color w:val="auto"/>
              </w:rPr>
            </w:pPr>
          </w:p>
        </w:tc>
        <w:tc>
          <w:tcPr>
            <w:tcW w:w="99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w w:val="98"/>
              </w:rPr>
              <w:t>Certification of Principal Executive Officer and Principal Financial Officer Pursuant to 18 U.S.C. Section 1350, as Adopted Pursuant to Section 906</w:t>
            </w:r>
          </w:p>
        </w:tc>
      </w:tr>
      <w:tr>
        <w:trPr>
          <w:trHeight w:val="216"/>
        </w:trPr>
        <w:tc>
          <w:tcPr>
            <w:tcW w:w="380" w:type="dxa"/>
            <w:vAlign w:val="bottom"/>
            <w:tcBorders>
              <w:top w:val="single" w:sz="8" w:color="0000EE"/>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of the Sarbanes-Oxley Act of 2002</w:t>
            </w:r>
          </w:p>
        </w:tc>
      </w:tr>
      <w:tr>
        <w:trPr>
          <w:trHeight w:val="183"/>
        </w:trPr>
        <w:tc>
          <w:tcPr>
            <w:tcW w:w="1320" w:type="dxa"/>
            <w:vAlign w:val="bottom"/>
            <w:gridSpan w:val="3"/>
          </w:tcPr>
          <w:p>
            <w:pPr>
              <w:spacing w:after="0" w:line="183" w:lineRule="exact"/>
              <w:rPr>
                <w:sz w:val="20"/>
                <w:szCs w:val="20"/>
                <w:color w:val="auto"/>
              </w:rPr>
            </w:pPr>
            <w:r>
              <w:rPr>
                <w:rFonts w:ascii="Times New Roman" w:cs="Times New Roman" w:eastAsia="Times New Roman" w:hAnsi="Times New Roman"/>
                <w:sz w:val="17"/>
                <w:szCs w:val="17"/>
                <w:color w:val="auto"/>
              </w:rPr>
              <w:t>101.INS</w:t>
            </w:r>
          </w:p>
        </w:tc>
        <w:tc>
          <w:tcPr>
            <w:tcW w:w="992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w w:val="97"/>
              </w:rPr>
              <w:t>Inline XBRL Instance Document (the instance document does not appear in the Interactive Data File because its XBRL tags are embedded within the</w:t>
            </w:r>
          </w:p>
        </w:tc>
      </w:tr>
      <w:tr>
        <w:trPr>
          <w:trHeight w:val="216"/>
        </w:trPr>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7"/>
                <w:szCs w:val="17"/>
                <w:color w:val="auto"/>
              </w:rPr>
              <w:t>Inline XBRL document)</w:t>
            </w:r>
          </w:p>
        </w:tc>
      </w:tr>
      <w:tr>
        <w:trPr>
          <w:trHeight w:val="199"/>
        </w:trPr>
        <w:tc>
          <w:tcPr>
            <w:tcW w:w="1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101.SCH</w:t>
            </w:r>
          </w:p>
        </w:tc>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199"/>
        </w:trPr>
        <w:tc>
          <w:tcPr>
            <w:tcW w:w="1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101.CAL</w:t>
            </w:r>
          </w:p>
        </w:tc>
        <w:tc>
          <w:tcPr>
            <w:tcW w:w="9920" w:type="dxa"/>
            <w:vAlign w:val="bottom"/>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199"/>
        </w:trPr>
        <w:tc>
          <w:tcPr>
            <w:tcW w:w="1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101.DEF</w:t>
            </w:r>
          </w:p>
        </w:tc>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199"/>
        </w:trPr>
        <w:tc>
          <w:tcPr>
            <w:tcW w:w="1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101.LAB</w:t>
            </w:r>
          </w:p>
        </w:tc>
        <w:tc>
          <w:tcPr>
            <w:tcW w:w="9920" w:type="dxa"/>
            <w:vAlign w:val="bottom"/>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199"/>
        </w:trPr>
        <w:tc>
          <w:tcPr>
            <w:tcW w:w="1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101.PRE</w:t>
            </w:r>
          </w:p>
        </w:tc>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r>
      <w:tr>
        <w:trPr>
          <w:trHeight w:val="509"/>
        </w:trPr>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20" w:type="dxa"/>
            <w:vAlign w:val="bottom"/>
          </w:tcPr>
          <w:p>
            <w:pPr>
              <w:ind w:left="4240"/>
              <w:spacing w:after="0"/>
              <w:rPr>
                <w:sz w:val="20"/>
                <w:szCs w:val="20"/>
                <w:color w:val="auto"/>
              </w:rPr>
            </w:pPr>
            <w:r>
              <w:rPr>
                <w:rFonts w:ascii="Times New Roman" w:cs="Times New Roman" w:eastAsia="Times New Roman" w:hAnsi="Times New Roman"/>
                <w:sz w:val="13"/>
                <w:szCs w:val="13"/>
                <w:color w:val="auto"/>
              </w:rPr>
              <w:t>72</w:t>
            </w:r>
          </w:p>
        </w:tc>
      </w:tr>
      <w:tr>
        <w:trPr>
          <w:trHeight w:val="40"/>
        </w:trPr>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9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7" w:lineRule="exact"/>
        <w:rPr>
          <w:sz w:val="20"/>
          <w:szCs w:val="20"/>
          <w:color w:val="auto"/>
        </w:rPr>
      </w:pPr>
    </w:p>
    <w:p>
      <w:pPr>
        <w:ind w:firstLine="597"/>
        <w:spacing w:after="0" w:line="269"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480" w:type="dxa"/>
            <w:vAlign w:val="bottom"/>
          </w:tcPr>
          <w:p>
            <w:pPr>
              <w:spacing w:after="0"/>
              <w:rPr>
                <w:sz w:val="17"/>
                <w:szCs w:val="17"/>
                <w:color w:val="auto"/>
              </w:rPr>
            </w:pPr>
          </w:p>
        </w:tc>
        <w:tc>
          <w:tcPr>
            <w:tcW w:w="6080" w:type="dxa"/>
            <w:vAlign w:val="bottom"/>
            <w:gridSpan w:val="2"/>
          </w:tcPr>
          <w:p>
            <w:pPr>
              <w:ind w:left="2140"/>
              <w:spacing w:after="0"/>
              <w:rPr>
                <w:sz w:val="20"/>
                <w:szCs w:val="20"/>
                <w:color w:val="auto"/>
              </w:rPr>
            </w:pPr>
            <w:r>
              <w:rPr>
                <w:rFonts w:ascii="Times New Roman" w:cs="Times New Roman" w:eastAsia="Times New Roman" w:hAnsi="Times New Roman"/>
                <w:sz w:val="17"/>
                <w:szCs w:val="17"/>
                <w:color w:val="auto"/>
              </w:rPr>
              <w:t>ACM RESEARCH, INC.</w:t>
            </w:r>
          </w:p>
        </w:tc>
        <w:tc>
          <w:tcPr>
            <w:tcW w:w="1680" w:type="dxa"/>
            <w:vAlign w:val="bottom"/>
          </w:tcPr>
          <w:p>
            <w:pPr>
              <w:spacing w:after="0"/>
              <w:rPr>
                <w:sz w:val="17"/>
                <w:szCs w:val="17"/>
                <w:color w:val="auto"/>
              </w:rPr>
            </w:pPr>
          </w:p>
        </w:tc>
      </w:tr>
      <w:tr>
        <w:trPr>
          <w:trHeight w:val="220"/>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Date: August 9, 2022</w:t>
            </w:r>
          </w:p>
        </w:tc>
        <w:tc>
          <w:tcPr>
            <w:tcW w:w="6080" w:type="dxa"/>
            <w:vAlign w:val="bottom"/>
            <w:gridSpan w:val="2"/>
          </w:tcPr>
          <w:p>
            <w:pPr>
              <w:ind w:left="2140"/>
              <w:spacing w:after="0"/>
              <w:rPr>
                <w:sz w:val="20"/>
                <w:szCs w:val="20"/>
                <w:color w:val="auto"/>
              </w:rPr>
            </w:pPr>
            <w:r>
              <w:rPr>
                <w:rFonts w:ascii="Times New Roman" w:cs="Times New Roman" w:eastAsia="Times New Roman" w:hAnsi="Times New Roman"/>
                <w:sz w:val="17"/>
                <w:szCs w:val="17"/>
                <w:color w:val="auto"/>
              </w:rPr>
              <w:t>By: /s/ Mark McKechnie</w:t>
            </w:r>
          </w:p>
        </w:tc>
        <w:tc>
          <w:tcPr>
            <w:tcW w:w="1680" w:type="dxa"/>
            <w:vAlign w:val="bottom"/>
          </w:tcPr>
          <w:p>
            <w:pPr>
              <w:spacing w:after="0"/>
              <w:rPr>
                <w:sz w:val="19"/>
                <w:szCs w:val="19"/>
                <w:color w:val="auto"/>
              </w:rPr>
            </w:pPr>
          </w:p>
        </w:tc>
      </w:tr>
      <w:tr>
        <w:trPr>
          <w:trHeight w:val="183"/>
        </w:trPr>
        <w:tc>
          <w:tcPr>
            <w:tcW w:w="34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62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17"/>
                <w:szCs w:val="17"/>
                <w:color w:val="auto"/>
              </w:rPr>
              <w:t>Mark McKechnie</w:t>
            </w:r>
          </w:p>
        </w:tc>
        <w:tc>
          <w:tcPr>
            <w:tcW w:w="1680" w:type="dxa"/>
            <w:vAlign w:val="bottom"/>
          </w:tcPr>
          <w:p>
            <w:pPr>
              <w:spacing w:after="0"/>
              <w:rPr>
                <w:sz w:val="15"/>
                <w:szCs w:val="15"/>
                <w:color w:val="auto"/>
              </w:rPr>
            </w:pPr>
          </w:p>
        </w:tc>
      </w:tr>
      <w:tr>
        <w:trPr>
          <w:trHeight w:val="199"/>
        </w:trPr>
        <w:tc>
          <w:tcPr>
            <w:tcW w:w="34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w w:val="97"/>
              </w:rPr>
              <w:t>Chief Financial Officer, Executive Vice President and</w:t>
            </w:r>
          </w:p>
        </w:tc>
        <w:tc>
          <w:tcPr>
            <w:tcW w:w="1680" w:type="dxa"/>
            <w:vAlign w:val="bottom"/>
          </w:tcPr>
          <w:p>
            <w:pPr>
              <w:spacing w:after="0"/>
              <w:rPr>
                <w:sz w:val="17"/>
                <w:szCs w:val="17"/>
                <w:color w:val="auto"/>
              </w:rPr>
            </w:pPr>
          </w:p>
        </w:tc>
      </w:tr>
      <w:tr>
        <w:trPr>
          <w:trHeight w:val="197"/>
        </w:trPr>
        <w:tc>
          <w:tcPr>
            <w:tcW w:w="34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Treasurer</w:t>
            </w:r>
          </w:p>
        </w:tc>
        <w:tc>
          <w:tcPr>
            <w:tcW w:w="1680" w:type="dxa"/>
            <w:vAlign w:val="bottom"/>
          </w:tcPr>
          <w:p>
            <w:pPr>
              <w:spacing w:after="0"/>
              <w:rPr>
                <w:sz w:val="17"/>
                <w:szCs w:val="17"/>
                <w:color w:val="auto"/>
              </w:rPr>
            </w:pPr>
          </w:p>
        </w:tc>
      </w:tr>
      <w:tr>
        <w:trPr>
          <w:trHeight w:val="218"/>
        </w:trPr>
        <w:tc>
          <w:tcPr>
            <w:tcW w:w="3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c>
          <w:tcPr>
            <w:tcW w:w="1680" w:type="dxa"/>
            <w:vAlign w:val="bottom"/>
          </w:tcPr>
          <w:p>
            <w:pPr>
              <w:spacing w:after="0"/>
              <w:rPr>
                <w:sz w:val="18"/>
                <w:szCs w:val="18"/>
                <w:color w:val="auto"/>
              </w:rPr>
            </w:pPr>
          </w:p>
        </w:tc>
      </w:tr>
      <w:tr>
        <w:trPr>
          <w:trHeight w:val="550"/>
        </w:trPr>
        <w:tc>
          <w:tcPr>
            <w:tcW w:w="3480" w:type="dxa"/>
            <w:vAlign w:val="bottom"/>
          </w:tcPr>
          <w:p>
            <w:pPr>
              <w:spacing w:after="0"/>
              <w:rPr>
                <w:sz w:val="24"/>
                <w:szCs w:val="24"/>
                <w:color w:val="auto"/>
              </w:rPr>
            </w:pPr>
          </w:p>
        </w:tc>
        <w:tc>
          <w:tcPr>
            <w:tcW w:w="2460" w:type="dxa"/>
            <w:vAlign w:val="bottom"/>
          </w:tcPr>
          <w:p>
            <w:pPr>
              <w:jc w:val="right"/>
              <w:ind w:right="163"/>
              <w:spacing w:after="0"/>
              <w:rPr>
                <w:sz w:val="20"/>
                <w:szCs w:val="20"/>
                <w:color w:val="auto"/>
              </w:rPr>
            </w:pPr>
            <w:r>
              <w:rPr>
                <w:rFonts w:ascii="Times New Roman" w:cs="Times New Roman" w:eastAsia="Times New Roman" w:hAnsi="Times New Roman"/>
                <w:sz w:val="13"/>
                <w:szCs w:val="13"/>
                <w:color w:val="auto"/>
              </w:rPr>
              <w:t>73</w:t>
            </w:r>
          </w:p>
        </w:tc>
        <w:tc>
          <w:tcPr>
            <w:tcW w:w="36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7"/>
        </w:trPr>
        <w:tc>
          <w:tcPr>
            <w:tcW w:w="3480" w:type="dxa"/>
            <w:vAlign w:val="bottom"/>
            <w:tcBorders>
              <w:bottom w:val="single" w:sz="8" w:color="auto"/>
            </w:tcBorders>
          </w:tcPr>
          <w:p>
            <w:pPr>
              <w:spacing w:after="0"/>
              <w:rPr>
                <w:sz w:val="6"/>
                <w:szCs w:val="6"/>
                <w:color w:val="auto"/>
              </w:rPr>
            </w:pPr>
          </w:p>
        </w:tc>
        <w:tc>
          <w:tcPr>
            <w:tcW w:w="2460" w:type="dxa"/>
            <w:vAlign w:val="bottom"/>
            <w:tcBorders>
              <w:bottom w:val="single" w:sz="8" w:color="auto"/>
            </w:tcBorders>
          </w:tcPr>
          <w:p>
            <w:pPr>
              <w:spacing w:after="0"/>
              <w:rPr>
                <w:sz w:val="6"/>
                <w:szCs w:val="6"/>
                <w:color w:val="auto"/>
              </w:rPr>
            </w:pPr>
          </w:p>
        </w:tc>
        <w:tc>
          <w:tcPr>
            <w:tcW w:w="362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r>
    </w:tbl>
    <w:p>
      <w:pPr>
        <w:sectPr>
          <w:pgSz w:w="11900" w:h="16838" w:orient="portrait"/>
          <w:cols w:equalWidth="0" w:num="1">
            <w:col w:w="11240"/>
          </w:cols>
          <w:pgMar w:left="320" w:top="118"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3115" cy="317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3115" cy="31750"/>
                    </a:xfrm>
                    <a:prstGeom prst="rect">
                      <a:avLst/>
                    </a:prstGeom>
                    <a:noFill/>
                  </pic:spPr>
                </pic:pic>
              </a:graphicData>
            </a:graphic>
          </wp:anchor>
        </w:drawing>
        <w:t>Exhibit 31.01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PRINCIPAL EXECUTIVE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302 OF THE SARBANES-OXLEY ACT OF 2002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H. Wang, certify that:</w:t>
      </w:r>
    </w:p>
    <w:p>
      <w:pPr>
        <w:spacing w:after="0" w:line="218" w:lineRule="exact"/>
        <w:rPr>
          <w:sz w:val="20"/>
          <w:szCs w:val="20"/>
          <w:color w:val="auto"/>
        </w:rPr>
      </w:pPr>
    </w:p>
    <w:p>
      <w:pPr>
        <w:ind w:left="200" w:hanging="200"/>
        <w:spacing w:after="0"/>
        <w:tabs>
          <w:tab w:leader="none" w:pos="2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ACM Research, Inc.</w:t>
      </w:r>
    </w:p>
    <w:p>
      <w:pPr>
        <w:spacing w:after="0" w:line="217" w:lineRule="exact"/>
        <w:rPr>
          <w:rFonts w:ascii="Times New Roman" w:cs="Times New Roman" w:eastAsia="Times New Roman" w:hAnsi="Times New Roman"/>
          <w:sz w:val="20"/>
          <w:szCs w:val="20"/>
          <w:color w:val="auto"/>
        </w:rPr>
      </w:pPr>
    </w:p>
    <w:p>
      <w:pPr>
        <w:jc w:val="both"/>
        <w:spacing w:after="0" w:line="249" w:lineRule="auto"/>
        <w:tabs>
          <w:tab w:leader="none" w:pos="20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0" w:lineRule="exact"/>
        <w:rPr>
          <w:rFonts w:ascii="Times New Roman" w:cs="Times New Roman" w:eastAsia="Times New Roman" w:hAnsi="Times New Roman"/>
          <w:sz w:val="20"/>
          <w:szCs w:val="20"/>
          <w:color w:val="auto"/>
        </w:rPr>
      </w:pPr>
    </w:p>
    <w:p>
      <w:pPr>
        <w:spacing w:after="0" w:line="264" w:lineRule="auto"/>
        <w:tabs>
          <w:tab w:leader="none" w:pos="2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Times New Roman" w:cs="Times New Roman" w:eastAsia="Times New Roman" w:hAnsi="Times New Roman"/>
          <w:sz w:val="20"/>
          <w:szCs w:val="20"/>
          <w:color w:val="auto"/>
        </w:rPr>
      </w:pPr>
    </w:p>
    <w:p>
      <w:pPr>
        <w:jc w:val="both"/>
        <w:spacing w:after="0" w:line="245" w:lineRule="auto"/>
        <w:tabs>
          <w:tab w:leader="none" w:pos="22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13a-15(f) and 15d-15(f)), for the registrant and have:</w:t>
      </w:r>
    </w:p>
    <w:p>
      <w:pPr>
        <w:spacing w:after="0" w:line="196" w:lineRule="exact"/>
        <w:rPr>
          <w:sz w:val="20"/>
          <w:szCs w:val="20"/>
          <w:color w:val="auto"/>
        </w:rPr>
      </w:pPr>
    </w:p>
    <w:p>
      <w:pPr>
        <w:jc w:val="both"/>
        <w:spacing w:after="0" w:line="249" w:lineRule="auto"/>
        <w:tabs>
          <w:tab w:leader="none" w:pos="32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20"/>
          <w:szCs w:val="20"/>
          <w:color w:val="auto"/>
        </w:rPr>
      </w:pPr>
    </w:p>
    <w:p>
      <w:pPr>
        <w:jc w:val="both"/>
        <w:spacing w:after="0" w:line="249" w:lineRule="auto"/>
        <w:tabs>
          <w:tab w:leader="none" w:pos="29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20"/>
          <w:szCs w:val="20"/>
          <w:color w:val="auto"/>
        </w:rPr>
      </w:pPr>
    </w:p>
    <w:p>
      <w:pPr>
        <w:spacing w:after="0" w:line="264" w:lineRule="auto"/>
        <w:tabs>
          <w:tab w:leader="none" w:pos="28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20"/>
          <w:szCs w:val="20"/>
          <w:color w:val="auto"/>
        </w:rPr>
      </w:pPr>
    </w:p>
    <w:p>
      <w:pPr>
        <w:jc w:val="both"/>
        <w:spacing w:after="0" w:line="249" w:lineRule="auto"/>
        <w:tabs>
          <w:tab w:leader="none" w:pos="29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0" w:lineRule="exact"/>
        <w:rPr>
          <w:sz w:val="20"/>
          <w:szCs w:val="20"/>
          <w:color w:val="auto"/>
        </w:rPr>
      </w:pPr>
    </w:p>
    <w:p>
      <w:pPr>
        <w:jc w:val="both"/>
        <w:spacing w:after="0" w:line="249" w:lineRule="auto"/>
        <w:tabs>
          <w:tab w:leader="none" w:pos="23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0" w:lineRule="exact"/>
        <w:rPr>
          <w:sz w:val="20"/>
          <w:szCs w:val="20"/>
          <w:color w:val="auto"/>
        </w:rPr>
      </w:pPr>
    </w:p>
    <w:p>
      <w:pPr>
        <w:spacing w:after="0" w:line="264" w:lineRule="auto"/>
        <w:tabs>
          <w:tab w:leader="none" w:pos="29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Times New Roman" w:cs="Times New Roman" w:eastAsia="Times New Roman" w:hAnsi="Times New Roman"/>
          <w:sz w:val="20"/>
          <w:szCs w:val="20"/>
          <w:color w:val="auto"/>
        </w:rPr>
      </w:pPr>
    </w:p>
    <w:p>
      <w:pPr>
        <w:spacing w:after="0" w:line="264" w:lineRule="auto"/>
        <w:tabs>
          <w:tab w:leader="none" w:pos="29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7"/>
          <w:szCs w:val="17"/>
          <w:color w:val="auto"/>
        </w:rPr>
        <w:t>Date: August 9, 2022</w:t>
      </w:r>
      <w:r>
        <w:rPr>
          <w:sz w:val="20"/>
          <w:szCs w:val="20"/>
          <w:color w:val="auto"/>
        </w:rPr>
        <w:tab/>
      </w:r>
      <w:r>
        <w:rPr>
          <w:rFonts w:ascii="Times New Roman" w:cs="Times New Roman" w:eastAsia="Times New Roman" w:hAnsi="Times New Roman"/>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12700</wp:posOffset>
            </wp:positionV>
            <wp:extent cx="3571240"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71240" cy="1587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David H. Wang</w:t>
      </w:r>
    </w:p>
    <w:p>
      <w:pPr>
        <w:spacing w:after="0" w:line="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Chief Executive Officer and President</w:t>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349885</wp:posOffset>
            </wp:positionV>
            <wp:extent cx="7143115"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3115" cy="317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3115" cy="31750"/>
                    </a:xfrm>
                    <a:prstGeom prst="rect">
                      <a:avLst/>
                    </a:prstGeom>
                    <a:noFill/>
                  </pic:spPr>
                </pic:pic>
              </a:graphicData>
            </a:graphic>
          </wp:anchor>
        </w:drawing>
        <w:t>Exhibit 31.02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PRINCIPAL FINANCIAL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302 OF THE SARBANES-OXLEY ACT OF 2002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Mark McKechnie, certify that:</w:t>
      </w:r>
    </w:p>
    <w:p>
      <w:pPr>
        <w:spacing w:after="0" w:line="218" w:lineRule="exact"/>
        <w:rPr>
          <w:sz w:val="20"/>
          <w:szCs w:val="20"/>
          <w:color w:val="auto"/>
        </w:rPr>
      </w:pPr>
    </w:p>
    <w:p>
      <w:pPr>
        <w:ind w:left="200" w:hanging="200"/>
        <w:spacing w:after="0"/>
        <w:tabs>
          <w:tab w:leader="none" w:pos="2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ACM Research, Inc.</w:t>
      </w:r>
    </w:p>
    <w:p>
      <w:pPr>
        <w:spacing w:after="0" w:line="217" w:lineRule="exact"/>
        <w:rPr>
          <w:rFonts w:ascii="Times New Roman" w:cs="Times New Roman" w:eastAsia="Times New Roman" w:hAnsi="Times New Roman"/>
          <w:sz w:val="20"/>
          <w:szCs w:val="20"/>
          <w:color w:val="auto"/>
        </w:rPr>
      </w:pPr>
    </w:p>
    <w:p>
      <w:pPr>
        <w:jc w:val="both"/>
        <w:spacing w:after="0" w:line="249" w:lineRule="auto"/>
        <w:tabs>
          <w:tab w:leader="none" w:pos="209"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0" w:lineRule="exact"/>
        <w:rPr>
          <w:rFonts w:ascii="Times New Roman" w:cs="Times New Roman" w:eastAsia="Times New Roman" w:hAnsi="Times New Roman"/>
          <w:sz w:val="20"/>
          <w:szCs w:val="20"/>
          <w:color w:val="auto"/>
        </w:rPr>
      </w:pPr>
    </w:p>
    <w:p>
      <w:pPr>
        <w:spacing w:after="0" w:line="264" w:lineRule="auto"/>
        <w:tabs>
          <w:tab w:leader="none" w:pos="2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Times New Roman" w:cs="Times New Roman" w:eastAsia="Times New Roman" w:hAnsi="Times New Roman"/>
          <w:sz w:val="20"/>
          <w:szCs w:val="20"/>
          <w:color w:val="auto"/>
        </w:rPr>
      </w:pPr>
    </w:p>
    <w:p>
      <w:pPr>
        <w:jc w:val="both"/>
        <w:spacing w:after="0" w:line="245" w:lineRule="auto"/>
        <w:tabs>
          <w:tab w:leader="none" w:pos="22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13a-15(f) and 15d-15(f)), for the registrant and have:</w:t>
      </w:r>
    </w:p>
    <w:p>
      <w:pPr>
        <w:spacing w:after="0" w:line="196" w:lineRule="exact"/>
        <w:rPr>
          <w:sz w:val="20"/>
          <w:szCs w:val="20"/>
          <w:color w:val="auto"/>
        </w:rPr>
      </w:pPr>
    </w:p>
    <w:p>
      <w:pPr>
        <w:jc w:val="both"/>
        <w:spacing w:after="0" w:line="249" w:lineRule="auto"/>
        <w:tabs>
          <w:tab w:leader="none" w:pos="32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20"/>
          <w:szCs w:val="20"/>
          <w:color w:val="auto"/>
        </w:rPr>
      </w:pPr>
    </w:p>
    <w:p>
      <w:pPr>
        <w:jc w:val="both"/>
        <w:spacing w:after="0" w:line="249" w:lineRule="auto"/>
        <w:tabs>
          <w:tab w:leader="none" w:pos="29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20"/>
          <w:szCs w:val="20"/>
          <w:color w:val="auto"/>
        </w:rPr>
      </w:pPr>
    </w:p>
    <w:p>
      <w:pPr>
        <w:spacing w:after="0" w:line="264" w:lineRule="auto"/>
        <w:tabs>
          <w:tab w:leader="none" w:pos="28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20"/>
          <w:szCs w:val="20"/>
          <w:color w:val="auto"/>
        </w:rPr>
      </w:pPr>
    </w:p>
    <w:p>
      <w:pPr>
        <w:jc w:val="both"/>
        <w:spacing w:after="0" w:line="249" w:lineRule="auto"/>
        <w:tabs>
          <w:tab w:leader="none" w:pos="29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0" w:lineRule="exact"/>
        <w:rPr>
          <w:sz w:val="20"/>
          <w:szCs w:val="20"/>
          <w:color w:val="auto"/>
        </w:rPr>
      </w:pPr>
    </w:p>
    <w:p>
      <w:pPr>
        <w:jc w:val="both"/>
        <w:spacing w:after="0" w:line="249" w:lineRule="auto"/>
        <w:tabs>
          <w:tab w:leader="none" w:pos="23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0" w:lineRule="exact"/>
        <w:rPr>
          <w:sz w:val="20"/>
          <w:szCs w:val="20"/>
          <w:color w:val="auto"/>
        </w:rPr>
      </w:pPr>
    </w:p>
    <w:p>
      <w:pPr>
        <w:spacing w:after="0" w:line="264" w:lineRule="auto"/>
        <w:tabs>
          <w:tab w:leader="none" w:pos="299"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Times New Roman" w:cs="Times New Roman" w:eastAsia="Times New Roman" w:hAnsi="Times New Roman"/>
          <w:sz w:val="20"/>
          <w:szCs w:val="20"/>
          <w:color w:val="auto"/>
        </w:rPr>
      </w:pPr>
    </w:p>
    <w:p>
      <w:pPr>
        <w:spacing w:after="0" w:line="264" w:lineRule="auto"/>
        <w:tabs>
          <w:tab w:leader="none" w:pos="29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7"/>
          <w:szCs w:val="17"/>
          <w:color w:val="auto"/>
        </w:rPr>
        <w:t>Date: August 9, 2022</w:t>
      </w:r>
      <w:r>
        <w:rPr>
          <w:sz w:val="20"/>
          <w:szCs w:val="20"/>
          <w:color w:val="auto"/>
        </w:rPr>
        <w:tab/>
      </w:r>
      <w:r>
        <w:rPr>
          <w:rFonts w:ascii="Times New Roman" w:cs="Times New Roman" w:eastAsia="Times New Roman" w:hAnsi="Times New Roman"/>
          <w:sz w:val="16"/>
          <w:szCs w:val="16"/>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12700</wp:posOffset>
            </wp:positionV>
            <wp:extent cx="357124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71240" cy="1587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Mark McKechnie</w:t>
      </w:r>
    </w:p>
    <w:p>
      <w:pPr>
        <w:spacing w:after="0" w:line="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Chief Financial Officer, Executive Vice President and Treasurer</w:t>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349885</wp:posOffset>
            </wp:positionV>
            <wp:extent cx="7143115"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3115" cy="317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3115" cy="31750"/>
                    </a:xfrm>
                    <a:prstGeom prst="rect">
                      <a:avLst/>
                    </a:prstGeom>
                    <a:noFill/>
                  </pic:spPr>
                </pic:pic>
              </a:graphicData>
            </a:graphic>
          </wp:anchor>
        </w:drawing>
        <w:t>Exhibit 32.01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1350,</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 SECTION 906 OF THE SARBANES-OXLEY ACT OF 2002</w:t>
      </w:r>
    </w:p>
    <w:p>
      <w:pPr>
        <w:spacing w:after="0" w:line="19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Quarterly Report on Form 10-Q of ACM Research, Inc. for the quarterly period ended June 30, 2022,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spacing w:after="0" w:line="180" w:lineRule="exact"/>
        <w:rPr>
          <w:sz w:val="20"/>
          <w:szCs w:val="20"/>
          <w:color w:val="auto"/>
        </w:rPr>
      </w:pPr>
    </w:p>
    <w:p>
      <w:pPr>
        <w:ind w:left="200" w:hanging="200"/>
        <w:spacing w:after="0"/>
        <w:tabs>
          <w:tab w:leader="none" w:pos="2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20"/>
          <w:szCs w:val="20"/>
          <w:color w:val="auto"/>
        </w:rPr>
      </w:pPr>
    </w:p>
    <w:p>
      <w:pPr>
        <w:spacing w:after="0" w:line="264" w:lineRule="auto"/>
        <w:tabs>
          <w:tab w:leader="none" w:pos="20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ACM Research, Inc. for the period presented therein.</w:t>
      </w:r>
    </w:p>
    <w:p>
      <w:pPr>
        <w:spacing w:after="0" w:line="17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7"/>
          <w:szCs w:val="17"/>
          <w:color w:val="auto"/>
        </w:rPr>
        <w:t>Date: August 9, 2022</w:t>
      </w:r>
      <w:r>
        <w:rPr>
          <w:sz w:val="20"/>
          <w:szCs w:val="20"/>
          <w:color w:val="auto"/>
        </w:rPr>
        <w:tab/>
      </w:r>
      <w:r>
        <w:rPr>
          <w:rFonts w:ascii="Times New Roman" w:cs="Times New Roman" w:eastAsia="Times New Roman" w:hAnsi="Times New Roman"/>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12700</wp:posOffset>
            </wp:positionV>
            <wp:extent cx="3571240"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71240" cy="1587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David H. Wang</w:t>
      </w:r>
    </w:p>
    <w:p>
      <w:pPr>
        <w:spacing w:after="0" w:line="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Chief Executive Officer and President</w:t>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186"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7"/>
          <w:szCs w:val="17"/>
          <w:color w:val="auto"/>
        </w:rPr>
        <w:t>Date: August 9, 2022</w:t>
      </w:r>
      <w:r>
        <w:rPr>
          <w:sz w:val="20"/>
          <w:szCs w:val="20"/>
          <w:color w:val="auto"/>
        </w:rPr>
        <w:tab/>
      </w:r>
      <w:r>
        <w:rPr>
          <w:rFonts w:ascii="Times New Roman" w:cs="Times New Roman" w:eastAsia="Times New Roman" w:hAnsi="Times New Roman"/>
          <w:sz w:val="16"/>
          <w:szCs w:val="16"/>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12700</wp:posOffset>
            </wp:positionV>
            <wp:extent cx="3571240"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71240" cy="1587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Mark McKechnie</w:t>
      </w:r>
    </w:p>
    <w:p>
      <w:pPr>
        <w:spacing w:after="0" w:line="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Chief Financial Officer, Executive Vice President and Treasurer</w:t>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20"/>
          <w:szCs w:val="20"/>
          <w:color w:val="auto"/>
        </w:rPr>
        <w:t>The foregoing certification is being furnished solely pursuant to 18 U.S.C. §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327025</wp:posOffset>
            </wp:positionV>
            <wp:extent cx="7143115"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sectPr>
      <w:pgSz w:w="11900" w:h="16838" w:orient="portrait"/>
      <w:cols w:equalWidth="0" w:num="1">
        <w:col w:w="11240"/>
      </w:cols>
      <w:pgMar w:left="320" w:top="2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lvl w:ilvl="1">
      <w:lvlJc w:val="left"/>
      <w:lvlText w:val="o"/>
      <w:numFmt w:val="bullet"/>
      <w:start w:val="1"/>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lowerLetter"/>
      <w:start w:val="2"/>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decimal"/>
      <w:start w:val="5"/>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lowerLetter"/>
      <w:start w:val="1"/>
    </w:lvl>
  </w:abstractNum>
  <w:abstractNum w:abstractNumId="46">
    <w:nsid w:val="7644A45C"/>
    <w:multiLevelType w:val="hybridMultilevel"/>
    <w:lvl w:ilvl="0">
      <w:lvlJc w:val="left"/>
      <w:lvlText w:val="%1."/>
      <w:numFmt w:val="decimal"/>
      <w:start w:val="5"/>
    </w:lvl>
  </w:abstractNum>
  <w:abstractNum w:abstractNumId="47">
    <w:nsid w:val="32FFF902"/>
    <w:multiLevelType w:val="hybridMultilevel"/>
    <w:lvl w:ilvl="0">
      <w:lvlJc w:val="left"/>
      <w:lvlText w:val="(%1)"/>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2022-08-09T18:36:18Z</dcterms:created>
  <dcterms:modified xsi:type="dcterms:W3CDTF">2022-08-09T18:36:18Z</dcterms:modified>
</cp:coreProperties>
</file>