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10-Q</w:t>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firstLine="360"/>
        <w:jc w:val="left"/>
        <w:rPr/>
      </w:pPr>
      <w:r>
        <w:rPr>
          <w:rFonts w:ascii="Times New Roman;sans-serif" w:hAnsi="Times New Roman;sans-serif"/>
          <w:b/>
          <w:color w:val="000000"/>
          <w:sz w:val="20"/>
          <w:shd w:fill="FFFFFF" w:val="clear"/>
        </w:rPr>
        <w:t xml:space="preserve">For the quarterly period ended </w:t>
      </w:r>
      <w:r>
        <w:rPr>
          <w:rFonts w:ascii="Times New Roman;sans-serif" w:hAnsi="Times New Roman;sans-serif"/>
          <w:b/>
          <w:color w:val="000000"/>
          <w:sz w:val="20"/>
        </w:rPr>
        <w:t>March 31, 2024</w:t>
      </w:r>
      <w:r>
        <w:rPr>
          <w:color w:val="000000"/>
          <w:shd w:fill="FFFFFF" w:val="clear"/>
        </w:rPr>
        <w:t xml:space="preserve">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firstLine="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ACM Research, Inc.</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42307 Osgood Road, Suite I</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(Zip Code)</w:t>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Registrant’s telephone number, including area code:</w:t>
      </w:r>
      <w:r>
        <w:rPr>
          <w:color w:val="000000"/>
          <w:shd w:fill="FFFFFF" w:val="clear"/>
        </w:rPr>
        <w:t xml:space="preserve"> </w:t>
      </w:r>
      <w:r>
        <w:rPr>
          <w:rFonts w:ascii="Times New Roman;sans-serif" w:hAnsi="Times New Roman;sans-serif"/>
          <w:b/>
          <w:color w:val="000000"/>
          <w:sz w:val="20"/>
          <w:shd w:fill="FFFFFF" w:val="clear"/>
        </w:rPr>
        <w:t>(510) 445-3700</w:t>
      </w:r>
    </w:p>
    <w:p>
      <w:pPr>
        <w:pStyle w:val="TextBody"/>
        <w:bidi w:val="0"/>
        <w:spacing w:lineRule="auto" w:line="288" w:before="12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the number of shares outstanding of each of the registrant’s classes of common stock, as of the latest practicable date.</w:t>
      </w:r>
    </w:p>
    <w:tbl>
      <w:tblPr>
        <w:tblW w:w="8067"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211"/>
        <w:gridCol w:w="1211"/>
        <w:gridCol w:w="1718"/>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Outstanding</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56,986,777 shares outstanding as of May 3, 2024</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5,021,811 shares outstanding as of May 3, 2024</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38"/>
        <w:gridCol w:w="122"/>
        <w:gridCol w:w="122"/>
        <w:gridCol w:w="250"/>
        <w:gridCol w:w="250"/>
        <w:gridCol w:w="252"/>
        <w:gridCol w:w="2897"/>
        <w:gridCol w:w="2897"/>
        <w:gridCol w:w="2902"/>
        <w:gridCol w:w="109"/>
        <w:gridCol w:w="109"/>
        <w:gridCol w:w="157"/>
      </w:tblGrid>
      <w:tr>
        <w:trPr/>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3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3">
              <w:r>
                <w:rPr>
                  <w:rStyle w:val="InternetLink"/>
                  <w:rFonts w:ascii="Times New Roman;sans-serif" w:hAnsi="Times New Roman;sans-serif"/>
                  <w:b w:val="false"/>
                  <w:strike w:val="false"/>
                  <w:dstrike w:val="false"/>
                  <w:color w:val="000000"/>
                  <w:sz w:val="20"/>
                  <w:u w:val="none"/>
                  <w:effect w:val="none"/>
                </w:rPr>
                <w:t>PART I.</w:t>
              </w:r>
            </w:hyperlink>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3">
              <w:r>
                <w:rPr>
                  <w:rStyle w:val="InternetLink"/>
                  <w:rFonts w:ascii="Times New Roman;sans-serif" w:hAnsi="Times New Roman;sans-serif"/>
                  <w:b w:val="false"/>
                  <w:color w:val="0000FF"/>
                  <w:sz w:val="20"/>
                  <w:u w:val="single"/>
                </w:rPr>
                <w:t>FINANCIAL INFORMATION</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3">
              <w:r>
                <w:rPr>
                  <w:rStyle w:val="InternetLink"/>
                  <w:rFonts w:ascii="Times New Roman;sans-serif" w:hAnsi="Times New Roman;sans-serif"/>
                  <w:b w:val="false"/>
                  <w:strike w:val="false"/>
                  <w:dstrike w:val="false"/>
                  <w:color w:val="3051F2"/>
                  <w:sz w:val="20"/>
                  <w:u w:val="none"/>
                  <w:effect w:val="none"/>
                </w:rPr>
                <w:t>4</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6">
              <w:r>
                <w:rPr>
                  <w:rStyle w:val="InternetLink"/>
                  <w:rFonts w:ascii="Times New Roman;sans-serif" w:hAnsi="Times New Roman;sans-serif"/>
                  <w:b w:val="false"/>
                  <w:strike w:val="false"/>
                  <w:dstrike w:val="false"/>
                  <w:color w:val="000000"/>
                  <w:sz w:val="20"/>
                  <w:u w:val="none"/>
                  <w:effect w:val="none"/>
                </w:rPr>
                <w:t>Item 1.</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6">
              <w:r>
                <w:rPr>
                  <w:rStyle w:val="InternetLink"/>
                  <w:rFonts w:ascii="Times New Roman;sans-serif" w:hAnsi="Times New Roman;sans-serif"/>
                  <w:b w:val="false"/>
                  <w:color w:val="0000FF"/>
                  <w:sz w:val="20"/>
                  <w:u w:val="single"/>
                </w:rPr>
                <w:t>Financial Statements (unaudited)</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6">
              <w:r>
                <w:rPr>
                  <w:rStyle w:val="InternetLink"/>
                  <w:rFonts w:ascii="Times New Roman;sans-serif" w:hAnsi="Times New Roman;sans-serif"/>
                  <w:b w:val="false"/>
                  <w:strike w:val="false"/>
                  <w:dstrike w:val="false"/>
                  <w:color w:val="3051F2"/>
                  <w:sz w:val="20"/>
                  <w:u w:val="none"/>
                  <w:effect w:val="none"/>
                </w:rPr>
                <w:t>4</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9">
              <w:r>
                <w:rPr>
                  <w:rStyle w:val="InternetLink"/>
                  <w:rFonts w:ascii="Times New Roman;sans-serif" w:hAnsi="Times New Roman;sans-serif"/>
                  <w:b w:val="false"/>
                  <w:color w:val="0000FF"/>
                  <w:sz w:val="20"/>
                  <w:u w:val="single"/>
                </w:rPr>
                <w:t>Condensed Consolidated Balance Sheets as of March 31, 2024 and December 31, 2023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9">
              <w:r>
                <w:rPr>
                  <w:rStyle w:val="InternetLink"/>
                  <w:rFonts w:ascii="Times New Roman;sans-serif" w:hAnsi="Times New Roman;sans-serif"/>
                  <w:b w:val="false"/>
                  <w:strike w:val="false"/>
                  <w:dstrike w:val="false"/>
                  <w:color w:val="3051F2"/>
                  <w:sz w:val="20"/>
                  <w:u w:val="none"/>
                  <w:effect w:val="none"/>
                </w:rPr>
                <w:t>4</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22">
              <w:r>
                <w:rPr>
                  <w:rStyle w:val="InternetLink"/>
                  <w:rFonts w:ascii="Times New Roman;sans-serif" w:hAnsi="Times New Roman;sans-serif"/>
                  <w:b w:val="false"/>
                  <w:color w:val="0000FF"/>
                  <w:sz w:val="20"/>
                  <w:u w:val="single"/>
                </w:rPr>
                <w:t>Condensed Consolidated Statements of Comprehensive Income for the Three Months Ended March 31, 2024 and 2023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22">
              <w:r>
                <w:rPr>
                  <w:rStyle w:val="InternetLink"/>
                  <w:rFonts w:ascii="Times New Roman;sans-serif" w:hAnsi="Times New Roman;sans-serif"/>
                  <w:b w:val="false"/>
                  <w:strike w:val="false"/>
                  <w:dstrike w:val="false"/>
                  <w:color w:val="3051F2"/>
                  <w:sz w:val="20"/>
                  <w:u w:val="none"/>
                  <w:effect w:val="none"/>
                </w:rPr>
                <w:t>5</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25">
              <w:r>
                <w:rPr>
                  <w:rStyle w:val="InternetLink"/>
                  <w:rFonts w:ascii="Times New Roman;sans-serif" w:hAnsi="Times New Roman;sans-serif"/>
                  <w:b w:val="false"/>
                  <w:color w:val="000080"/>
                  <w:sz w:val="20"/>
                  <w:u w:val="single"/>
                </w:rPr>
                <w:t xml:space="preserve">Condensed Consolidated Statements of Changes in Equity for the Three </w:t>
              </w:r>
            </w:hyperlink>
            <w:hyperlink w:anchor="ia3be94adaa75417d9c776d94580909b3_25">
              <w:r>
                <w:rPr>
                  <w:rStyle w:val="InternetLink"/>
                  <w:rFonts w:ascii="Times New Roman;sans-serif" w:hAnsi="Times New Roman;sans-serif"/>
                  <w:b w:val="false"/>
                  <w:color w:val="000080"/>
                  <w:sz w:val="20"/>
                  <w:u w:val="single"/>
                </w:rPr>
                <w:t xml:space="preserve">Months Ended </w:t>
              </w:r>
            </w:hyperlink>
            <w:hyperlink w:anchor="ia3be94adaa75417d9c776d94580909b3_25">
              <w:r>
                <w:rPr>
                  <w:rStyle w:val="InternetLink"/>
                  <w:rFonts w:ascii="Times New Roman;sans-serif" w:hAnsi="Times New Roman;sans-serif"/>
                  <w:b w:val="false"/>
                  <w:color w:val="000080"/>
                  <w:sz w:val="20"/>
                  <w:u w:val="single"/>
                </w:rPr>
                <w:t>M</w:t>
              </w:r>
            </w:hyperlink>
            <w:hyperlink w:anchor="ia3be94adaa75417d9c776d94580909b3_25">
              <w:r>
                <w:rPr>
                  <w:rStyle w:val="InternetLink"/>
                  <w:rFonts w:ascii="Times New Roman;sans-serif" w:hAnsi="Times New Roman;sans-serif"/>
                  <w:b w:val="false"/>
                  <w:color w:val="000080"/>
                  <w:sz w:val="20"/>
                  <w:u w:val="single"/>
                </w:rPr>
                <w:t>arch 31, 2024 and 20</w:t>
              </w:r>
            </w:hyperlink>
            <w:hyperlink w:anchor="ia3be94adaa75417d9c776d94580909b3_25">
              <w:r>
                <w:rPr>
                  <w:rStyle w:val="InternetLink"/>
                  <w:rFonts w:ascii="Times New Roman;sans-serif" w:hAnsi="Times New Roman;sans-serif"/>
                  <w:b w:val="false"/>
                  <w:color w:val="000080"/>
                  <w:sz w:val="20"/>
                  <w:u w:val="single"/>
                </w:rPr>
                <w:t>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25">
              <w:r>
                <w:rPr>
                  <w:rStyle w:val="InternetLink"/>
                  <w:rFonts w:ascii="Times New Roman;sans-serif" w:hAnsi="Times New Roman;sans-serif"/>
                  <w:b w:val="false"/>
                  <w:strike w:val="false"/>
                  <w:dstrike w:val="false"/>
                  <w:color w:val="3051F2"/>
                  <w:sz w:val="20"/>
                  <w:u w:val="none"/>
                  <w:effect w:val="none"/>
                </w:rPr>
                <w:t>6</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28">
              <w:r>
                <w:rPr>
                  <w:rStyle w:val="InternetLink"/>
                  <w:rFonts w:ascii="Times New Roman;sans-serif" w:hAnsi="Times New Roman;sans-serif"/>
                  <w:b w:val="false"/>
                  <w:color w:val="000080"/>
                  <w:sz w:val="20"/>
                  <w:u w:val="single"/>
                </w:rPr>
                <w:t xml:space="preserve">Condensed Consolidated Statements of Cash Flows for the </w:t>
              </w:r>
            </w:hyperlink>
            <w:hyperlink w:anchor="ia3be94adaa75417d9c776d94580909b3_28">
              <w:r>
                <w:rPr>
                  <w:rStyle w:val="InternetLink"/>
                  <w:rFonts w:ascii="Times New Roman;sans-serif" w:hAnsi="Times New Roman;sans-serif"/>
                  <w:b w:val="false"/>
                  <w:color w:val="000080"/>
                  <w:sz w:val="20"/>
                  <w:u w:val="single"/>
                </w:rPr>
                <w:t xml:space="preserve">Three </w:t>
              </w:r>
            </w:hyperlink>
            <w:hyperlink w:anchor="ia3be94adaa75417d9c776d94580909b3_28">
              <w:r>
                <w:rPr>
                  <w:rStyle w:val="InternetLink"/>
                  <w:rFonts w:ascii="Times New Roman;sans-serif" w:hAnsi="Times New Roman;sans-serif"/>
                  <w:b w:val="false"/>
                  <w:color w:val="000080"/>
                  <w:sz w:val="20"/>
                  <w:u w:val="single"/>
                </w:rPr>
                <w:t xml:space="preserve">Months Ended </w:t>
              </w:r>
            </w:hyperlink>
            <w:hyperlink w:anchor="ia3be94adaa75417d9c776d94580909b3_28">
              <w:r>
                <w:rPr>
                  <w:rStyle w:val="InternetLink"/>
                  <w:rFonts w:ascii="Times New Roman;sans-serif" w:hAnsi="Times New Roman;sans-serif"/>
                  <w:b w:val="false"/>
                  <w:color w:val="000080"/>
                  <w:sz w:val="20"/>
                  <w:u w:val="single"/>
                </w:rPr>
                <w:t>M</w:t>
              </w:r>
            </w:hyperlink>
            <w:hyperlink w:anchor="ia3be94adaa75417d9c776d94580909b3_28">
              <w:r>
                <w:rPr>
                  <w:rStyle w:val="InternetLink"/>
                  <w:rFonts w:ascii="Times New Roman;sans-serif" w:hAnsi="Times New Roman;sans-serif"/>
                  <w:b w:val="false"/>
                  <w:color w:val="000080"/>
                  <w:sz w:val="20"/>
                  <w:u w:val="single"/>
                </w:rPr>
                <w:t>arch</w:t>
              </w:r>
            </w:hyperlink>
            <w:hyperlink w:anchor="ia3be94adaa75417d9c776d94580909b3_28">
              <w:r>
                <w:rPr>
                  <w:rStyle w:val="InternetLink"/>
                  <w:rFonts w:ascii="Times New Roman;sans-serif" w:hAnsi="Times New Roman;sans-serif"/>
                  <w:b w:val="false"/>
                  <w:color w:val="000080"/>
                  <w:sz w:val="20"/>
                  <w:u w:val="single"/>
                </w:rPr>
                <w:t xml:space="preserve"> 31, 2024 and 2023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28">
              <w:r>
                <w:rPr>
                  <w:rStyle w:val="InternetLink"/>
                  <w:rFonts w:ascii="Times New Roman;sans-serif" w:hAnsi="Times New Roman;sans-serif"/>
                  <w:b w:val="false"/>
                  <w:strike w:val="false"/>
                  <w:dstrike w:val="false"/>
                  <w:color w:val="3051F2"/>
                  <w:sz w:val="20"/>
                  <w:u w:val="none"/>
                  <w:effect w:val="none"/>
                </w:rPr>
                <w:t>7</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31">
              <w:r>
                <w:rPr>
                  <w:rStyle w:val="InternetLink"/>
                  <w:rFonts w:ascii="Times New Roman;sans-serif" w:hAnsi="Times New Roman;sans-serif"/>
                  <w:b w:val="false"/>
                  <w:color w:val="0000FF"/>
                  <w:sz w:val="20"/>
                  <w:u w:val="single"/>
                </w:rPr>
                <w:t>Notes to the Condensed Consolidated Financial Statements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31">
              <w:r>
                <w:rPr>
                  <w:rStyle w:val="InternetLink"/>
                  <w:rFonts w:ascii="Times New Roman;sans-serif" w:hAnsi="Times New Roman;sans-serif"/>
                  <w:b w:val="false"/>
                  <w:strike w:val="false"/>
                  <w:dstrike w:val="false"/>
                  <w:color w:val="3051F2"/>
                  <w:sz w:val="20"/>
                  <w:u w:val="none"/>
                  <w:effect w:val="none"/>
                </w:rPr>
                <w:t>8</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06">
              <w:r>
                <w:rPr>
                  <w:rStyle w:val="InternetLink"/>
                  <w:rFonts w:ascii="Times New Roman;sans-serif" w:hAnsi="Times New Roman;sans-serif"/>
                  <w:b w:val="false"/>
                  <w:strike w:val="false"/>
                  <w:dstrike w:val="false"/>
                  <w:color w:val="000000"/>
                  <w:sz w:val="20"/>
                  <w:u w:val="none"/>
                  <w:effect w:val="none"/>
                </w:rPr>
                <w:t>Item 2.</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06">
              <w:r>
                <w:rPr>
                  <w:rStyle w:val="InternetLink"/>
                  <w:rFonts w:ascii="Times New Roman;sans-serif" w:hAnsi="Times New Roman;sans-serif"/>
                  <w:b w:val="false"/>
                  <w:strike w:val="false"/>
                  <w:dstrike w:val="false"/>
                  <w:color w:val="3051F2"/>
                  <w:sz w:val="20"/>
                  <w:u w:val="none"/>
                  <w:effect w:val="none"/>
                </w:rPr>
                <w:t>35</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42">
              <w:r>
                <w:rPr>
                  <w:rStyle w:val="InternetLink"/>
                  <w:rFonts w:ascii="Times New Roman;sans-serif" w:hAnsi="Times New Roman;sans-serif"/>
                  <w:b w:val="false"/>
                  <w:strike w:val="false"/>
                  <w:dstrike w:val="false"/>
                  <w:color w:val="000000"/>
                  <w:sz w:val="20"/>
                  <w:u w:val="none"/>
                  <w:effect w:val="none"/>
                </w:rPr>
                <w:t>Item 3.</w:t>
              </w:r>
            </w:hyperlink>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42">
              <w:r>
                <w:rPr>
                  <w:rStyle w:val="InternetLink"/>
                  <w:rFonts w:ascii="Times New Roman;sans-serif" w:hAnsi="Times New Roman;sans-serif"/>
                  <w:b w:val="false"/>
                  <w:color w:val="0000FF"/>
                  <w:sz w:val="20"/>
                  <w:u w:val="single"/>
                </w:rPr>
                <w:t>Quantitative and Qualitative Disclosures about Market Risks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42">
              <w:r>
                <w:rPr>
                  <w:rStyle w:val="InternetLink"/>
                  <w:rFonts w:ascii="Times New Roman;sans-serif" w:hAnsi="Times New Roman;sans-serif"/>
                  <w:b w:val="false"/>
                  <w:strike w:val="false"/>
                  <w:dstrike w:val="false"/>
                  <w:color w:val="3051F2"/>
                  <w:sz w:val="20"/>
                  <w:u w:val="none"/>
                  <w:effect w:val="none"/>
                </w:rPr>
                <w:t>53</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45">
              <w:r>
                <w:rPr>
                  <w:rStyle w:val="InternetLink"/>
                  <w:rFonts w:ascii="Times New Roman;sans-serif" w:hAnsi="Times New Roman;sans-serif"/>
                  <w:b w:val="false"/>
                  <w:strike w:val="false"/>
                  <w:dstrike w:val="false"/>
                  <w:color w:val="000000"/>
                  <w:sz w:val="20"/>
                  <w:u w:val="none"/>
                  <w:effect w:val="none"/>
                </w:rPr>
                <w:t>Item 4.</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45">
              <w:r>
                <w:rPr>
                  <w:rStyle w:val="InternetLink"/>
                  <w:rFonts w:ascii="Times New Roman;sans-serif" w:hAnsi="Times New Roman;sans-serif"/>
                  <w:b w:val="false"/>
                  <w:color w:val="0000FF"/>
                  <w:sz w:val="20"/>
                  <w:u w:val="single"/>
                </w:rPr>
                <w:t>Controls and Procedures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45">
              <w:r>
                <w:rPr>
                  <w:rStyle w:val="InternetLink"/>
                  <w:rFonts w:ascii="Times New Roman;sans-serif" w:hAnsi="Times New Roman;sans-serif"/>
                  <w:b w:val="false"/>
                  <w:strike w:val="false"/>
                  <w:dstrike w:val="false"/>
                  <w:color w:val="3051F2"/>
                  <w:sz w:val="20"/>
                  <w:u w:val="none"/>
                  <w:effect w:val="none"/>
                </w:rPr>
                <w:t>53</w:t>
              </w:r>
            </w:hyperlink>
          </w:p>
        </w:tc>
      </w:tr>
      <w:tr>
        <w:trPr/>
        <w:tc>
          <w:tcPr>
            <w:tcW w:w="113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48">
              <w:r>
                <w:rPr>
                  <w:rStyle w:val="InternetLink"/>
                  <w:rFonts w:ascii="Times New Roman;sans-serif" w:hAnsi="Times New Roman;sans-serif"/>
                  <w:b w:val="false"/>
                  <w:strike w:val="false"/>
                  <w:dstrike w:val="false"/>
                  <w:color w:val="000000"/>
                  <w:sz w:val="20"/>
                  <w:u w:val="none"/>
                  <w:effect w:val="none"/>
                </w:rPr>
                <w:t>PART II.</w:t>
              </w:r>
            </w:hyperlink>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48">
              <w:r>
                <w:rPr>
                  <w:rStyle w:val="InternetLink"/>
                  <w:rFonts w:ascii="Times New Roman;sans-serif" w:hAnsi="Times New Roman;sans-serif"/>
                  <w:b w:val="false"/>
                  <w:color w:val="0000FF"/>
                  <w:sz w:val="20"/>
                  <w:u w:val="single"/>
                </w:rPr>
                <w:t>OTHER INFORMATION</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48">
              <w:r>
                <w:rPr>
                  <w:rStyle w:val="InternetLink"/>
                  <w:rFonts w:ascii="Times New Roman;sans-serif" w:hAnsi="Times New Roman;sans-serif"/>
                  <w:b w:val="false"/>
                  <w:strike w:val="false"/>
                  <w:dstrike w:val="false"/>
                  <w:color w:val="3051F2"/>
                  <w:sz w:val="20"/>
                  <w:u w:val="none"/>
                  <w:effect w:val="none"/>
                </w:rPr>
                <w:t>54</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51">
              <w:r>
                <w:rPr>
                  <w:rStyle w:val="InternetLink"/>
                  <w:rFonts w:ascii="Times New Roman;sans-serif" w:hAnsi="Times New Roman;sans-serif"/>
                  <w:b w:val="false"/>
                  <w:strike w:val="false"/>
                  <w:dstrike w:val="false"/>
                  <w:color w:val="000000"/>
                  <w:sz w:val="20"/>
                  <w:u w:val="none"/>
                  <w:effect w:val="none"/>
                </w:rPr>
                <w:t>Item 1.</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51">
              <w:r>
                <w:rPr>
                  <w:rStyle w:val="InternetLink"/>
                  <w:rFonts w:ascii="Times New Roman;sans-serif" w:hAnsi="Times New Roman;sans-serif"/>
                  <w:b w:val="false"/>
                  <w:color w:val="0000FF"/>
                  <w:sz w:val="20"/>
                  <w:u w:val="single"/>
                </w:rPr>
                <w:t>Legal Proceedings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51">
              <w:r>
                <w:rPr>
                  <w:rStyle w:val="InternetLink"/>
                  <w:rFonts w:ascii="Times New Roman;sans-serif" w:hAnsi="Times New Roman;sans-serif"/>
                  <w:b w:val="false"/>
                  <w:strike w:val="false"/>
                  <w:dstrike w:val="false"/>
                  <w:color w:val="3051F2"/>
                  <w:sz w:val="20"/>
                  <w:u w:val="none"/>
                  <w:effect w:val="none"/>
                </w:rPr>
                <w:t>54</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54">
              <w:r>
                <w:rPr>
                  <w:rStyle w:val="InternetLink"/>
                  <w:rFonts w:ascii="Times New Roman;sans-serif" w:hAnsi="Times New Roman;sans-serif"/>
                  <w:b w:val="false"/>
                  <w:strike w:val="false"/>
                  <w:dstrike w:val="false"/>
                  <w:color w:val="000000"/>
                  <w:sz w:val="20"/>
                  <w:u w:val="none"/>
                  <w:effect w:val="none"/>
                </w:rPr>
                <w:t>Item 1A.</w:t>
              </w:r>
            </w:hyperlink>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54">
              <w:r>
                <w:rPr>
                  <w:rStyle w:val="InternetLink"/>
                  <w:rFonts w:ascii="Times New Roman;sans-serif" w:hAnsi="Times New Roman;sans-serif"/>
                  <w:b w:val="false"/>
                  <w:color w:val="0000FF"/>
                  <w:sz w:val="20"/>
                  <w:u w:val="single"/>
                </w:rPr>
                <w:t>Risk Factors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54">
              <w:r>
                <w:rPr>
                  <w:rStyle w:val="InternetLink"/>
                  <w:rFonts w:ascii="Times New Roman;sans-serif" w:hAnsi="Times New Roman;sans-serif"/>
                  <w:b w:val="false"/>
                  <w:strike w:val="false"/>
                  <w:dstrike w:val="false"/>
                  <w:color w:val="3051F2"/>
                  <w:sz w:val="20"/>
                  <w:u w:val="none"/>
                  <w:effect w:val="none"/>
                </w:rPr>
                <w:t>55</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57">
              <w:r>
                <w:rPr>
                  <w:rStyle w:val="InternetLink"/>
                  <w:rFonts w:ascii="Times New Roman;sans-serif" w:hAnsi="Times New Roman;sans-serif"/>
                  <w:b w:val="false"/>
                  <w:strike w:val="false"/>
                  <w:dstrike w:val="false"/>
                  <w:color w:val="000000"/>
                  <w:sz w:val="20"/>
                  <w:u w:val="none"/>
                  <w:effect w:val="none"/>
                </w:rPr>
                <w:t>Item 2.</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57">
              <w:r>
                <w:rPr>
                  <w:rStyle w:val="InternetLink"/>
                  <w:rFonts w:ascii="Times New Roman;sans-serif" w:hAnsi="Times New Roman;sans-serif"/>
                  <w:b w:val="false"/>
                  <w:color w:val="0000FF"/>
                  <w:sz w:val="20"/>
                  <w:u w:val="single"/>
                </w:rPr>
                <w:t>Unregistered Sales of Equity Securities and Use of Proceeds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57">
              <w:r>
                <w:rPr>
                  <w:rStyle w:val="InternetLink"/>
                  <w:rFonts w:ascii="Times New Roman;sans-serif" w:hAnsi="Times New Roman;sans-serif"/>
                  <w:b w:val="false"/>
                  <w:strike w:val="false"/>
                  <w:dstrike w:val="false"/>
                  <w:color w:val="3051F2"/>
                  <w:sz w:val="20"/>
                  <w:u w:val="none"/>
                  <w:effect w:val="none"/>
                </w:rPr>
                <w:t>55</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60">
              <w:r>
                <w:rPr>
                  <w:rStyle w:val="InternetLink"/>
                  <w:rFonts w:ascii="Times New Roman;sans-serif" w:hAnsi="Times New Roman;sans-serif"/>
                  <w:b w:val="false"/>
                  <w:color w:val="0000FF"/>
                  <w:sz w:val="20"/>
                  <w:u w:val="single"/>
                </w:rPr>
                <w:t>Defaults Upon Senior Securities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60">
              <w:r>
                <w:rPr>
                  <w:rStyle w:val="InternetLink"/>
                  <w:rFonts w:ascii="Times New Roman;sans-serif" w:hAnsi="Times New Roman;sans-serif"/>
                  <w:b w:val="false"/>
                  <w:strike w:val="false"/>
                  <w:dstrike w:val="false"/>
                  <w:color w:val="0000FF"/>
                  <w:sz w:val="20"/>
                  <w:u w:val="none"/>
                  <w:effect w:val="none"/>
                </w:rPr>
                <w:t>57</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63">
              <w:r>
                <w:rPr>
                  <w:rStyle w:val="InternetLink"/>
                  <w:rFonts w:ascii="Times New Roman;sans-serif" w:hAnsi="Times New Roman;sans-serif"/>
                  <w:b w:val="false"/>
                  <w:color w:val="000080"/>
                  <w:sz w:val="20"/>
                  <w:u w:val="single"/>
                </w:rPr>
                <w:t>Mine Safet</w:t>
              </w:r>
            </w:hyperlink>
            <w:hyperlink w:anchor="ia3be94adaa75417d9c776d94580909b3_163">
              <w:r>
                <w:rPr>
                  <w:rStyle w:val="InternetLink"/>
                  <w:rFonts w:ascii="Times New Roman;sans-serif" w:hAnsi="Times New Roman;sans-serif"/>
                  <w:b w:val="false"/>
                  <w:color w:val="000080"/>
                  <w:sz w:val="20"/>
                  <w:u w:val="single"/>
                </w:rPr>
                <w:t>y Disclosures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63">
              <w:r>
                <w:rPr>
                  <w:rStyle w:val="InternetLink"/>
                  <w:rFonts w:ascii="Times New Roman;sans-serif" w:hAnsi="Times New Roman;sans-serif"/>
                  <w:b w:val="false"/>
                  <w:strike w:val="false"/>
                  <w:dstrike w:val="false"/>
                  <w:color w:val="0000FF"/>
                  <w:sz w:val="20"/>
                  <w:u w:val="none"/>
                  <w:effect w:val="none"/>
                </w:rPr>
                <w:t>57</w:t>
              </w:r>
            </w:hyperlink>
          </w:p>
        </w:tc>
      </w:tr>
      <w:tr>
        <w:trPr/>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66">
              <w:r>
                <w:rPr>
                  <w:rStyle w:val="InternetLink"/>
                  <w:rFonts w:ascii="Times New Roman;sans-serif" w:hAnsi="Times New Roman;sans-serif"/>
                  <w:b w:val="false"/>
                  <w:color w:val="000080"/>
                  <w:sz w:val="20"/>
                  <w:u w:val="single"/>
                </w:rPr>
                <w:t xml:space="preserve">Other </w:t>
              </w:r>
            </w:hyperlink>
            <w:hyperlink w:anchor="ia3be94adaa75417d9c776d94580909b3_166">
              <w:r>
                <w:rPr>
                  <w:rStyle w:val="InternetLink"/>
                  <w:rFonts w:ascii="Times New Roman;sans-serif" w:hAnsi="Times New Roman;sans-serif"/>
                  <w:b w:val="false"/>
                  <w:color w:val="000080"/>
                  <w:sz w:val="20"/>
                  <w:u w:val="single"/>
                </w:rPr>
                <w:t>I</w:t>
              </w:r>
            </w:hyperlink>
            <w:hyperlink w:anchor="ia3be94adaa75417d9c776d94580909b3_166">
              <w:r>
                <w:rPr>
                  <w:rStyle w:val="InternetLink"/>
                  <w:rFonts w:ascii="Times New Roman;sans-serif" w:hAnsi="Times New Roman;sans-serif"/>
                  <w:b w:val="false"/>
                  <w:color w:val="000080"/>
                  <w:sz w:val="20"/>
                  <w:u w:val="single"/>
                </w:rPr>
                <w:t>nformation</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57">
              <w:r>
                <w:rPr>
                  <w:rStyle w:val="InternetLink"/>
                  <w:rFonts w:ascii="Times New Roman;sans-serif" w:hAnsi="Times New Roman;sans-serif"/>
                  <w:b w:val="false"/>
                  <w:strike w:val="false"/>
                  <w:dstrike w:val="false"/>
                  <w:color w:val="3051F2"/>
                  <w:sz w:val="20"/>
                  <w:u w:val="none"/>
                  <w:effect w:val="none"/>
                </w:rPr>
                <w:t>55</w:t>
              </w:r>
            </w:hyperlink>
          </w:p>
        </w:tc>
      </w:tr>
      <w:tr>
        <w:trPr/>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72">
              <w:r>
                <w:rPr>
                  <w:rStyle w:val="InternetLink"/>
                  <w:rFonts w:ascii="Times New Roman;sans-serif" w:hAnsi="Times New Roman;sans-serif"/>
                  <w:b w:val="false"/>
                  <w:strike w:val="false"/>
                  <w:dstrike w:val="false"/>
                  <w:color w:val="000000"/>
                  <w:sz w:val="20"/>
                  <w:u w:val="none"/>
                  <w:effect w:val="none"/>
                </w:rPr>
                <w:t>Item 6.</w:t>
              </w:r>
            </w:hyperlink>
          </w:p>
        </w:tc>
        <w:tc>
          <w:tcPr>
            <w:tcW w:w="8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a3be94adaa75417d9c776d94580909b3_172">
              <w:r>
                <w:rPr>
                  <w:rStyle w:val="InternetLink"/>
                  <w:rFonts w:ascii="Times New Roman;sans-serif" w:hAnsi="Times New Roman;sans-serif"/>
                  <w:b w:val="false"/>
                  <w:color w:val="0000FF"/>
                  <w:sz w:val="20"/>
                  <w:u w:val="single"/>
                </w:rPr>
                <w:t>Exhibits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72">
              <w:r>
                <w:rPr>
                  <w:rStyle w:val="InternetLink"/>
                  <w:rFonts w:ascii="Times New Roman;sans-serif" w:hAnsi="Times New Roman;sans-serif"/>
                  <w:b w:val="false"/>
                  <w:strike w:val="false"/>
                  <w:dstrike w:val="false"/>
                  <w:color w:val="3051F2"/>
                  <w:sz w:val="20"/>
                  <w:u w:val="none"/>
                  <w:effect w:val="none"/>
                </w:rPr>
                <w:t>57</w:t>
              </w:r>
            </w:hyperlink>
          </w:p>
        </w:tc>
      </w:tr>
      <w:tr>
        <w:trPr/>
        <w:tc>
          <w:tcPr>
            <w:tcW w:w="9830"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3be94adaa75417d9c776d94580909b3_175">
              <w:r>
                <w:rPr>
                  <w:rStyle w:val="InternetLink"/>
                  <w:rFonts w:ascii="Times New Roman;sans-serif" w:hAnsi="Times New Roman;sans-serif"/>
                  <w:b w:val="false"/>
                  <w:color w:val="0000FF"/>
                  <w:sz w:val="20"/>
                  <w:u w:val="single"/>
                </w:rPr>
                <w:t>Signatures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3be94adaa75417d9c776d94580909b3_175">
              <w:r>
                <w:rPr>
                  <w:rStyle w:val="InternetLink"/>
                  <w:rFonts w:ascii="Times New Roman;sans-serif" w:hAnsi="Times New Roman;sans-serif"/>
                  <w:b w:val="false"/>
                  <w:strike w:val="false"/>
                  <w:dstrike w:val="false"/>
                  <w:color w:val="3051F2"/>
                  <w:sz w:val="20"/>
                  <w:u w:val="none"/>
                  <w:effect w:val="none"/>
                </w:rPr>
                <w:t>58</w:t>
              </w:r>
            </w:hyperlink>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w:t>
      </w:r>
      <w:r>
        <w:rPr>
          <w:rFonts w:ascii="Times New Roman;sans-serif" w:hAnsi="Times New Roman;sans-serif"/>
          <w:b w:val="false"/>
          <w:color w:val="000000"/>
          <w:sz w:val="20"/>
        </w:rPr>
        <w:t>a, or mainland Chi</w:t>
      </w:r>
      <w:r>
        <w:rPr>
          <w:rFonts w:ascii="Times New Roman;sans-serif" w:hAnsi="Times New Roman;sans-serif"/>
          <w:b w:val="false"/>
          <w:color w:val="000000"/>
          <w:sz w:val="20"/>
          <w:shd w:fill="FFFFFF" w:val="clear"/>
        </w:rPr>
        <w:t>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ans-serif" w:hAnsi="Times New Roman;sans-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ans-serif" w:hAnsi="Times New Roman;sans-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ans-serif" w:hAnsi="Times New Roman;sans-serif"/>
          <w:b w:val="false"/>
          <w:color w:val="000000"/>
          <w:sz w:val="20"/>
        </w:rPr>
        <w:t>ed December 31, 2023</w:t>
      </w:r>
      <w:r>
        <w:rPr>
          <w:rFonts w:ascii="Times New Roman;sans-serif" w:hAnsi="Times New Roman;sans-serif"/>
          <w:b w:val="false"/>
          <w:color w:val="000000"/>
          <w:sz w:val="20"/>
          <w:shd w:fill="FFFFFF" w:val="clear"/>
        </w:rPr>
        <w:t>, and the Risk Factors included t</w:t>
      </w:r>
      <w:r>
        <w:rPr>
          <w:rFonts w:ascii="Times New Roman;sans-serif" w:hAnsi="Times New Roman;sans-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 AND STATISTICAL DATA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data)</w:t>
      </w:r>
    </w:p>
    <w:p>
      <w:pPr>
        <w:pStyle w:val="TextBody"/>
        <w:bidi w:val="0"/>
        <w:spacing w:before="0" w:after="0"/>
        <w:jc w:val="center"/>
        <w:rPr/>
      </w:pPr>
      <w:r>
        <w:rPr/>
      </w:r>
    </w:p>
    <w:tbl>
      <w:tblPr>
        <w:tblW w:w="7433" w:type="dxa"/>
        <w:jc w:val="left"/>
        <w:tblInd w:w="0" w:type="dxa"/>
        <w:tblLayout w:type="fixed"/>
        <w:tblCellMar>
          <w:top w:w="28" w:type="dxa"/>
          <w:left w:w="28" w:type="dxa"/>
          <w:bottom w:w="28" w:type="dxa"/>
          <w:right w:w="28" w:type="dxa"/>
        </w:tblCellMar>
      </w:tblPr>
      <w:tblGrid>
        <w:gridCol w:w="1611"/>
        <w:gridCol w:w="1421"/>
        <w:gridCol w:w="1437"/>
        <w:gridCol w:w="211"/>
        <w:gridCol w:w="976"/>
        <w:gridCol w:w="109"/>
        <w:gridCol w:w="109"/>
        <w:gridCol w:w="109"/>
        <w:gridCol w:w="109"/>
        <w:gridCol w:w="211"/>
        <w:gridCol w:w="97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(note 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time deposits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(note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(note 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related party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 (note 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time deposits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(note 19)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(note 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(note 9)</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 (note 12)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accounts payable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 (note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(note 19)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FIN-48 payable (note 19)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 and accrued expenses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(note 12)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 13)</w:t>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21)</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(note 17)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(note 17)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 reserve (note 22)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ACM Research, Inc.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3737"/>
        <w:gridCol w:w="1900"/>
        <w:gridCol w:w="1904"/>
        <w:gridCol w:w="219"/>
        <w:gridCol w:w="859"/>
        <w:gridCol w:w="113"/>
        <w:gridCol w:w="113"/>
        <w:gridCol w:w="113"/>
        <w:gridCol w:w="113"/>
        <w:gridCol w:w="219"/>
        <w:gridCol w:w="750"/>
        <w:gridCol w:w="165"/>
      </w:tblGrid>
      <w:tr>
        <w:trPr/>
        <w:tc>
          <w:tcPr>
            <w:tcW w:w="373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 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including cost of revenue from related parties of $15.1 million and $18.4 million for the three months ended March 31, 2024 and 2023, respectively (note 16)</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Gross profit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Total operating expenses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 (note 15)</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 (note 15)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 (note 14)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(note 19)</w:t>
            </w:r>
          </w:p>
        </w:tc>
        <w:tc>
          <w:tcPr>
            <w:tcW w:w="1078"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1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ACM Research,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ACM Research, Inc. per share of common stock (note 2):</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used in computing per share amounts (note 2):</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61,367,184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59,736,764</w:t>
            </w:r>
          </w:p>
        </w:tc>
      </w:tr>
      <w:tr>
        <w:trPr/>
        <w:tc>
          <w:tcPr>
            <w:tcW w:w="7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66,242,321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65,058,777</w:t>
            </w:r>
          </w:p>
        </w:tc>
      </w:tr>
    </w:tbl>
    <w:p>
      <w:pPr>
        <w:pStyle w:val="TextBody"/>
        <w:bidi w:val="0"/>
        <w:spacing w:lineRule="auto" w:line="288" w:before="240" w:after="283"/>
        <w:jc w:val="center"/>
        <w:rPr/>
      </w:pPr>
      <w:r>
        <w:rPr>
          <w:rFonts w:ascii="Times New Roman;sans-serif" w:hAnsi="Times New Roman;sans-serif"/>
          <w:b w:val="false"/>
          <w:i/>
          <w:color w:val="000000"/>
          <w:sz w:val="20"/>
        </w:rPr>
        <w:t>The accompanying notes are an integral</w:t>
      </w:r>
      <w:r>
        <w:rPr>
          <w:color w:val="000000"/>
          <w:shd w:fill="FFFFFF" w:val="clear"/>
        </w:rPr>
        <w:t xml:space="preserve"> </w:t>
      </w:r>
      <w:r>
        <w:rPr>
          <w:rFonts w:ascii="Times New Roman;sans-serif" w:hAnsi="Times New Roman;sans-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Three Months Ended March 31, 2024 and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per share data)</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3999"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54,655,286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604,089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94,426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(40,546)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137,315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812,171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change in accounting principle under ASC 326, net of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54,818,355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606,398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99,802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16,881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(32,768)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140,778</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831,097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206"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262"/>
        <w:gridCol w:w="342"/>
        <w:gridCol w:w="147"/>
        <w:gridCol w:w="274"/>
        <w:gridCol w:w="274"/>
        <w:gridCol w:w="278"/>
        <w:gridCol w:w="262"/>
        <w:gridCol w:w="342"/>
        <w:gridCol w:w="147"/>
        <w:gridCol w:w="196"/>
        <w:gridCol w:w="751"/>
        <w:gridCol w:w="109"/>
        <w:gridCol w:w="196"/>
        <w:gridCol w:w="751"/>
        <w:gridCol w:w="109"/>
        <w:gridCol w:w="196"/>
        <w:gridCol w:w="661"/>
        <w:gridCol w:w="109"/>
        <w:gridCol w:w="264"/>
        <w:gridCol w:w="893"/>
        <w:gridCol w:w="149"/>
        <w:gridCol w:w="256"/>
        <w:gridCol w:w="982"/>
        <w:gridCol w:w="143"/>
        <w:gridCol w:w="196"/>
        <w:gridCol w:w="7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A</w:t>
            </w:r>
          </w:p>
        </w:tc>
        <w:tc>
          <w:tcPr>
            <w:tcW w:w="1577"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Common</w:t>
              <w:br/>
              <w:t>Stock Class B</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w:t>
              <w:br/>
              <w:t>in Capital</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Statutory Surplus</w:t>
              <w:br/>
              <w:t xml:space="preserve">Reserve </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Loss </w:t>
            </w:r>
          </w:p>
        </w:tc>
        <w:tc>
          <w:tcPr>
            <w:tcW w:w="1381"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18"/>
              </w:rPr>
              <w:t>Non-controlling</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Interests </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Total</w:t>
              <w:br/>
              <w:t xml:space="preserve">Equity </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56,036,172</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629,845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156,827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(49,349)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158,772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926,162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currency translation adjustment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950,605</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56,986,777</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5,021,811</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646,800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174,260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(54,925)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164,591</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960,793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w:t>
      </w:r>
      <w:r>
        <w:rPr>
          <w:rFonts w:ascii="Times New Roman;sans-serif" w:hAnsi="Times New Roman;sans-serif"/>
          <w:b/>
          <w:color w:val="000000"/>
          <w:sz w:val="20"/>
        </w:rPr>
        <w:t>ated Statements of Cash Flow</w:t>
      </w:r>
      <w:r>
        <w:rPr>
          <w:rFonts w:ascii="Times New Roman;sans-serif" w:hAnsi="Times New Roman;sans-serif"/>
          <w:b/>
          <w:color w:val="000000"/>
          <w:sz w:val="20"/>
          <w:shd w:fill="FFFFFF" w:val="clear"/>
        </w:rPr>
        <w: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522"/>
        <w:gridCol w:w="2108"/>
        <w:gridCol w:w="2122"/>
        <w:gridCol w:w="219"/>
        <w:gridCol w:w="874"/>
        <w:gridCol w:w="112"/>
        <w:gridCol w:w="112"/>
        <w:gridCol w:w="112"/>
        <w:gridCol w:w="112"/>
        <w:gridCol w:w="219"/>
        <w:gridCol w:w="874"/>
        <w:gridCol w:w="112"/>
        <w:gridCol w:w="109"/>
        <w:gridCol w:w="109"/>
        <w:gridCol w:w="109"/>
        <w:gridCol w:w="109"/>
        <w:gridCol w:w="109"/>
        <w:gridCol w:w="162"/>
      </w:tblGrid>
      <w:tr>
        <w:trPr/>
        <w:tc>
          <w:tcPr>
            <w:tcW w:w="2522"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from operations to net cash used in operating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Non-cash operating lease cost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Realized gain on short-term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Loss from equity method investments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Inventory provision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income taxes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changes in operating assets and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receivables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Inventories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to related party (note 16)</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Prepaid expenses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Related party accounts payable (note 16)</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taxes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FIN-48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payables and accrued expenses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Other long-term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color w:val="000000"/>
                <w:sz w:val="20"/>
              </w:rPr>
              <w:t>Net cash used in operating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 (note 15)</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time deposits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time deposits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 (note 15)</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long-term investments (note 14)</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unconsolidated affiliates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investing activities</w:t>
            </w:r>
          </w:p>
        </w:tc>
        <w:tc>
          <w:tcPr>
            <w:tcW w:w="10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12,291 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49,129 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borrowings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28,940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12,396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212,113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260,847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paid, net of capitalized interest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Cash paid for income taxes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in consolidated statements of cash flows: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Restricted cash</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Cash, cash equivalents and restricted cash</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 xml:space="preserve">Non-cash financing activities: </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Cashless exercise of stock options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activities: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short-term investments included in other receivables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inventory to property, plant and equipment</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prepayment for property to property, plant, and equipment</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2006, the Company established its operational center in Shanghai in the People’s Republic of China (“mainland China”), where it operates through ACM’s subsidiary, ACM Research (Shanghai), Inc. (“ACM Shanghai”). ACM Shanghai was formed to help establish and build relationships with integrated circuit manufacturers in mainland China, and the Company initially financed its Shanghai operations in part through sales of non-controlling equity interests in ACM Shanghai.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2018, the Company introduced its Ultra-C Tahoe wafer cleaning tool, which can deliver high cleaning performance with significantly less sulfuric acid than typically consumed by conventional high-temperature single-wafer cleaning tools. In 2020, the Company introduced a range of semi-critical cleaning systems, extending its products to support additional less demanding but still important production steps to semiconductor manufacturers.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its electro-chemical plating (“ECP”) technology, the Company introduced in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In 2022, the Company added two major new product categories with the introduction of the Ultra Pmax™ PECVD and Ultra Track tools. The Company also offers a range of custom-made equipment, including cleaning, coaters and developers, to back-end wafer assembly and packaging factories, principally in mainland China.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2016, ACM re-domesticated from California to Delaware pursuant to a merger in which ACM Research, Inc., a California corporation, was merged into a newly formed, wholly-owned Delaware subsidiary, also named ACM Research, Inc.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 However, in May 2023, ACM's ownership declined to 82.1% due to the exercise of 2,150,309 stock options related to ACM Shanghai shares.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pPr>
      <w:r>
        <w:rPr>
          <w:rFonts w:ascii="Times New Roman;sans-serif" w:hAnsi="Times New Roman;sans-serif"/>
          <w:b w:val="false"/>
          <w:color w:val="000000"/>
          <w:sz w:val="20"/>
        </w:rPr>
        <w:t>The Company has direct or i</w:t>
      </w:r>
      <w:r>
        <w:rPr>
          <w:rFonts w:ascii="Times New Roman;sans-serif" w:hAnsi="Times New Roman;sans-serif"/>
          <w:b w:val="false"/>
          <w:color w:val="000000"/>
          <w:sz w:val="20"/>
          <w:shd w:fill="FFFFFF" w:val="clear"/>
        </w:rPr>
        <w:t>ndirect interests in the follow</w:t>
      </w:r>
      <w:r>
        <w:rPr>
          <w:rFonts w:ascii="Times New Roman;sans-serif" w:hAnsi="Times New Roman;sans-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210"/>
        <w:gridCol w:w="881"/>
        <w:gridCol w:w="886"/>
        <w:gridCol w:w="652"/>
        <w:gridCol w:w="652"/>
        <w:gridCol w:w="653"/>
        <w:gridCol w:w="1146"/>
        <w:gridCol w:w="915"/>
        <w:gridCol w:w="918"/>
        <w:gridCol w:w="309"/>
        <w:gridCol w:w="307"/>
        <w:gridCol w:w="437"/>
        <w:gridCol w:w="308"/>
        <w:gridCol w:w="308"/>
        <w:gridCol w:w="623"/>
      </w:tblGrid>
      <w:tr>
        <w:trPr/>
        <w:tc>
          <w:tcPr>
            <w:tcW w:w="12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Effective interest held as at</w:t>
            </w:r>
          </w:p>
        </w:tc>
      </w:tr>
      <w:tr>
        <w:trPr/>
        <w:tc>
          <w:tcPr>
            <w:tcW w:w="2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subsidiaries</w:t>
            </w:r>
          </w:p>
        </w:tc>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and date of incorporation</w:t>
            </w:r>
          </w:p>
        </w:tc>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Principal Activities </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(Shanghai), Inc. ("ACM Shanghai")</w:t>
            </w:r>
          </w:p>
        </w:tc>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May 2005</w:t>
            </w:r>
          </w:p>
        </w:tc>
        <w:tc>
          <w:tcPr>
            <w:tcW w:w="2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Principal operating subsidiary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(Wuxi), Inc. ("ACM Wuxi")</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July 2011</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CleanChip Technologies Limited ("CleanChip")</w:t>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June 2017</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Korea CO., LTD.</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December 2017</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ACM Research ( Lingang), Inc. ("ACM Lingang") (1) </w:t>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March 2019</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 Inc. ("ACM California")</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April 2019</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(Cayman), Inc.</w:t>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April 2019</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(Singapore) PTE. Ltd. ("ACM Singapore")</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August 2021</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(Beijing), Inc. ("ACM Beijing")</w:t>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February 2022</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marketing, 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Hanguk ACM CO., LTD</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March 2022</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Yusheng Micro Semiconductor (Shanghai) Co., Ltd.</w:t>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Business development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ACM-Wooil Microelectronics (Shanghai) Co., Ltd.</w:t>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 June 2023</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Component development and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ACM Research (Lingang) Inc. is the English name referred to by its Chinese language name Shengwei Research (Shanghai), Inc., or ACM Shengwei in prior filings. ACM Research (Lingang), Inc. and Shengwei Research (Shanghai), Inc. refer to the same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for the year ended December 31, 2023 included in ACM’s Annual Report on Form 10-K for the fiscal year ended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2024 and the results of operations for the three months ended March 31, 2024 are not necessarily indicative of the results to be expected for any future period.</w:t>
      </w:r>
    </w:p>
    <w:p>
      <w:pPr>
        <w:pStyle w:val="TextBody"/>
        <w:bidi w:val="0"/>
        <w:spacing w:lineRule="auto" w:line="288" w:before="2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short-term investments and long-term investments, stock-based compensation arrangements, realization of deferred tax assets, assessment for impairment of long-lived assets and long-term investments, allowance for credit losses, inventory valuation, useful lives of property, plant and equipment and useful lives of intangible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and cash equivalents, according to jurisdiction as of March 31, 2024 and December 31, 2023:</w:t>
      </w:r>
    </w:p>
    <w:tbl>
      <w:tblPr>
        <w:tblW w:w="4427" w:type="dxa"/>
        <w:jc w:val="left"/>
        <w:tblInd w:w="0" w:type="dxa"/>
        <w:tblLayout w:type="fixed"/>
        <w:tblCellMar>
          <w:top w:w="28" w:type="dxa"/>
          <w:left w:w="28" w:type="dxa"/>
          <w:bottom w:w="28" w:type="dxa"/>
          <w:right w:w="28" w:type="dxa"/>
        </w:tblCellMar>
      </w:tblPr>
      <w:tblGrid>
        <w:gridCol w:w="599"/>
        <w:gridCol w:w="524"/>
        <w:gridCol w:w="527"/>
        <w:gridCol w:w="211"/>
        <w:gridCol w:w="826"/>
        <w:gridCol w:w="109"/>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China Hong Kong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in mainland China do not include short-term and long-term time deposits which totaled $76,205 and $121,342 at March 31, 2024 and December 31,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ACM California periodically procures goods and services on behalf of ACM Shanghai. For these transactions, ACM Shanghai makes cash payments to ACM California in accordance with applicable transfer pricing arrangements. For the three months ended March 31, 2024 and 2023, cash payments from ACM Shanghai to ACM California for the procurement of goods and services was $4,648 and $10,931,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held in Korea exceed the Korea Deposit Insurance Corporation insurance limits and is subject to risk of loss. No losses have been experienced to date. There is no additional restriction for the transfer of cash from bank accounts in the U.S., Korea, Singapore and Hong Kong.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Time Deposits</w:t>
      </w:r>
    </w:p>
    <w:p>
      <w:pPr>
        <w:pStyle w:val="TextBody"/>
        <w:bidi w:val="0"/>
        <w:spacing w:lineRule="auto" w:line="288" w:before="240" w:after="283"/>
        <w:jc w:val="both"/>
        <w:rPr/>
      </w:pPr>
      <w:r>
        <w:rPr>
          <w:rFonts w:ascii="Times New Roman;sans-serif" w:hAnsi="Times New Roman;sans-serif"/>
          <w:b w:val="false"/>
          <w:color w:val="000000"/>
          <w:sz w:val="20"/>
        </w:rPr>
        <w:t>Time deposits are deposited with banks in mainland China with fixed terms and interest rates which cannot be withdrawn before maturity, and are presented as short-term deposits and long-term deposits in the condensed consolidated financial statements based on their expected time of collection. They are also subject to the risk control regulatory standards described above upon maturity.</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42424"/>
          <w:sz w:val="20"/>
        </w:rPr>
      </w:pPr>
      <w:r>
        <w:rPr>
          <w:rFonts w:ascii="Times New Roman;sans-serif" w:hAnsi="Times New Roman;sans-serif"/>
          <w:b w:val="false"/>
          <w:color w:val="242424"/>
          <w:sz w:val="20"/>
        </w:rPr>
        <w:t>At March 31, 2024 and December 31, 2023, time deposits consisted of the following:</w:t>
      </w:r>
    </w:p>
    <w:tbl>
      <w:tblPr>
        <w:tblW w:w="10205" w:type="dxa"/>
        <w:jc w:val="left"/>
        <w:tblInd w:w="0" w:type="dxa"/>
        <w:tblLayout w:type="fixed"/>
        <w:tblCellMar>
          <w:top w:w="28" w:type="dxa"/>
          <w:left w:w="28" w:type="dxa"/>
          <w:bottom w:w="28" w:type="dxa"/>
          <w:right w:w="28" w:type="dxa"/>
        </w:tblCellMar>
      </w:tblPr>
      <w:tblGrid>
        <w:gridCol w:w="2919"/>
        <w:gridCol w:w="2475"/>
        <w:gridCol w:w="2493"/>
        <w:gridCol w:w="211"/>
        <w:gridCol w:w="721"/>
        <w:gridCol w:w="109"/>
        <w:gridCol w:w="225"/>
        <w:gridCol w:w="884"/>
        <w:gridCol w:w="168"/>
      </w:tblGrid>
      <w:tr>
        <w:trPr/>
        <w:tc>
          <w:tcPr>
            <w:tcW w:w="291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which matured on January 29, 2024 with an annual interest rate of 2.85%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Bank of Ningbo which matured on February 17, 2024 with an annual interest rate of 2.85%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October 20, 2025 with an annual interest rate of 3.10%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November 14, 2025 with an annual interest rate of 3.10%</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8, 2025 with an annual interest rate of 3.10%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15, 2025 with an annual interest rate of 3.10%</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Shanghai Pudong Development Bank which matures on December 30, 2025 with an annual interest rate of 3.10%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Industrial Bank which matures on January 3, 2026 with an annual interest rate of 3.15%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December 5, 2024 with an annual interest rate of 5.38%</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matures on May 22, 2024 with an annual interest rate of 5.28%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Everbright Bank which matured on April 5, 2024 with an annual interest rate of 5.33%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Lujiazui Branch which matures on May 27, 2024 with an annual interest rate of 1.85%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China Merchant Bank, Huaihai Branch which matures on May 27, 2024 with an annual interest rate of 1.85%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in Bank of Ningbo which matures on September 11, 2024 with an annual interest rate of 1.50%</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interest income related to time deposits was $624 and $975, respectively. </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periodically invests in equity securities, and maintains an investment portfolio of various holdings, types, and maturities. For equity investments that do not have a readily determinable fair value, the Company classified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value, the Company classified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pPr>
      <w:r>
        <w:rPr>
          <w:rFonts w:ascii="Times New Roman;sans-serif" w:hAnsi="Times New Roman;sans-serif"/>
          <w:b w:val="false"/>
          <w:color w:val="000000"/>
          <w:sz w:val="20"/>
          <w:shd w:fill="FFFFFF" w:val="clear"/>
        </w:rPr>
        <w:t>changes in fair market value, as applicable, are recognized as non-operating income (expenses), net in the co</w:t>
      </w:r>
      <w:r>
        <w:rPr>
          <w:rFonts w:ascii="Times New Roman;sans-serif" w:hAnsi="Times New Roman;sans-serif"/>
          <w:b w:val="false"/>
          <w:color w:val="000000"/>
          <w:sz w:val="20"/>
        </w:rPr>
        <w:t>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br/>
        <w:t xml:space="preserve">The Company’s primary financial instruments include its cash, cash equivalents, short term and long term deposits, restricted cash, short-term and long-term investments, other receivables, accounts receivable, accounts payable, and short-term and long-term borrowings. The estimated fair value of cash and cash equivalents, short-term time deposits, accounts receivable, other receivables, accounts payable, and short-term borrowings approximates their carrying value due to the short period of time to their maturities.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measurement in its entirety, requires judgment and considers factors specific to the investment. The inputs or methodology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measured at fair value on a 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872"/>
        <w:gridCol w:w="459"/>
        <w:gridCol w:w="461"/>
        <w:gridCol w:w="585"/>
        <w:gridCol w:w="1999"/>
        <w:gridCol w:w="302"/>
        <w:gridCol w:w="647"/>
        <w:gridCol w:w="1246"/>
        <w:gridCol w:w="336"/>
        <w:gridCol w:w="640"/>
        <w:gridCol w:w="1234"/>
        <w:gridCol w:w="333"/>
        <w:gridCol w:w="211"/>
        <w:gridCol w:w="721"/>
        <w:gridCol w:w="159"/>
      </w:tblGrid>
      <w:tr>
        <w:trPr/>
        <w:tc>
          <w:tcPr>
            <w:tcW w:w="8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 for Identical Liabilities (Level 1)</w:t>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2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2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investments</w:t>
            </w:r>
          </w:p>
        </w:tc>
        <w:tc>
          <w:tcPr>
            <w:tcW w:w="2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non-recurring basis: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2"/>
        <w:gridCol w:w="631"/>
        <w:gridCol w:w="633"/>
        <w:gridCol w:w="645"/>
        <w:gridCol w:w="1243"/>
        <w:gridCol w:w="337"/>
        <w:gridCol w:w="109"/>
        <w:gridCol w:w="109"/>
        <w:gridCol w:w="109"/>
        <w:gridCol w:w="540"/>
        <w:gridCol w:w="1039"/>
        <w:gridCol w:w="280"/>
        <w:gridCol w:w="109"/>
        <w:gridCol w:w="109"/>
        <w:gridCol w:w="109"/>
        <w:gridCol w:w="386"/>
        <w:gridCol w:w="1324"/>
        <w:gridCol w:w="202"/>
        <w:gridCol w:w="109"/>
        <w:gridCol w:w="109"/>
        <w:gridCol w:w="109"/>
        <w:gridCol w:w="211"/>
        <w:gridCol w:w="721"/>
        <w:gridCol w:w="160"/>
      </w:tblGrid>
      <w:tr>
        <w:trPr/>
        <w:tc>
          <w:tcPr>
            <w:tcW w:w="87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Quoted Prices in Active Markets for Identical Liabilities (Level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Significant Other Observable Inputs (Level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Significant Unobservable Inputs (Level 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Total </w:t>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color w:val="000000"/>
                <w:sz w:val="20"/>
              </w:rPr>
              <w:t xml:space="preserve">As of December 31, 2023: </w:t>
            </w:r>
          </w:p>
        </w:tc>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Assets </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accounted for using measurement alternative </w:t>
            </w:r>
          </w:p>
        </w:tc>
        <w:tc>
          <w:tcPr>
            <w:tcW w:w="6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have any assets and liabilities measured at fair value on a non-recurring basis as of March 31, 2024, and the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three months ended March 31, 2024 and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Refer to Note 12 for fair value information related to the Company’s outstanding long-term borrowings as of </w:t>
      </w:r>
      <w:r>
        <w:rPr>
          <w:rFonts w:ascii="Times New Roman;sans-serif" w:hAnsi="Times New Roman;sans-serif"/>
          <w:b w:val="false"/>
          <w:color w:val="000000"/>
          <w:sz w:val="20"/>
        </w:rPr>
        <w:t>March 31, 2024 and December 31, 2023</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14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Basic and Diluted Net Income per Share of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are calculated as follows:</w:t>
      </w:r>
    </w:p>
    <w:tbl>
      <w:tblPr>
        <w:tblW w:w="9738" w:type="dxa"/>
        <w:jc w:val="left"/>
        <w:tblInd w:w="0" w:type="dxa"/>
        <w:tblLayout w:type="fixed"/>
        <w:tblCellMar>
          <w:top w:w="28" w:type="dxa"/>
          <w:left w:w="28" w:type="dxa"/>
          <w:bottom w:w="28" w:type="dxa"/>
          <w:right w:w="28" w:type="dxa"/>
        </w:tblCellMar>
      </w:tblPr>
      <w:tblGrid>
        <w:gridCol w:w="2300"/>
        <w:gridCol w:w="2023"/>
        <w:gridCol w:w="2036"/>
        <w:gridCol w:w="255"/>
        <w:gridCol w:w="873"/>
        <w:gridCol w:w="132"/>
        <w:gridCol w:w="132"/>
        <w:gridCol w:w="132"/>
        <w:gridCol w:w="132"/>
        <w:gridCol w:w="255"/>
        <w:gridCol w:w="746"/>
        <w:gridCol w:w="132"/>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Net income attributable to non-controlling interests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Less: Dilutive effect arising from stock-based awards by ACM Shanghai</w:t>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diluted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61,367,184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59,736,764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4,875,137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5,322,013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Weighted average shares outstanding, diluted</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66,242,321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65,058,777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common stock: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months ended March 31, 2024 and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has been authorized to issue Class A and Class B common stock since redomesticating in Delaware in November 2016. The two classes of common stock are substantially identical in all material respects, except for voting rights. Since ACM Research did not declare any cash dividends during the three months ended March 31, 2024 or 2023,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Diluted net income per share of common stock reflects the potential dilution from securities, such as stock options that could share in ACM Research’s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w:t>
      </w:r>
      <w:r>
        <w:rPr>
          <w:rFonts w:ascii="Times New Roman;sans-serif" w:hAnsi="Times New Roman;sans-serif"/>
          <w:b w:val="false"/>
          <w:color w:val="000000"/>
          <w:sz w:val="20"/>
          <w:shd w:fill="FFFFFF" w:val="clear"/>
        </w:rPr>
        <w:t>728,575 and 1,967,685 stock options for the three months ended March 31, 2024 and 2023, respectively.</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 of Credit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potentially subject to concentrations of credit risks in its revenue and accounts receivable. For the three months ended March 31, 2024 and 2023, two customers accounted for 55.9% and four customers accounted for 59.7% of revenue,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four customers accounted for 56.2% and four customers accounted for 59.1%,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currently evaluating the provisions of this ASU and expect to adopt it for the year ending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(Topic 740).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9369" w:type="dxa"/>
        <w:jc w:val="left"/>
        <w:tblInd w:w="0" w:type="dxa"/>
        <w:tblLayout w:type="fixed"/>
        <w:tblCellMar>
          <w:top w:w="28" w:type="dxa"/>
          <w:left w:w="28" w:type="dxa"/>
          <w:bottom w:w="28" w:type="dxa"/>
          <w:right w:w="28" w:type="dxa"/>
        </w:tblCellMar>
      </w:tblPr>
      <w:tblGrid>
        <w:gridCol w:w="2092"/>
        <w:gridCol w:w="1837"/>
        <w:gridCol w:w="1846"/>
        <w:gridCol w:w="231"/>
        <w:gridCol w:w="922"/>
        <w:gridCol w:w="119"/>
        <w:gridCol w:w="119"/>
        <w:gridCol w:w="119"/>
        <w:gridCol w:w="119"/>
        <w:gridCol w:w="231"/>
        <w:gridCol w:w="807"/>
        <w:gridCol w:w="119"/>
        <w:gridCol w:w="109"/>
        <w:gridCol w:w="109"/>
        <w:gridCol w:w="109"/>
        <w:gridCol w:w="109"/>
        <w:gridCol w:w="109"/>
        <w:gridCol w:w="109"/>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74,256</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484" w:type="dxa"/>
        <w:jc w:val="left"/>
        <w:tblInd w:w="0" w:type="dxa"/>
        <w:tblLayout w:type="fixed"/>
        <w:tblCellMar>
          <w:top w:w="28" w:type="dxa"/>
          <w:left w:w="28" w:type="dxa"/>
          <w:bottom w:w="28" w:type="dxa"/>
          <w:right w:w="28" w:type="dxa"/>
        </w:tblCellMar>
      </w:tblPr>
      <w:tblGrid>
        <w:gridCol w:w="527"/>
        <w:gridCol w:w="462"/>
        <w:gridCol w:w="465"/>
        <w:gridCol w:w="231"/>
        <w:gridCol w:w="922"/>
        <w:gridCol w:w="119"/>
        <w:gridCol w:w="119"/>
        <w:gridCol w:w="119"/>
        <w:gridCol w:w="119"/>
        <w:gridCol w:w="231"/>
        <w:gridCol w:w="807"/>
        <w:gridCol w:w="119"/>
        <w:gridCol w:w="109"/>
        <w:gridCol w:w="109"/>
        <w:gridCol w:w="109"/>
        <w:gridCol w:w="109"/>
        <w:gridCol w:w="109"/>
        <w:gridCol w:w="109"/>
        <w:gridCol w:w="109"/>
        <w:gridCol w:w="109"/>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Mainland China</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regions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74,256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Below are the accounts receivables and contract liabilities balances as of:</w:t>
      </w:r>
    </w:p>
    <w:tbl>
      <w:tblPr>
        <w:tblW w:w="5396" w:type="dxa"/>
        <w:jc w:val="left"/>
        <w:tblInd w:w="0" w:type="dxa"/>
        <w:tblLayout w:type="fixed"/>
        <w:tblCellMar>
          <w:top w:w="28" w:type="dxa"/>
          <w:left w:w="28" w:type="dxa"/>
          <w:bottom w:w="28" w:type="dxa"/>
          <w:right w:w="28" w:type="dxa"/>
        </w:tblCellMar>
      </w:tblPr>
      <w:tblGrid>
        <w:gridCol w:w="923"/>
        <w:gridCol w:w="812"/>
        <w:gridCol w:w="814"/>
        <w:gridCol w:w="413"/>
        <w:gridCol w:w="413"/>
        <w:gridCol w:w="326"/>
        <w:gridCol w:w="109"/>
        <w:gridCol w:w="109"/>
        <w:gridCol w:w="109"/>
        <w:gridCol w:w="413"/>
        <w:gridCol w:w="413"/>
        <w:gridCol w:w="54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Accounts receivable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296,371 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Advances from customers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182,547 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Deferred revenue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advances from customers increased by $1.2 million, due to an increase of payments made by customers for first tools under evaluation, offset by a decrease in customer pre-payments for tools prior to delivery.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2679"/>
        <w:gridCol w:w="2354"/>
        <w:gridCol w:w="2360"/>
        <w:gridCol w:w="241"/>
        <w:gridCol w:w="827"/>
        <w:gridCol w:w="124"/>
        <w:gridCol w:w="124"/>
        <w:gridCol w:w="124"/>
        <w:gridCol w:w="124"/>
        <w:gridCol w:w="241"/>
        <w:gridCol w:w="827"/>
        <w:gridCol w:w="180"/>
      </w:tblGrid>
      <w:tr>
        <w:trPr/>
        <w:tc>
          <w:tcPr>
            <w:tcW w:w="267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year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March 31, 2024 and December 31, 2023, accounts receivable consisted of</w:t>
      </w:r>
      <w:r>
        <w:rPr>
          <w:color w:val="000000"/>
        </w:rPr>
        <w:t xml:space="preserve"> </w:t>
      </w:r>
      <w:r>
        <w:rPr>
          <w:rFonts w:ascii="Times New Roman;sans-serif" w:hAnsi="Times New Roman;sans-serif"/>
          <w:b w:val="false"/>
          <w:color w:val="000000"/>
          <w:sz w:val="20"/>
        </w:rPr>
        <w:t>the following:</w:t>
      </w:r>
    </w:p>
    <w:tbl>
      <w:tblPr>
        <w:tblW w:w="5537" w:type="dxa"/>
        <w:jc w:val="left"/>
        <w:tblInd w:w="0" w:type="dxa"/>
        <w:tblLayout w:type="fixed"/>
        <w:tblCellMar>
          <w:top w:w="28" w:type="dxa"/>
          <w:left w:w="28" w:type="dxa"/>
          <w:bottom w:w="28" w:type="dxa"/>
          <w:right w:w="28" w:type="dxa"/>
        </w:tblCellMar>
      </w:tblPr>
      <w:tblGrid>
        <w:gridCol w:w="1000"/>
        <w:gridCol w:w="879"/>
        <w:gridCol w:w="881"/>
        <w:gridCol w:w="211"/>
        <w:gridCol w:w="826"/>
        <w:gridCol w:w="109"/>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283,186 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$13.2 million increase in accounts receivable for the first three months of 2024 corresponds to a $77.9 million increase in revenue for the same period.</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of the allowance for credit losses for the three months ended March 31, 2024 is as follows:</w:t>
      </w:r>
    </w:p>
    <w:p>
      <w:pPr>
        <w:pStyle w:val="TextBody"/>
        <w:bidi w:val="0"/>
        <w:spacing w:before="140" w:after="283"/>
        <w:jc w:val="both"/>
        <w:rPr/>
      </w:pPr>
      <w:r>
        <w:rPr/>
      </w:r>
    </w:p>
    <w:tbl>
      <w:tblPr>
        <w:tblW w:w="4529" w:type="dxa"/>
        <w:jc w:val="left"/>
        <w:tblInd w:w="0" w:type="dxa"/>
        <w:tblLayout w:type="fixed"/>
        <w:tblCellMar>
          <w:top w:w="28" w:type="dxa"/>
          <w:left w:w="28" w:type="dxa"/>
          <w:bottom w:w="28" w:type="dxa"/>
          <w:right w:w="28" w:type="dxa"/>
        </w:tblCellMar>
      </w:tblPr>
      <w:tblGrid>
        <w:gridCol w:w="1447"/>
        <w:gridCol w:w="1272"/>
        <w:gridCol w:w="1810"/>
      </w:tblGrid>
      <w:tr>
        <w:trPr/>
        <w:tc>
          <w:tcPr>
            <w:tcW w:w="144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as of January 1</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r>
      <w:tr>
        <w:trPr/>
        <w:tc>
          <w:tcPr>
            <w:tcW w:w="45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before tax, as of March 31</w:t>
            </w:r>
          </w:p>
        </w:tc>
      </w:tr>
    </w:tbl>
    <w:tbl>
      <w:tblPr>
        <w:tblW w:w="1071" w:type="dxa"/>
        <w:jc w:val="left"/>
        <w:tblInd w:w="0" w:type="dxa"/>
        <w:tblLayout w:type="fixed"/>
        <w:tblCellMar>
          <w:top w:w="28" w:type="dxa"/>
          <w:left w:w="28" w:type="dxa"/>
          <w:bottom w:w="28" w:type="dxa"/>
          <w:right w:w="28" w:type="dxa"/>
        </w:tblCellMar>
      </w:tblPr>
      <w:tblGrid>
        <w:gridCol w:w="226"/>
        <w:gridCol w:w="691"/>
        <w:gridCol w:w="154"/>
      </w:tblGrid>
      <w:tr>
        <w:trPr/>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inventories consisted of the following:</w:t>
      </w:r>
    </w:p>
    <w:tbl>
      <w:tblPr>
        <w:tblW w:w="4233" w:type="dxa"/>
        <w:jc w:val="left"/>
        <w:tblInd w:w="0" w:type="dxa"/>
        <w:tblLayout w:type="fixed"/>
        <w:tblCellMar>
          <w:top w:w="28" w:type="dxa"/>
          <w:left w:w="28" w:type="dxa"/>
          <w:bottom w:w="28" w:type="dxa"/>
          <w:right w:w="28" w:type="dxa"/>
        </w:tblCellMar>
      </w:tblPr>
      <w:tblGrid>
        <w:gridCol w:w="527"/>
        <w:gridCol w:w="463"/>
        <w:gridCol w:w="466"/>
        <w:gridCol w:w="211"/>
        <w:gridCol w:w="826"/>
        <w:gridCol w:w="109"/>
        <w:gridCol w:w="109"/>
        <w:gridCol w:w="109"/>
        <w:gridCol w:w="109"/>
        <w:gridCol w:w="231"/>
        <w:gridCol w:w="905"/>
        <w:gridCol w:w="168"/>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545,395 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the value of finished goods inventory of which were first-tools at customer physical locations for which customers were contractually obligated to take ownership upon acceptance totaled $163,484 and $123,390,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$21,270 increase in raw materials at March 31, 2024 compared to December 31, 2023 was due to additional purchase of supplies to support a higher level of expected total shipments for the next several quarters, and to reduce the risk of supply chain delays to meet anticipated customer demand for the Company’s products.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$34,042 increase in finished goods inventory at March 31, 2024 compared to December 31, 2023 reflects a higher value of first-tools under evaluation by existing or prospective customers, due to shipments made, net of customer acceptances during the period.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each require a certain degree of customization, and the substantial majority of the work-in-process inventory and finished goods inventory is built to meet a specific customer order for a repeat shipment or a first tool shipment. At the end of each period, the Company assesses the status of each item in work-in-process and finished goods inventory. The Company recognizes a loss or impairment if in management’s judgement the inventory cannot be sold or used for production, if it has been damaged or should be considered as obsolete, or if the net realizable value is lower than the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end of each period, the Company also assesses the status of its raw materials. The Company recognizes a loss or impairment for any raw materials aged more than three years. The three-year aging is based on the Company’s assessment of technology change, its requirement to maintain stock for warranty coverage, and other factors.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provision for inventory of $1,025 and $306 were recognized in cost of revenue, respectively. Write-downs were due to an internal assessment that certain inventory could not be sold or used for production due to damage or obsolescence.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 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property, plant and equipment consisted of the following:</w:t>
      </w:r>
    </w:p>
    <w:tbl>
      <w:tblPr>
        <w:tblW w:w="7366" w:type="dxa"/>
        <w:jc w:val="left"/>
        <w:tblInd w:w="0" w:type="dxa"/>
        <w:tblLayout w:type="fixed"/>
        <w:tblCellMar>
          <w:top w:w="28" w:type="dxa"/>
          <w:left w:w="28" w:type="dxa"/>
          <w:bottom w:w="28" w:type="dxa"/>
          <w:right w:w="28" w:type="dxa"/>
        </w:tblCellMar>
      </w:tblPr>
      <w:tblGrid>
        <w:gridCol w:w="1658"/>
        <w:gridCol w:w="1457"/>
        <w:gridCol w:w="1474"/>
        <w:gridCol w:w="211"/>
        <w:gridCol w:w="826"/>
        <w:gridCol w:w="109"/>
        <w:gridCol w:w="109"/>
        <w:gridCol w:w="109"/>
        <w:gridCol w:w="109"/>
        <w:gridCol w:w="231"/>
        <w:gridCol w:w="905"/>
        <w:gridCol w:w="168"/>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plants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Total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Depreciation expense for the three months ended March 31, 2024 and 2023 was $2,475 and $1,714, respectively. Buildings and plants represent Lingang housing property owned by ACM Liangang at a value of RMB 249,746</w:t>
      </w:r>
      <w:r>
        <w:rPr>
          <w:color w:val="000000"/>
          <w:shd w:fill="FFFFFF" w:val="clear"/>
        </w:rPr>
        <w:t xml:space="preserve"> </w:t>
      </w:r>
      <w:r>
        <w:rPr>
          <w:rFonts w:ascii="Times New Roman;sans-serif" w:hAnsi="Times New Roman;sans-serif"/>
          <w:b w:val="false"/>
          <w:color w:val="000000"/>
          <w:sz w:val="20"/>
          <w:shd w:fill="FFFFFF" w:val="clear"/>
        </w:rPr>
        <w:t>($35,189)</w:t>
      </w:r>
      <w:r>
        <w:rPr>
          <w:rFonts w:ascii="Times New Roman;sans-serif" w:hAnsi="Times New Roman;sans-serif"/>
          <w:b w:val="false"/>
          <w:color w:val="000000"/>
          <w:sz w:val="20"/>
        </w:rPr>
        <w:t xml:space="preserve">, and facilities for the new headquarters of ACM Shanghai ("Zhangjiang New Building") at a value of RMB 338,848 ($47,744), as of March 31, 2024. The Lingang housing property is pledged as security for loans from China Merchants Bank (Note 12).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Construction in progress primarily refle</w:t>
      </w:r>
      <w:r>
        <w:rPr>
          <w:rFonts w:ascii="Times New Roman;sans-serif" w:hAnsi="Times New Roman;sans-serif"/>
          <w:b w:val="false"/>
          <w:color w:val="000000"/>
          <w:sz w:val="20"/>
          <w:shd w:fill="FFFFFF" w:val="clear"/>
        </w:rPr>
        <w:t>cts costs incurred related to the construction of ACM Shanghai’s Lingang development and production center, and is scheduled to begin pr</w:t>
      </w:r>
      <w:r>
        <w:rPr>
          <w:rFonts w:ascii="Times New Roman;sans-serif" w:hAnsi="Times New Roman;sans-serif"/>
          <w:b w:val="false"/>
          <w:color w:val="000000"/>
          <w:sz w:val="20"/>
        </w:rPr>
        <w:t xml:space="preserve">oduction in the second half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LAND USE RIGHT,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land use right is as follows:</w:t>
      </w:r>
    </w:p>
    <w:tbl>
      <w:tblPr>
        <w:tblW w:w="5321" w:type="dxa"/>
        <w:jc w:val="left"/>
        <w:tblInd w:w="0" w:type="dxa"/>
        <w:tblLayout w:type="fixed"/>
        <w:tblCellMar>
          <w:top w:w="28" w:type="dxa"/>
          <w:left w:w="28" w:type="dxa"/>
          <w:bottom w:w="28" w:type="dxa"/>
          <w:right w:w="28" w:type="dxa"/>
        </w:tblCellMar>
      </w:tblPr>
      <w:tblGrid>
        <w:gridCol w:w="981"/>
        <w:gridCol w:w="865"/>
        <w:gridCol w:w="868"/>
        <w:gridCol w:w="220"/>
        <w:gridCol w:w="642"/>
        <w:gridCol w:w="113"/>
        <w:gridCol w:w="109"/>
        <w:gridCol w:w="109"/>
        <w:gridCol w:w="109"/>
        <w:gridCol w:w="280"/>
        <w:gridCol w:w="819"/>
        <w:gridCol w:w="206"/>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purchase amount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use right,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The amortization for the three months ended </w:t>
      </w:r>
      <w:r>
        <w:rPr>
          <w:rFonts w:ascii="Times New Roman;sans-serif" w:hAnsi="Times New Roman;sans-serif"/>
          <w:b w:val="false"/>
          <w:color w:val="000000"/>
          <w:sz w:val="20"/>
          <w:shd w:fill="FFFFFF" w:val="clear"/>
        </w:rPr>
        <w:t>March 31, 2024 and 2023 was $43 and $50,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annual amortization of land use right is as follows:</w:t>
      </w:r>
    </w:p>
    <w:tbl>
      <w:tblPr>
        <w:tblW w:w="3336" w:type="dxa"/>
        <w:jc w:val="left"/>
        <w:tblInd w:w="0" w:type="dxa"/>
        <w:tblLayout w:type="fixed"/>
        <w:tblCellMar>
          <w:top w:w="28" w:type="dxa"/>
          <w:left w:w="28" w:type="dxa"/>
          <w:bottom w:w="28" w:type="dxa"/>
          <w:right w:w="28" w:type="dxa"/>
        </w:tblCellMar>
      </w:tblPr>
      <w:tblGrid>
        <w:gridCol w:w="852"/>
        <w:gridCol w:w="750"/>
        <w:gridCol w:w="753"/>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OTHER LONG-TERM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other long-term assets consisted of the following:</w:t>
      </w:r>
    </w:p>
    <w:tbl>
      <w:tblPr>
        <w:tblW w:w="6602" w:type="dxa"/>
        <w:jc w:val="left"/>
        <w:tblInd w:w="0" w:type="dxa"/>
        <w:tblLayout w:type="fixed"/>
        <w:tblCellMar>
          <w:top w:w="28" w:type="dxa"/>
          <w:left w:w="28" w:type="dxa"/>
          <w:bottom w:w="28" w:type="dxa"/>
          <w:right w:w="28" w:type="dxa"/>
        </w:tblCellMar>
      </w:tblPr>
      <w:tblGrid>
        <w:gridCol w:w="1424"/>
        <w:gridCol w:w="1251"/>
        <w:gridCol w:w="1254"/>
        <w:gridCol w:w="211"/>
        <w:gridCol w:w="721"/>
        <w:gridCol w:w="109"/>
        <w:gridCol w:w="109"/>
        <w:gridCol w:w="109"/>
        <w:gridCol w:w="109"/>
        <w:gridCol w:w="280"/>
        <w:gridCol w:w="819"/>
        <w:gridCol w:w="206"/>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for property, plant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 for land use right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SHORT-TERM BORROWINGS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At March 31, 2024 and December 31, 2023, s</w:t>
      </w:r>
      <w:r>
        <w:rPr>
          <w:rFonts w:ascii="Times New Roman;sans-serif" w:hAnsi="Times New Roman;sans-serif"/>
          <w:b w:val="false"/>
          <w:color w:val="000000"/>
          <w:sz w:val="20"/>
        </w:rPr>
        <w:t>hort-term borrowings consisted of the following:</w:t>
      </w:r>
    </w:p>
    <w:tbl>
      <w:tblPr>
        <w:tblW w:w="8151" w:type="dxa"/>
        <w:jc w:val="left"/>
        <w:tblInd w:w="0" w:type="dxa"/>
        <w:tblLayout w:type="fixed"/>
        <w:tblCellMar>
          <w:top w:w="28" w:type="dxa"/>
          <w:left w:w="28" w:type="dxa"/>
          <w:bottom w:w="28" w:type="dxa"/>
          <w:right w:w="28" w:type="dxa"/>
        </w:tblCellMar>
      </w:tblPr>
      <w:tblGrid>
        <w:gridCol w:w="2103"/>
        <w:gridCol w:w="1848"/>
        <w:gridCol w:w="1854"/>
        <w:gridCol w:w="211"/>
        <w:gridCol w:w="721"/>
        <w:gridCol w:w="109"/>
        <w:gridCol w:w="253"/>
        <w:gridCol w:w="867"/>
        <w:gridCol w:w="185"/>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Line of credit up to RMB 150,000 from China Everbright Bank,</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29,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Line of credit up to RMB 40,000 from Bank of China,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1)due on September 7, 2024 with an annual interest rate of 2.87%.</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RMB 200,000 from China Merchants Bank,</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August 7,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2)due on August 8,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3)due on August 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4)due on August 14,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5)due on August 17,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6)due on August 20,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7)due on August 21,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8)due on August 22,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9)due on August 24,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10)due on August 27,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11)due on August 29,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12)due on August 30,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13)due on September 3,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14)due on September 5,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15)due on September 6,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16)due on September 10,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17)due on September 12, 2024 with an annual interest rate of 3.00%.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18)due on February 27,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19)due on February 28,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20)due on March 1,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21)due on March 5,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22)due on March 8, 2025 with an annual interest rate of 2.60%.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RMB 120,000 from Bank of China,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March 20, 2025 with an annual interest rate of 2.75%.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KRW 500,000 from Industrial Bank of Korea,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July 12, 2024 with an annual interest rate of 6.03%.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Line of credit up to KRW 2,000,000 from Industrial Bank of Korea,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1)due on December 15, 2024 with an annual interest rate of 4.27%.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ans-serif" w:hAnsi="Times New Roman;sans-serif"/>
          <w:b w:val="false"/>
          <w:color w:val="000000"/>
          <w:sz w:val="20"/>
        </w:rPr>
        <w:t>For the three months ended March 31, 2024 and 2023, interest expense related to short-term borrowings amounted to $213 an</w:t>
      </w:r>
      <w:r>
        <w:rPr>
          <w:rFonts w:ascii="Times New Roman;sans-serif" w:hAnsi="Times New Roman;sans-serif"/>
          <w:b w:val="false"/>
          <w:color w:val="000000"/>
          <w:sz w:val="20"/>
          <w:shd w:fill="FFFFFF" w:val="clear"/>
        </w:rPr>
        <w:t>d $490, respectiv</w:t>
      </w:r>
      <w:r>
        <w:rPr>
          <w:rFonts w:ascii="Times New Roman;sans-serif" w:hAnsi="Times New Roman;sans-serif"/>
          <w:b w:val="false"/>
          <w:color w:val="000000"/>
          <w:sz w:val="20"/>
        </w:rPr>
        <w: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OTHER PAYABLES AND ACCRUED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other payables and accrued expenses consisted of the following:</w:t>
      </w:r>
    </w:p>
    <w:tbl>
      <w:tblPr>
        <w:tblW w:w="5404" w:type="dxa"/>
        <w:jc w:val="left"/>
        <w:tblInd w:w="0" w:type="dxa"/>
        <w:tblLayout w:type="fixed"/>
        <w:tblCellMar>
          <w:top w:w="28" w:type="dxa"/>
          <w:left w:w="28" w:type="dxa"/>
          <w:bottom w:w="28" w:type="dxa"/>
          <w:right w:w="28" w:type="dxa"/>
        </w:tblCellMar>
      </w:tblPr>
      <w:tblGrid>
        <w:gridCol w:w="1306"/>
        <w:gridCol w:w="931"/>
        <w:gridCol w:w="717"/>
        <w:gridCol w:w="211"/>
        <w:gridCol w:w="826"/>
        <w:gridCol w:w="109"/>
        <w:gridCol w:w="231"/>
        <w:gridCol w:w="905"/>
        <w:gridCol w:w="168"/>
      </w:tblGrid>
      <w:tr>
        <w:trPr/>
        <w:tc>
          <w:tcPr>
            <w:tcW w:w="13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testing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machine sales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Lingang construction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space under non-cancelable operating leases for several offices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lease expense were as follows:</w:t>
      </w:r>
    </w:p>
    <w:tbl>
      <w:tblPr>
        <w:tblW w:w="4958" w:type="dxa"/>
        <w:jc w:val="left"/>
        <w:tblInd w:w="0" w:type="dxa"/>
        <w:tblLayout w:type="fixed"/>
        <w:tblCellMar>
          <w:top w:w="28" w:type="dxa"/>
          <w:left w:w="28" w:type="dxa"/>
          <w:bottom w:w="28" w:type="dxa"/>
          <w:right w:w="28" w:type="dxa"/>
        </w:tblCellMar>
      </w:tblPr>
      <w:tblGrid>
        <w:gridCol w:w="651"/>
        <w:gridCol w:w="572"/>
        <w:gridCol w:w="576"/>
        <w:gridCol w:w="341"/>
        <w:gridCol w:w="998"/>
        <w:gridCol w:w="176"/>
        <w:gridCol w:w="341"/>
        <w:gridCol w:w="755"/>
        <w:gridCol w:w="176"/>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Supplemental cash flow information related to operating leases was as follows:</w:t>
      </w:r>
    </w:p>
    <w:tbl>
      <w:tblPr>
        <w:tblW w:w="10205" w:type="dxa"/>
        <w:jc w:val="left"/>
        <w:tblInd w:w="0" w:type="dxa"/>
        <w:tblLayout w:type="fixed"/>
        <w:tblCellMar>
          <w:top w:w="28" w:type="dxa"/>
          <w:left w:w="28" w:type="dxa"/>
          <w:bottom w:w="28" w:type="dxa"/>
          <w:right w:w="28" w:type="dxa"/>
        </w:tblCellMar>
      </w:tblPr>
      <w:tblGrid>
        <w:gridCol w:w="2584"/>
        <w:gridCol w:w="2272"/>
        <w:gridCol w:w="2276"/>
        <w:gridCol w:w="330"/>
        <w:gridCol w:w="731"/>
        <w:gridCol w:w="170"/>
        <w:gridCol w:w="330"/>
        <w:gridCol w:w="966"/>
        <w:gridCol w:w="170"/>
        <w:gridCol w:w="109"/>
        <w:gridCol w:w="109"/>
        <w:gridCol w:w="158"/>
      </w:tblGrid>
      <w:tr>
        <w:trPr/>
        <w:tc>
          <w:tcPr>
            <w:tcW w:w="258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outflow from operating leases</w:t>
            </w:r>
          </w:p>
        </w:tc>
        <w:tc>
          <w:tcPr>
            <w:tcW w:w="33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 right-of-use assets obtained in exchange for new operating lease liabilities</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maturities of outstanding lease liabilities for all operating leases were as follows:</w:t>
      </w:r>
    </w:p>
    <w:tbl>
      <w:tblPr>
        <w:tblW w:w="3990" w:type="dxa"/>
        <w:jc w:val="left"/>
        <w:tblInd w:w="0" w:type="dxa"/>
        <w:tblLayout w:type="fixed"/>
        <w:tblCellMar>
          <w:top w:w="28" w:type="dxa"/>
          <w:left w:w="28" w:type="dxa"/>
          <w:bottom w:w="28" w:type="dxa"/>
          <w:right w:w="28" w:type="dxa"/>
        </w:tblCellMar>
      </w:tblPr>
      <w:tblGrid>
        <w:gridCol w:w="972"/>
        <w:gridCol w:w="853"/>
        <w:gridCol w:w="860"/>
        <w:gridCol w:w="280"/>
        <w:gridCol w:w="819"/>
        <w:gridCol w:w="20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20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99"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206"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remaining lease terms and discount rates for all operating leases were as follows: </w:t>
      </w:r>
    </w:p>
    <w:tbl>
      <w:tblPr>
        <w:tblW w:w="6257" w:type="dxa"/>
        <w:jc w:val="left"/>
        <w:tblInd w:w="0" w:type="dxa"/>
        <w:tblLayout w:type="fixed"/>
        <w:tblCellMar>
          <w:top w:w="28" w:type="dxa"/>
          <w:left w:w="28" w:type="dxa"/>
          <w:bottom w:w="28" w:type="dxa"/>
          <w:right w:w="28" w:type="dxa"/>
        </w:tblCellMar>
      </w:tblPr>
      <w:tblGrid>
        <w:gridCol w:w="1414"/>
        <w:gridCol w:w="1241"/>
        <w:gridCol w:w="1245"/>
        <w:gridCol w:w="255"/>
        <w:gridCol w:w="256"/>
        <w:gridCol w:w="542"/>
        <w:gridCol w:w="265"/>
        <w:gridCol w:w="265"/>
        <w:gridCol w:w="77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and discount rate: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05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3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LONG-TERM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long-term borrowings consisted of the following:</w:t>
      </w:r>
    </w:p>
    <w:tbl>
      <w:tblPr>
        <w:tblW w:w="5226" w:type="dxa"/>
        <w:jc w:val="left"/>
        <w:tblInd w:w="0" w:type="dxa"/>
        <w:tblLayout w:type="fixed"/>
        <w:tblCellMar>
          <w:top w:w="28" w:type="dxa"/>
          <w:left w:w="28" w:type="dxa"/>
          <w:bottom w:w="28" w:type="dxa"/>
          <w:right w:w="28" w:type="dxa"/>
        </w:tblCellMar>
      </w:tblPr>
      <w:tblGrid>
        <w:gridCol w:w="1042"/>
        <w:gridCol w:w="918"/>
        <w:gridCol w:w="920"/>
        <w:gridCol w:w="211"/>
        <w:gridCol w:w="721"/>
        <w:gridCol w:w="109"/>
        <w:gridCol w:w="253"/>
        <w:gridCol w:w="867"/>
        <w:gridCol w:w="185"/>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from Bank of 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Bank of Shanghai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from China CITIC Bank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 loan from China Merchants Bank is for the purpose of purchasing housing property in Lingang, Shanghai. The loan is repayable in 120 total installments with the last installment due in November 2030, with an annual interest rate o</w:t>
      </w:r>
      <w:r>
        <w:rPr>
          <w:rFonts w:ascii="Times New Roman;sans-serif" w:hAnsi="Times New Roman;sans-serif"/>
          <w:b w:val="false"/>
          <w:color w:val="000000"/>
          <w:sz w:val="20"/>
          <w:shd w:fill="FFFFFF" w:val="clear"/>
        </w:rPr>
        <w:t>f</w:t>
      </w:r>
      <w:r>
        <w:rPr>
          <w:color w:val="000000"/>
        </w:rPr>
        <w:t xml:space="preserve"> </w:t>
      </w:r>
      <w:r>
        <w:rPr>
          <w:rFonts w:ascii="Times New Roman;sans-serif" w:hAnsi="Times New Roman;sans-serif"/>
          <w:b w:val="false"/>
          <w:color w:val="000000"/>
          <w:sz w:val="20"/>
        </w:rPr>
        <w:t xml:space="preserve">3.95%. The loan is pledged by the property of ACM Lingang and guaranteed by ACM Shanghai. </w:t>
      </w:r>
    </w:p>
    <w:p>
      <w:pPr>
        <w:pStyle w:val="TextBody"/>
        <w:bidi w:val="0"/>
        <w:spacing w:lineRule="auto" w:line="288" w:before="240" w:after="283"/>
        <w:jc w:val="both"/>
        <w:rPr/>
      </w:pP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 xml:space="preserve">loans from Bank of China are for the purpose of funding ACM Shanghai project expenditures. The loans bear interest at an annual rate of </w:t>
      </w:r>
      <w:r>
        <w:rPr>
          <w:rFonts w:ascii="Times New Roman;sans-serif" w:hAnsi="Times New Roman;sans-serif"/>
          <w:b w:val="false"/>
          <w:color w:val="000000"/>
          <w:sz w:val="20"/>
        </w:rPr>
        <w:t>2.6%</w:t>
      </w:r>
      <w:r>
        <w:rPr>
          <w:color w:val="000000"/>
          <w:shd w:fill="FFFFFF" w:val="clear"/>
        </w:rPr>
        <w:t xml:space="preserve"> </w:t>
      </w:r>
      <w:r>
        <w:rPr>
          <w:rFonts w:ascii="Times New Roman;sans-serif" w:hAnsi="Times New Roman;sans-serif"/>
          <w:b w:val="false"/>
          <w:color w:val="000000"/>
          <w:sz w:val="20"/>
          <w:shd w:fill="FFFFFF" w:val="clear"/>
        </w:rPr>
        <w:t xml:space="preserve">and are repayable in </w:t>
      </w:r>
      <w:r>
        <w:rPr>
          <w:rFonts w:ascii="Times New Roman;sans-serif" w:hAnsi="Times New Roman;sans-serif"/>
          <w:b w:val="false"/>
          <w:color w:val="000000"/>
          <w:sz w:val="20"/>
        </w:rPr>
        <w:t>6</w:t>
      </w:r>
      <w:r>
        <w:rPr>
          <w:color w:val="000000"/>
          <w:shd w:fill="FFFFFF" w:val="clear"/>
        </w:rPr>
        <w:t xml:space="preserve"> </w:t>
      </w:r>
      <w:r>
        <w:rPr>
          <w:rFonts w:ascii="Times New Roman;sans-serif" w:hAnsi="Times New Roman;sans-serif"/>
          <w:b w:val="false"/>
          <w:color w:val="000000"/>
          <w:sz w:val="20"/>
          <w:shd w:fill="FFFFFF" w:val="clear"/>
        </w:rPr>
        <w:t xml:space="preserve">installments, with the last installments due in </w:t>
      </w:r>
      <w:r>
        <w:rPr>
          <w:rFonts w:ascii="Times New Roman;sans-serif" w:hAnsi="Times New Roman;sans-serif"/>
          <w:b w:val="false"/>
          <w:color w:val="000000"/>
          <w:sz w:val="20"/>
        </w:rPr>
        <w:t>June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September 2024, respectively</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from Bank of Shanghai is for the purpose of funding ACM Shanghai project expenditures. The loan bears interest at an annual rate of 2.85%, and will be fully repaid in April 2025.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first loan from China CITIC Bank is for the purpose of funding ACM Shanghai project expenditures. The loan bears interest at an annual rate of 3.1% and is repayable in 4 installments, with the last installment due in August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loan from China CITIC bank is for the purpose of funding ACM's general corporate expenses and working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The loan bears interest at an annual rate of 4.50% payable quarterly, and the principal amount is repayable in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installments, with the last installment due in December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As of March 31, 2024 and December 31, 2023, the total carrying amount of long-term loans was $59,957 and $60,735, compared with an estimated fair value of $56,409 and</w:t>
      </w:r>
      <w:r>
        <w:rPr>
          <w:color w:val="000000"/>
        </w:rPr>
        <w:t xml:space="preserve"> </w:t>
      </w:r>
      <w:r>
        <w:rPr>
          <w:rFonts w:ascii="Times New Roman;sans-serif" w:hAnsi="Times New Roman;sans-serif"/>
          <w:b w:val="false"/>
          <w:color w:val="000000"/>
          <w:sz w:val="20"/>
          <w:shd w:fill="FFFFFF" w:val="clear"/>
        </w:rPr>
        <w:t>$56,462, respectively.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for the outstanding long-term loan, including the current portion, as of March 31, 2024 are as follows:</w:t>
      </w:r>
    </w:p>
    <w:tbl>
      <w:tblPr>
        <w:tblW w:w="3395" w:type="dxa"/>
        <w:jc w:val="left"/>
        <w:tblInd w:w="0" w:type="dxa"/>
        <w:tblLayout w:type="fixed"/>
        <w:tblCellMar>
          <w:top w:w="28" w:type="dxa"/>
          <w:left w:w="28" w:type="dxa"/>
          <w:bottom w:w="28" w:type="dxa"/>
          <w:right w:w="28" w:type="dxa"/>
        </w:tblCellMar>
      </w:tblPr>
      <w:tblGrid>
        <w:gridCol w:w="835"/>
        <w:gridCol w:w="736"/>
        <w:gridCol w:w="738"/>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respectively, interest related to long-term borrowings of $570 and $189 was incurred, and all of them were charged to interest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OTHER LONG-TERM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long-term liabilities represent government subsidies received from mainland China governmental authorities for development and commercialization of certain technology but not yet recognized. At March 31, 2024 and December 31, 2023, other long-term liabilities consisted of the following unearned government subsidies:</w:t>
      </w:r>
    </w:p>
    <w:tbl>
      <w:tblPr>
        <w:tblW w:w="9209" w:type="dxa"/>
        <w:jc w:val="left"/>
        <w:tblInd w:w="0" w:type="dxa"/>
        <w:tblLayout w:type="fixed"/>
        <w:tblCellMar>
          <w:top w:w="28" w:type="dxa"/>
          <w:left w:w="28" w:type="dxa"/>
          <w:bottom w:w="28" w:type="dxa"/>
          <w:right w:w="28" w:type="dxa"/>
        </w:tblCellMar>
      </w:tblPr>
      <w:tblGrid>
        <w:gridCol w:w="2175"/>
        <w:gridCol w:w="1912"/>
        <w:gridCol w:w="1914"/>
        <w:gridCol w:w="324"/>
        <w:gridCol w:w="948"/>
        <w:gridCol w:w="167"/>
        <w:gridCol w:w="380"/>
        <w:gridCol w:w="1110"/>
        <w:gridCol w:w="279"/>
      </w:tblGrid>
      <w:tr>
        <w:trPr/>
        <w:tc>
          <w:tcPr>
            <w:tcW w:w="217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Stress Free Polishing project, commenced in 2008 and 2017</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other cleaning tools, commenced in 2020</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Subsidies to SW Lingang R&amp;D development in 2021</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LONG-TERM INVESTMENTS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12, 2024, ACM Shanghai entered into an investment agreement with Company C to invest RMB 12,500 ($1,760), which represented 0.3% of the Company C's total equity interest. Since there is no readily determinable fair value, the Company measures the investments at measurement alternative.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19, 2024, ACM Shanghai entered into a limited partnership agreement with Company D to invest RMB 30,000 ($4,230), which represented 16.7% of the partnership's total equity interest. The investment in the limited partnership with Company D is accounted for under the equity method in accordance with ASC323-30-S99-1.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1715"/>
        <w:gridCol w:w="1120"/>
        <w:gridCol w:w="1130"/>
        <w:gridCol w:w="464"/>
        <w:gridCol w:w="464"/>
        <w:gridCol w:w="465"/>
        <w:gridCol w:w="407"/>
        <w:gridCol w:w="407"/>
        <w:gridCol w:w="408"/>
        <w:gridCol w:w="692"/>
        <w:gridCol w:w="692"/>
        <w:gridCol w:w="694"/>
        <w:gridCol w:w="330"/>
        <w:gridCol w:w="966"/>
        <w:gridCol w:w="251"/>
      </w:tblGrid>
      <w:tr>
        <w:trPr/>
        <w:tc>
          <w:tcPr>
            <w:tcW w:w="17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Initial investment dates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entity</w:t>
            </w:r>
          </w:p>
        </w:tc>
        <w:tc>
          <w:tcPr>
            <w:tcW w:w="2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 ownership by ACM and subsidiaries</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purchase price</w:t>
            </w:r>
          </w:p>
        </w:tc>
      </w:tr>
      <w:tr>
        <w:trPr/>
        <w:tc>
          <w:tcPr>
            <w:tcW w:w="3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 Co., Ltd. ("Ninebell")</w:t>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2017</w:t>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w:t>
            </w:r>
          </w:p>
        </w:tc>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 Semiconductor Technology Co., Ltd. ("Shengyi")</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2019</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 Chanheng Integrated Circuit Industry Venture Capital FundPartnership (LP) (“Hefei Shixi”)</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2019</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2078"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 Flucon Co. ("Wooil")</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Singapore</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($4,230)</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 (Shanghai) Co., Ltd. (“Waferworks”)</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30,000 ($4,200)</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6,100 ($860)</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6,600 ($930)</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ACM Shanghai</w:t>
            </w:r>
          </w:p>
        </w:tc>
        <w:tc>
          <w:tcPr>
            <w:tcW w:w="2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RMB 12,500 ($1,760)</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99" w:type="dxa"/>
        <w:jc w:val="left"/>
        <w:tblInd w:w="0" w:type="dxa"/>
        <w:tblLayout w:type="fixed"/>
        <w:tblCellMar>
          <w:top w:w="28" w:type="dxa"/>
          <w:left w:w="28" w:type="dxa"/>
          <w:bottom w:w="28" w:type="dxa"/>
          <w:right w:w="28" w:type="dxa"/>
        </w:tblCellMar>
      </w:tblPr>
      <w:tblGrid>
        <w:gridCol w:w="1783"/>
        <w:gridCol w:w="1561"/>
        <w:gridCol w:w="1575"/>
        <w:gridCol w:w="220"/>
        <w:gridCol w:w="642"/>
        <w:gridCol w:w="113"/>
        <w:gridCol w:w="280"/>
        <w:gridCol w:w="819"/>
        <w:gridCol w:w="206"/>
      </w:tblGrid>
      <w:tr>
        <w:trPr/>
        <w:tc>
          <w:tcPr>
            <w:tcW w:w="17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Equity investee:</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Wooil</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Hefei Shixi</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D</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Subtotal</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Investments accounted for using measurement alternative:</w:t>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Waferworks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B</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31,293</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27,880</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Company’s share of equity investees’ net loss was $520 and $32, respectively, which amounts were included in loss from equity method investments in the accompanying condensed consolidated statements of comprehensive income. For the three months ended March 31, 2024 and 2023, the Company received $600 and $0 dividends from equity investee.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 SHORT-TERM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mainland China. Subsequent to the future purchase, any investment will be held by Nuode Asset Fund and restricted for a minimum period of nine months. The limited partners of the Nuode Asset Fund contributed a total RMB 160 million ($22,160) to the fund, of which ACM Shanghai contributed RMB 30 million ($4,196), or 18.75% of the contribution on September 27,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Nuode Asset Fund purchased shares in the secondary stock offering of a publicly traded mainland China-stock listing. The number of shares owned by Nuode Asset Fund was apportioned to all of the limited partners in proportion to their respective capital contributions which is 18.75% in the case of ACM Shanghai. The investments were fully disposed in the three months ended March 31, 2024 and the Company has not received the proceeds as of March 31, 2024 with a receivable of RMB 22,478 ($3,167) was recorded.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 Share Purchase Agreement dated June 2023, ACM Shanghai acquired shares of Huahong Semiconductor Limited (“Huahong”) in July 2023 with amount of RMB 100 million ($13,930). The shares held by ACM Shanghai are restricted for sale for a minimum period of twelve months. Huahong completed its STAR IPO in August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Share Purchase Agreement dated August 2023, ACM Shanghai acquired shares of Zhongjuxin Limited Company (“Zhongjuxin”) in September 2023 with amount of RMB 30 million ($4,179). The shares held by ACM Shanghai are restricted for sale for a minimum period of twelve months. Zhongjuxin completed its STAR IPO in September 2023.</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Pursuant to a Share Purchase Agreement dated January 2024, ACM Shanghai acquired shares of Shanghai Syncrystalline Silicon Materials Co., Ltd. (“Syncrystalline”) in February 2024 with amount of RMB </w:t>
      </w:r>
      <w:r>
        <w:rPr>
          <w:rFonts w:ascii="Times New Roman;sans-serif" w:hAnsi="Times New Roman;sans-serif"/>
          <w:b w:val="false"/>
          <w:color w:val="000000"/>
          <w:sz w:val="20"/>
        </w:rPr>
        <w:t>10,000</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1,409</w:t>
      </w:r>
      <w:r>
        <w:rPr>
          <w:rFonts w:ascii="Times New Roman;sans-serif" w:hAnsi="Times New Roman;sans-serif"/>
          <w:b w:val="false"/>
          <w:color w:val="000000"/>
          <w:sz w:val="20"/>
          <w:shd w:fill="FFFFFF" w:val="clear"/>
        </w:rPr>
        <w:t xml:space="preserve">). The shares held by ACM Shanghai are restricted for sale for a minimum period of twelve months. Syncrystalline completed its STAR IPO </w:t>
      </w: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February 2024.</w:t>
      </w:r>
      <w:r>
        <w:rPr>
          <w:color w:val="000000"/>
        </w:rPr>
        <w:t xml:space="preserve"> </w:t>
      </w:r>
      <w:r>
        <w:rPr>
          <w:rFonts w:ascii="Times New Roman;sans-serif" w:hAnsi="Times New Roman;sans-serif"/>
          <w:b w:val="false"/>
          <w:color w:val="000000"/>
          <w:sz w:val="20"/>
          <w:shd w:fill="FFFFFF" w:val="clear"/>
        </w:rPr>
        <w:t xml:space="preserve">As of March 31, 2024, the Company's total investment costs in Syncrystalline were RMB 20,000($2,818), including RMB </w:t>
      </w:r>
      <w:r>
        <w:rPr>
          <w:rFonts w:ascii="Times New Roman;sans-serif" w:hAnsi="Times New Roman;sans-serif"/>
          <w:b w:val="false"/>
          <w:color w:val="000000"/>
          <w:sz w:val="20"/>
        </w:rPr>
        <w:t>10,000</w:t>
      </w:r>
      <w:r>
        <w:rPr>
          <w:color w:val="000000"/>
          <w:shd w:fill="FFFFFF" w:val="clear"/>
        </w:rPr>
        <w:t xml:space="preserve"> </w:t>
      </w:r>
      <w:r>
        <w:rPr>
          <w:rFonts w:ascii="Times New Roman;sans-serif" w:hAnsi="Times New Roman;sans-serif"/>
          <w:b w:val="false"/>
          <w:color w:val="000000"/>
          <w:sz w:val="20"/>
          <w:shd w:fill="FFFFFF" w:val="clear"/>
        </w:rPr>
        <w:t xml:space="preserve">($1,409) invested by ACM Shanghai in 2021 and RMB </w:t>
      </w:r>
      <w:r>
        <w:rPr>
          <w:rFonts w:ascii="Times New Roman;sans-serif" w:hAnsi="Times New Roman;sans-serif"/>
          <w:b w:val="false"/>
          <w:color w:val="000000"/>
          <w:sz w:val="20"/>
        </w:rPr>
        <w:t>10,000</w:t>
      </w:r>
      <w:r>
        <w:rPr>
          <w:color w:val="000000"/>
          <w:shd w:fill="FFFFFF" w:val="clear"/>
        </w:rPr>
        <w:t xml:space="preserve"> </w:t>
      </w:r>
      <w:r>
        <w:rPr>
          <w:rFonts w:ascii="Times New Roman;sans-serif" w:hAnsi="Times New Roman;sans-serif"/>
          <w:b w:val="false"/>
          <w:color w:val="000000"/>
          <w:sz w:val="20"/>
          <w:shd w:fill="FFFFFF" w:val="clear"/>
        </w:rPr>
        <w:t>($1,409) invested by ACM Shanghai in February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the components of short-term investments were as follows:</w:t>
      </w:r>
    </w:p>
    <w:tbl>
      <w:tblPr>
        <w:tblW w:w="7221"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listed in Shanghai Stock Exchange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Market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net gains (losses) recognized on equity securities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10205" w:type="dxa"/>
        <w:jc w:val="left"/>
        <w:tblInd w:w="0" w:type="dxa"/>
        <w:tblLayout w:type="fixed"/>
        <w:tblCellMar>
          <w:top w:w="28" w:type="dxa"/>
          <w:left w:w="28" w:type="dxa"/>
          <w:bottom w:w="28" w:type="dxa"/>
          <w:right w:w="28" w:type="dxa"/>
        </w:tblCellMar>
      </w:tblPr>
      <w:tblGrid>
        <w:gridCol w:w="2703"/>
        <w:gridCol w:w="2373"/>
        <w:gridCol w:w="2381"/>
        <w:gridCol w:w="291"/>
        <w:gridCol w:w="949"/>
        <w:gridCol w:w="150"/>
        <w:gridCol w:w="291"/>
        <w:gridCol w:w="850"/>
        <w:gridCol w:w="217"/>
      </w:tblGrid>
      <w:tr>
        <w:trPr/>
        <w:tc>
          <w:tcPr>
            <w:tcW w:w="2703"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recognized during the reporting period on equity securities still held at March 31</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recognized during the period on equity securities sold during the period</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gains (losses) recognized at March 31 on equity securities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Company recognized a receivable of RMB 22,478 ($3,167) from the sales of short-term investments, including a realized gain of $273.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received $11,072 in proceeds from the sale of short-term investments, including a realized gain of $3,994.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RELATED PARTY BALANCES AND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Ninebell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Ninebell is an equity investee of ACM (Note 14) and is the Company’s principal supplier of robotic delivery system subassemblies used in our single-wafer cleaning equipment. The Company purchases equipment from Ninebell for production in the ordinary course of business. The Company pays for a portion of the equipment in advance and is obligated for the remaining amounts upon receipt of the product.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Shengyi</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Shengyi is an equity investee of ACM Shanghai (Note 14)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The Company pays for a portion of the raw materials in advance and is obligated for the remaining amounts upon receipt of the product.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related party outstanding balances are short-term in nature and are expected to be settled in cash.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reflect related party transactions in our condensed consolidated financial statements:</w:t>
      </w:r>
    </w:p>
    <w:tbl>
      <w:tblPr>
        <w:tblW w:w="4574" w:type="dxa"/>
        <w:jc w:val="left"/>
        <w:tblInd w:w="0" w:type="dxa"/>
        <w:tblLayout w:type="fixed"/>
        <w:tblCellMar>
          <w:top w:w="28" w:type="dxa"/>
          <w:left w:w="28" w:type="dxa"/>
          <w:bottom w:w="28" w:type="dxa"/>
          <w:right w:w="28" w:type="dxa"/>
        </w:tblCellMar>
      </w:tblPr>
      <w:tblGrid>
        <w:gridCol w:w="831"/>
        <w:gridCol w:w="729"/>
        <w:gridCol w:w="734"/>
        <w:gridCol w:w="220"/>
        <w:gridCol w:w="642"/>
        <w:gridCol w:w="113"/>
        <w:gridCol w:w="280"/>
        <w:gridCol w:w="819"/>
        <w:gridCol w:w="20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Advances to related party</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50"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tbl>
      <w:tblPr>
        <w:tblW w:w="5125" w:type="dxa"/>
        <w:jc w:val="left"/>
        <w:tblInd w:w="0" w:type="dxa"/>
        <w:tblLayout w:type="fixed"/>
        <w:tblCellMar>
          <w:top w:w="28" w:type="dxa"/>
          <w:left w:w="28" w:type="dxa"/>
          <w:bottom w:w="28" w:type="dxa"/>
          <w:right w:w="28" w:type="dxa"/>
        </w:tblCellMar>
      </w:tblPr>
      <w:tblGrid>
        <w:gridCol w:w="711"/>
        <w:gridCol w:w="625"/>
        <w:gridCol w:w="629"/>
        <w:gridCol w:w="282"/>
        <w:gridCol w:w="966"/>
        <w:gridCol w:w="146"/>
        <w:gridCol w:w="282"/>
        <w:gridCol w:w="966"/>
        <w:gridCol w:w="146"/>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Purchase of materials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Ninebell</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183" w:type="dxa"/>
        <w:jc w:val="left"/>
        <w:tblInd w:w="0" w:type="dxa"/>
        <w:tblLayout w:type="fixed"/>
        <w:tblCellMar>
          <w:top w:w="28" w:type="dxa"/>
          <w:left w:w="28" w:type="dxa"/>
          <w:bottom w:w="28" w:type="dxa"/>
          <w:right w:w="28" w:type="dxa"/>
        </w:tblCellMar>
      </w:tblPr>
      <w:tblGrid>
        <w:gridCol w:w="734"/>
        <w:gridCol w:w="644"/>
        <w:gridCol w:w="647"/>
        <w:gridCol w:w="328"/>
        <w:gridCol w:w="561"/>
        <w:gridCol w:w="169"/>
        <w:gridCol w:w="169"/>
        <w:gridCol w:w="169"/>
        <w:gridCol w:w="169"/>
        <w:gridCol w:w="328"/>
        <w:gridCol w:w="724"/>
        <w:gridCol w:w="16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Service fee charged by</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Shengyi</w:t>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ACM issued 950,605 shares of Class A common stock upon option exercises by employees and non-employees. </w:t>
      </w:r>
    </w:p>
    <w:p>
      <w:pPr>
        <w:pStyle w:val="TextBody"/>
        <w:bidi w:val="0"/>
        <w:spacing w:lineRule="auto" w:line="288" w:before="240" w:after="283"/>
        <w:jc w:val="both"/>
        <w:rPr/>
      </w:pPr>
      <w:r>
        <w:rPr>
          <w:rFonts w:ascii="Times New Roman;sans-serif" w:hAnsi="Times New Roman;sans-serif"/>
          <w:b w:val="false"/>
          <w:color w:val="000000"/>
          <w:sz w:val="20"/>
        </w:rPr>
        <w:t xml:space="preserve">During the three months ended March 31, 2023, ACM issued </w:t>
      </w:r>
      <w:r>
        <w:rPr>
          <w:rFonts w:ascii="Times New Roman;sans-serif" w:hAnsi="Times New Roman;sans-serif"/>
          <w:b w:val="false"/>
          <w:color w:val="000000"/>
          <w:sz w:val="20"/>
          <w:shd w:fill="FFFFFF" w:val="clear"/>
        </w:rPr>
        <w:t>163,069 sha</w:t>
      </w:r>
      <w:r>
        <w:rPr>
          <w:rFonts w:ascii="Times New Roman;sans-serif" w:hAnsi="Times New Roman;sans-serif"/>
          <w:b w:val="false"/>
          <w:color w:val="000000"/>
          <w:sz w:val="20"/>
        </w:rPr>
        <w:t xml:space="preserve">res of Class A common stock upon option exercises by employees and non-employees. </w:t>
      </w:r>
    </w:p>
    <w:p>
      <w:pPr>
        <w:pStyle w:val="TextBody"/>
        <w:bidi w:val="0"/>
        <w:spacing w:lineRule="auto" w:line="288" w:before="240" w:after="283"/>
        <w:jc w:val="both"/>
        <w:rPr/>
      </w:pPr>
      <w:r>
        <w:rPr>
          <w:rFonts w:ascii="Times New Roman;sans-serif" w:hAnsi="Times New Roman;sans-serif"/>
          <w:b w:val="false"/>
          <w:color w:val="000000"/>
          <w:sz w:val="20"/>
        </w:rPr>
        <w:t>At March 31, 2024 and December 31, 2023, the number of shares of Class A common stock issued and outs</w:t>
      </w:r>
      <w:r>
        <w:rPr>
          <w:rFonts w:ascii="Times New Roman;sans-serif" w:hAnsi="Times New Roman;sans-serif"/>
          <w:b w:val="false"/>
          <w:color w:val="000000"/>
          <w:sz w:val="20"/>
          <w:shd w:fill="FFFFFF" w:val="clear"/>
        </w:rPr>
        <w:t>tanding wa</w:t>
      </w:r>
      <w:r>
        <w:rPr>
          <w:rFonts w:ascii="Times New Roman;sans-serif" w:hAnsi="Times New Roman;sans-serif"/>
          <w:b w:val="false"/>
          <w:color w:val="000000"/>
          <w:sz w:val="20"/>
        </w:rPr>
        <w:t>s 56,986,777 and 56,036,172,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number of shares of Class B common stock issued and outstanding was 5,021,811 and 5,021,811, respectively.</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ACM’s stock-based compensation consists of employee and non-employee awards issued under its 1998 Stock Option Plan and its 2016 Omnibus Incentive Plan. The vesting condition may consist of a service period condition determined by the Board of Directors for a grant or certain performance conditions determined by the Board of Directors for a grant. The fair value of the stock options granted with a service period based condition and/or performance condition is estimated at the date of grant using the Black-Scholes option pricing model. The fair value of the stock option</w:t>
      </w:r>
      <w:r>
        <w:rPr>
          <w:rFonts w:ascii="Times New Roman;sans-serif" w:hAnsi="Times New Roman;sans-serif"/>
          <w:b w:val="false"/>
          <w:color w:val="000000"/>
          <w:sz w:val="20"/>
          <w:shd w:fill="FFFFFF" w:val="clear"/>
        </w:rPr>
        <w:t xml:space="preserve">s granted with a market based condition is estimated at the date of grant using the Monte Carlo simulation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employee share option activities during the three months ended March 31, 2024:</w:t>
      </w:r>
    </w:p>
    <w:tbl>
      <w:tblPr>
        <w:tblW w:w="10197" w:type="dxa"/>
        <w:jc w:val="left"/>
        <w:tblInd w:w="0" w:type="dxa"/>
        <w:tblLayout w:type="fixed"/>
        <w:tblCellMar>
          <w:top w:w="28" w:type="dxa"/>
          <w:left w:w="28" w:type="dxa"/>
          <w:bottom w:w="28" w:type="dxa"/>
          <w:right w:w="28" w:type="dxa"/>
        </w:tblCellMar>
      </w:tblPr>
      <w:tblGrid>
        <w:gridCol w:w="1272"/>
        <w:gridCol w:w="1117"/>
        <w:gridCol w:w="1120"/>
        <w:gridCol w:w="449"/>
        <w:gridCol w:w="449"/>
        <w:gridCol w:w="451"/>
        <w:gridCol w:w="366"/>
        <w:gridCol w:w="913"/>
        <w:gridCol w:w="191"/>
        <w:gridCol w:w="522"/>
        <w:gridCol w:w="1305"/>
        <w:gridCol w:w="272"/>
        <w:gridCol w:w="518"/>
        <w:gridCol w:w="518"/>
        <w:gridCol w:w="73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Option Shares</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 xml:space="preserve"> Average Grant </w:t>
              <w:br/>
              <w:t>Date Fair Value</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Average Exercise Price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w:t>
              <w:br/>
              <w:t xml:space="preserve">Remaining </w:t>
              <w:br/>
              <w:t>Contractual Term</w:t>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9,998,637</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9.59</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6.17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(851,954)</w:t>
            </w:r>
          </w:p>
        </w:tc>
        <w:tc>
          <w:tcPr>
            <w:tcW w:w="1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(24,330)</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13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9,125,353</w:t>
            </w:r>
          </w:p>
        </w:tc>
        <w:tc>
          <w:tcPr>
            <w:tcW w:w="36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5.37</w:t>
            </w:r>
            <w:r>
              <w:rPr>
                <w:color w:val="000000"/>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9.79</w:t>
            </w:r>
            <w:r>
              <w:rPr>
                <w:color w:val="000000"/>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6.07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2024</w:t>
            </w:r>
          </w:p>
        </w:tc>
        <w:tc>
          <w:tcPr>
            <w:tcW w:w="13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5,278,784</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$24,670 and $27,152, respectively, of total unrecognized employee stock-based compensation expense, net of estimated forfeitures, related to employee stock-based awards for ACM were expected to be recognized over a weighted-average period of 3.8 years and 4.0 years, respectively. Total recognized compensation cost may be adjusted for future changes in estimated forfeitures.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intrinsic value of options exercised in the three months ended March 31, 2024 was $21,865. The aggregate intrinsic value of options outstanding and exercisable as of March 31, 2024 were $178,674 and $117,476,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to employees is estimated on the grant date using the Black-Scholes valuation with following assumptions:</w:t>
      </w:r>
    </w:p>
    <w:tbl>
      <w:tblPr>
        <w:tblW w:w="4498" w:type="dxa"/>
        <w:jc w:val="left"/>
        <w:tblInd w:w="0" w:type="dxa"/>
        <w:tblLayout w:type="fixed"/>
        <w:tblCellMar>
          <w:top w:w="28" w:type="dxa"/>
          <w:left w:w="28" w:type="dxa"/>
          <w:bottom w:w="28" w:type="dxa"/>
          <w:right w:w="28" w:type="dxa"/>
        </w:tblCellMar>
      </w:tblPr>
      <w:tblGrid>
        <w:gridCol w:w="934"/>
        <w:gridCol w:w="822"/>
        <w:gridCol w:w="823"/>
        <w:gridCol w:w="560"/>
        <w:gridCol w:w="560"/>
        <w:gridCol w:w="799"/>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share(1)</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31.92</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years(2)</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Volatility(3)</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85.48%</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rate(4)</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(5)</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(5)Expected dividend is assumed to be 0% as ACM has no history or expectation of paying a dividend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Non-employee Awards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non-employee share option activities during the three months ended March 31, 2024:</w:t>
      </w:r>
    </w:p>
    <w:tbl>
      <w:tblPr>
        <w:tblW w:w="9387" w:type="dxa"/>
        <w:jc w:val="left"/>
        <w:tblInd w:w="0" w:type="dxa"/>
        <w:tblLayout w:type="fixed"/>
        <w:tblCellMar>
          <w:top w:w="28" w:type="dxa"/>
          <w:left w:w="28" w:type="dxa"/>
          <w:bottom w:w="28" w:type="dxa"/>
          <w:right w:w="28" w:type="dxa"/>
        </w:tblCellMar>
      </w:tblPr>
      <w:tblGrid>
        <w:gridCol w:w="1272"/>
        <w:gridCol w:w="1117"/>
        <w:gridCol w:w="1120"/>
        <w:gridCol w:w="449"/>
        <w:gridCol w:w="449"/>
        <w:gridCol w:w="451"/>
        <w:gridCol w:w="362"/>
        <w:gridCol w:w="904"/>
        <w:gridCol w:w="189"/>
        <w:gridCol w:w="343"/>
        <w:gridCol w:w="857"/>
        <w:gridCol w:w="179"/>
        <w:gridCol w:w="496"/>
        <w:gridCol w:w="496"/>
        <w:gridCol w:w="703"/>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 xml:space="preserve">Option Shares </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 Term</w:t>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3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1,170,795</w:t>
            </w:r>
          </w:p>
        </w:tc>
        <w:tc>
          <w:tcPr>
            <w:tcW w:w="3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0.42</w:t>
            </w:r>
            <w:r>
              <w:rPr>
                <w:color w:val="000000"/>
              </w:rPr>
              <w:t> </w:t>
            </w:r>
          </w:p>
        </w:tc>
        <w:tc>
          <w:tcPr>
            <w:tcW w:w="18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w:t>
            </w:r>
            <w:r>
              <w:rPr>
                <w:color w:val="000000"/>
              </w:rPr>
              <w:t>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2.66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(98,651)</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14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1,070,241</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0.44</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1.39</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2.51 years</w:t>
            </w:r>
          </w:p>
        </w:tc>
      </w:tr>
      <w:tr>
        <w:trPr/>
        <w:tc>
          <w:tcPr>
            <w:tcW w:w="35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2024</w:t>
            </w:r>
          </w:p>
        </w:tc>
        <w:tc>
          <w:tcPr>
            <w:tcW w:w="1349"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1,070,241</w:t>
            </w:r>
          </w:p>
        </w:tc>
        <w:tc>
          <w:tcPr>
            <w:tcW w:w="14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$0 and $9, respectively, of total unrecognized non-employee stock-based compensation expense, net of estimated forfeitures, related to stock-based awards were expected to be recognized over a weighted-average period of 0 years and 0.2 years, respectively. Total recognized compensation cost may be adjusted for future changes in estimated forfeitures.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intrinsic value of options exercised in the three months ended March 31, 2024 was $2,756. The aggregate intrinsic value of options outstanding and exercisable as of March 31, 2024 was $29,702.</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ACM Shanghai 2019 Option Grants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ACM Shanghai adopted a 2019 Stock Option Incentive Plan (the “2019 Subsidiary Stock Option Plan”) that provides for, among other incentives, the granting to officers, directors, and employees of options to purchase shares of ACM Shanghai’s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activities of the ACM Shanghai 2019 Subsidiary Stock Option Plan during the three months ended March 31, 2024:</w:t>
      </w:r>
    </w:p>
    <w:tbl>
      <w:tblPr>
        <w:tblW w:w="9552" w:type="dxa"/>
        <w:jc w:val="left"/>
        <w:tblInd w:w="0" w:type="dxa"/>
        <w:tblLayout w:type="fixed"/>
        <w:tblCellMar>
          <w:top w:w="28" w:type="dxa"/>
          <w:left w:w="28" w:type="dxa"/>
          <w:bottom w:w="28" w:type="dxa"/>
          <w:right w:w="28" w:type="dxa"/>
        </w:tblCellMar>
      </w:tblPr>
      <w:tblGrid>
        <w:gridCol w:w="1272"/>
        <w:gridCol w:w="1117"/>
        <w:gridCol w:w="1120"/>
        <w:gridCol w:w="504"/>
        <w:gridCol w:w="504"/>
        <w:gridCol w:w="506"/>
        <w:gridCol w:w="362"/>
        <w:gridCol w:w="904"/>
        <w:gridCol w:w="189"/>
        <w:gridCol w:w="343"/>
        <w:gridCol w:w="857"/>
        <w:gridCol w:w="179"/>
        <w:gridCol w:w="496"/>
        <w:gridCol w:w="496"/>
        <w:gridCol w:w="703"/>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 Shares in</w:t>
              <w:br/>
              <w:t>ACM Shanghai</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Weighted</w:t>
              <w:br/>
              <w:t>Average Grant</w:t>
              <w:br/>
              <w:t>Date Fair Value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Remaining</w:t>
              <w:br/>
              <w:t>Contractual Term</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3,134,883</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(92,308)</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3,042,575</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0.24</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0.65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2024</w:t>
            </w:r>
          </w:p>
        </w:tc>
        <w:tc>
          <w:tcPr>
            <w:tcW w:w="15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3,042,575</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intrinsic value of options exercised in the three months ended March 31, 2024 was $0. The aggregate intrinsic value of options outstanding and exercisable as of March 31, 2024 was $31,616.</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shd w:fill="FFFFFF" w:val="clear"/>
        </w:rPr>
        <w:t>ACM Shanghai 2023 Option Grants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ACM Shanghai adopted a 2023 Stock Option Incentive Plan (the "2023 Subsidiary Stock Option Plan”) that provides for, among other incentives, the granting to officers, directors, and employees of options to purchase shares of ACM Shanghai’s common stock. The vesting conditions consist of service periods conditions and performance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 to certain sales and research and development progress targets determined by the Board of Directors of ACM Shanghai.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ACM Shanghai 2023 Subsidiary Stock Option Plan’s stock option activities during the three months ended March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3"/>
        <w:gridCol w:w="820"/>
        <w:gridCol w:w="822"/>
        <w:gridCol w:w="934"/>
        <w:gridCol w:w="881"/>
        <w:gridCol w:w="884"/>
        <w:gridCol w:w="109"/>
        <w:gridCol w:w="109"/>
        <w:gridCol w:w="109"/>
        <w:gridCol w:w="314"/>
        <w:gridCol w:w="785"/>
        <w:gridCol w:w="164"/>
        <w:gridCol w:w="109"/>
        <w:gridCol w:w="109"/>
        <w:gridCol w:w="109"/>
        <w:gridCol w:w="297"/>
        <w:gridCol w:w="742"/>
        <w:gridCol w:w="155"/>
        <w:gridCol w:w="109"/>
        <w:gridCol w:w="109"/>
        <w:gridCol w:w="109"/>
        <w:gridCol w:w="435"/>
        <w:gridCol w:w="435"/>
        <w:gridCol w:w="62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 Shares in ACM Shanghai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Weighted</w:t>
              <w:br/>
              <w:t>Average Grant</w:t>
              <w:br/>
              <w:t>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Remaining</w:t>
              <w:br/>
              <w:t>Contractual Term</w:t>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10,575,500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9.49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3.09 years</w:t>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Forfeited/cancelled</w:t>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(84,000)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9.49 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10,491,500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9.12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7.01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2.84 years</w:t>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March 31, 2024</w:t>
            </w:r>
          </w:p>
        </w:tc>
        <w:tc>
          <w:tcPr>
            <w:tcW w:w="26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During the three months ended March 31, 2024, ACM Shanghai did not grant any options from the 2023 Subsidiary Stock Option Plan. As of March 31, 2024 and December 31, 2023, $</w:t>
      </w:r>
      <w:r>
        <w:rPr>
          <w:rFonts w:ascii="Times New Roman;sans-serif" w:hAnsi="Times New Roman;sans-serif"/>
          <w:b w:val="false"/>
          <w:color w:val="000000"/>
          <w:sz w:val="20"/>
          <w:shd w:fill="FFFFFF" w:val="clear"/>
        </w:rPr>
        <w:t>65,682 and</w:t>
      </w:r>
      <w:r>
        <w:rPr>
          <w:color w:val="000000"/>
        </w:rPr>
        <w:t xml:space="preserve"> </w:t>
      </w:r>
      <w:r>
        <w:rPr>
          <w:rFonts w:ascii="Times New Roman;sans-serif" w:hAnsi="Times New Roman;sans-serif"/>
          <w:b w:val="false"/>
          <w:color w:val="000000"/>
          <w:sz w:val="20"/>
        </w:rPr>
        <w:t xml:space="preserve">$79,882, respectively, of total unrecognized non-employee stock-based compensation expense, net of estimated forfeitures, related to ACM Shanghai stock-based awards were expected to be recognized over a weighted-average period of 1.8 years and 2.1 years, respectively. Total recognized compensation cost may be adjusted for future changes in estimated forfeitures.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intrinsic value of options exercised in the three months ended March 31, 2024 was $0. The aggregate intrinsic value of options outstanding and exercisable as of March 31, 2024 were $54,686 and $0,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stock-based compensation expense included in the condensed consolidated statements of comprehensive income:</w:t>
      </w:r>
    </w:p>
    <w:p>
      <w:pPr>
        <w:pStyle w:val="TextBody"/>
        <w:bidi w:val="0"/>
        <w:spacing w:before="0" w:after="0"/>
        <w:jc w:val="both"/>
        <w:rPr/>
      </w:pPr>
      <w:r>
        <w:rPr/>
      </w:r>
    </w:p>
    <w:tbl>
      <w:tblPr>
        <w:tblW w:w="6056" w:type="dxa"/>
        <w:jc w:val="left"/>
        <w:tblInd w:w="0" w:type="dxa"/>
        <w:tblLayout w:type="fixed"/>
        <w:tblCellMar>
          <w:top w:w="28" w:type="dxa"/>
          <w:left w:w="28" w:type="dxa"/>
          <w:bottom w:w="28" w:type="dxa"/>
          <w:right w:w="28" w:type="dxa"/>
        </w:tblCellMar>
      </w:tblPr>
      <w:tblGrid>
        <w:gridCol w:w="1168"/>
        <w:gridCol w:w="1026"/>
        <w:gridCol w:w="1031"/>
        <w:gridCol w:w="295"/>
        <w:gridCol w:w="1011"/>
        <w:gridCol w:w="152"/>
        <w:gridCol w:w="295"/>
        <w:gridCol w:w="863"/>
        <w:gridCol w:w="215"/>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1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w:t>
            </w:r>
          </w:p>
        </w:tc>
        <w:tc>
          <w:tcPr>
            <w:tcW w:w="130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1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95" w:type="dxa"/>
        <w:jc w:val="left"/>
        <w:tblInd w:w="0" w:type="dxa"/>
        <w:tblLayout w:type="fixed"/>
        <w:tblCellMar>
          <w:top w:w="28" w:type="dxa"/>
          <w:left w:w="28" w:type="dxa"/>
          <w:bottom w:w="28" w:type="dxa"/>
          <w:right w:w="28" w:type="dxa"/>
        </w:tblCellMar>
      </w:tblPr>
      <w:tblGrid>
        <w:gridCol w:w="1365"/>
        <w:gridCol w:w="1198"/>
        <w:gridCol w:w="1201"/>
        <w:gridCol w:w="295"/>
        <w:gridCol w:w="1011"/>
        <w:gridCol w:w="152"/>
        <w:gridCol w:w="295"/>
        <w:gridCol w:w="863"/>
        <w:gridCol w:w="215"/>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 by type:</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stock purchase plan</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and 2023 Subsidiary option grants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and foreign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ACM Shanghai has shown a three-year historical cumulative profit and has projections of future income. As a result, the Company does not maintain a valuation allowance.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global intangible low-taxed income (GILTI) inclusions, and R&amp;D super deduction. As a result, the Company recorded income tax expense of</w:t>
      </w:r>
      <w:r>
        <w:rPr>
          <w:color w:val="000000"/>
          <w:shd w:fill="FFFFFF" w:val="clear"/>
        </w:rPr>
        <w:t xml:space="preserve"> </w:t>
      </w:r>
      <w:r>
        <w:rPr>
          <w:rFonts w:ascii="Times New Roman;sans-serif" w:hAnsi="Times New Roman;sans-serif"/>
          <w:b w:val="false"/>
          <w:color w:val="000000"/>
          <w:sz w:val="20"/>
          <w:shd w:fill="FFFFFF" w:val="clear"/>
        </w:rPr>
        <w:t>$4,369 and $2,879</w:t>
      </w:r>
      <w:r>
        <w:rPr>
          <w:color w:val="000000"/>
        </w:rPr>
        <w:t xml:space="preserve"> </w:t>
      </w:r>
      <w:r>
        <w:rPr>
          <w:rFonts w:ascii="Times New Roman;sans-serif" w:hAnsi="Times New Roman;sans-serif"/>
          <w:b w:val="false"/>
          <w:color w:val="000000"/>
          <w:sz w:val="20"/>
        </w:rPr>
        <w:t xml:space="preserve">during the three months ended March 31, 2024 and 2023, respectively. The decrease in the Company's effective income tax rate for the three months ended March 31, 2024 compared to the same period of the prior year was primarily due to an increased benefit from certain permanent deductions in a foreign jurisdiction.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had total unrecognized tax benefits of $13,026 as of both March 31, 2024 and December 31, 2023. If recognized, the net impact to effective rate, after indirect offset, would be $12,943. The Company did not expect any reversal of unrecognized tax benefits in the next 12 months. The Company will recognize interest and penalties, when they occur, related to uncertain tax provisions as a component of tax expense. For the three months ended March 31, 2024 and 2023, $338 a</w:t>
      </w:r>
      <w:r>
        <w:rPr>
          <w:rFonts w:ascii="Times New Roman;sans-serif" w:hAnsi="Times New Roman;sans-serif"/>
          <w:b w:val="false"/>
          <w:color w:val="000000"/>
          <w:sz w:val="20"/>
          <w:shd w:fill="FFFFFF" w:val="clear"/>
        </w:rPr>
        <w:t xml:space="preserve">nd $284 of </w:t>
      </w:r>
      <w:r>
        <w:rPr>
          <w:rFonts w:ascii="Times New Roman;sans-serif" w:hAnsi="Times New Roman;sans-serif"/>
          <w:b w:val="false"/>
          <w:color w:val="000000"/>
          <w:sz w:val="20"/>
        </w:rPr>
        <w:t>interest and penalties was recognized,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the United States, state, and foreign jurisdictions. All tax returns will remain open for examination by the federal and state authorities for three and four years, respectively, from the date of utilization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 or credits. Certain tax years are subject to foreign income tax examinations by tax authorities until the statute of limitations expire.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four principal mainland China subsidiaries, ACM Shanghai, ACM Wuxi, ACM Beijing and ACM Lingang, are liable for mainland China corporate income taxes at the rates of 15%, 25%, 25% and 15%, respectively. Pursuant to the Corporate Income Tax Law of mainland China, ACM’s mainland China subsidiaries generally would be liable for mainland China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and is expected to be re-certified for future years in 2024. In 2022, ACM Shanghai was certified as an eligible integrated circuit production enterprise and was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as follows:</w:t>
      </w:r>
    </w:p>
    <w:tbl>
      <w:tblPr>
        <w:tblW w:w="5365" w:type="dxa"/>
        <w:jc w:val="left"/>
        <w:tblInd w:w="0" w:type="dxa"/>
        <w:tblLayout w:type="fixed"/>
        <w:tblCellMar>
          <w:top w:w="28" w:type="dxa"/>
          <w:left w:w="28" w:type="dxa"/>
          <w:bottom w:w="28" w:type="dxa"/>
          <w:right w:w="28" w:type="dxa"/>
        </w:tblCellMar>
      </w:tblPr>
      <w:tblGrid>
        <w:gridCol w:w="799"/>
        <w:gridCol w:w="700"/>
        <w:gridCol w:w="706"/>
        <w:gridCol w:w="291"/>
        <w:gridCol w:w="953"/>
        <w:gridCol w:w="150"/>
        <w:gridCol w:w="291"/>
        <w:gridCol w:w="953"/>
        <w:gridCol w:w="150"/>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20 – COMMITMENTS AND CONTINGENCIES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offices under non-cancelable operating lease agreements. See Note 11 for future minimum lease payments under non-cancelable operating lease agreements with initial terms of one year or more.</w:t>
      </w:r>
    </w:p>
    <w:p>
      <w:pPr>
        <w:pStyle w:val="TextBody"/>
        <w:bidi w:val="0"/>
        <w:spacing w:lineRule="auto" w:line="288" w:before="240" w:after="283"/>
        <w:jc w:val="both"/>
        <w:rPr/>
      </w:pPr>
      <w:r>
        <w:rPr>
          <w:rFonts w:ascii="Times New Roman;sans-serif" w:hAnsi="Times New Roman;sans-serif"/>
          <w:b w:val="false"/>
          <w:color w:val="000000"/>
          <w:sz w:val="20"/>
        </w:rPr>
        <w:t xml:space="preserve">As of March 31, 2024, the Company had $24,285 of open capital commitments to construction contracts and had additional </w:t>
      </w:r>
      <w:r>
        <w:rPr>
          <w:rFonts w:ascii="Times New Roman;sans-serif" w:hAnsi="Times New Roman;sans-serif"/>
          <w:b w:val="false"/>
          <w:color w:val="000000"/>
          <w:sz w:val="20"/>
          <w:shd w:fill="FFFFFF" w:val="clear"/>
        </w:rPr>
        <w:t>$1,409</w:t>
      </w:r>
      <w:r>
        <w:rPr>
          <w:color w:val="000000"/>
        </w:rPr>
        <w:t xml:space="preserve"> </w:t>
      </w:r>
      <w:r>
        <w:rPr>
          <w:rFonts w:ascii="Times New Roman;sans-serif" w:hAnsi="Times New Roman;sans-serif"/>
          <w:b w:val="false"/>
          <w:color w:val="000000"/>
          <w:sz w:val="20"/>
        </w:rPr>
        <w:t xml:space="preserve">of capital investment commitments.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the Company had $30,936 of open commitments to construction contracts and had additional $7,413 of capital investment commitments.</w:t>
      </w:r>
    </w:p>
    <w:p>
      <w:pPr>
        <w:pStyle w:val="TextBody"/>
        <w:bidi w:val="0"/>
        <w:spacing w:lineRule="auto" w:line="288" w:before="240" w:after="283"/>
        <w:jc w:val="both"/>
        <w:rPr/>
      </w:pPr>
      <w:r>
        <w:rPr>
          <w:rFonts w:ascii="Times New Roman;sans-serif" w:hAnsi="Times New Roman;sans-serif"/>
          <w:b w:val="false"/>
          <w:color w:val="000000"/>
          <w:sz w:val="20"/>
        </w:rPr>
        <w:t>Covenants in ACM Lingang’s Grant Contract for State-owned Constructio</w:t>
      </w:r>
      <w:r>
        <w:rPr>
          <w:rFonts w:ascii="Times New Roman;sans-serif" w:hAnsi="Times New Roman;sans-serif"/>
          <w:b w:val="false"/>
          <w:color w:val="000000"/>
          <w:sz w:val="20"/>
          <w:shd w:fill="FFFFFF" w:val="clear"/>
        </w:rPr>
        <w:t>n Land Use Right in Shanghai City (Category of R&amp;D Headquarters and Industrial Projects) with the China (Shanghai) Pilot Free Trade Zone Lingang Special Area Administration require, among other things, that ACM Lingang pay liquidated damages in the event that (a) it</w:t>
      </w:r>
      <w:r>
        <w:rPr>
          <w:color w:val="000000"/>
        </w:rPr>
        <w:t xml:space="preserve"> </w:t>
      </w:r>
      <w:r>
        <w:rPr>
          <w:rFonts w:ascii="Times New Roman;sans-serif" w:hAnsi="Times New Roman;sans-serif"/>
          <w:b w:val="false"/>
          <w:color w:val="000000"/>
          <w:sz w:val="20"/>
        </w:rPr>
        <w:t xml:space="preserve">does not make a total investment (including the costs of construction, fixtures, equipment and grant fees) of at least RMB 450.0 million ($62,600) or (b) within six years after the land use right is obtained,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March 31, 2024 and December 31, 2023, the Company had paid in total $132,014 and $116,932, respectively for its Lingang-related investments. The Construction Completion Milestone was required to be met by January 9, 2024 but was not achieved. However, ACM Lingang believes it will receive the refund without penalty based on its explanation to the respective regulatory authorities of logistics-related delays, and expects that it will meet the milestone before July 9, 2024. The Company cannot guarantee that ACM Lingang will achieve the missed milestone in 2024, or even if it does achieve the milestone in 2024, that it will be refunded some or all of the 20% portion of the performance deposit of RMB </w:t>
      </w:r>
      <w:r>
        <w:rPr>
          <w:rFonts w:ascii="Times New Roman;sans-serif" w:hAnsi="Times New Roman;sans-serif"/>
          <w:b w:val="false"/>
          <w:color w:val="000000"/>
          <w:sz w:val="20"/>
        </w:rPr>
        <w:t xml:space="preserve">2.5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($0.4</w:t>
      </w:r>
      <w:r>
        <w:rPr>
          <w:color w:val="000000"/>
        </w:rPr>
        <w:t xml:space="preserve"> </w:t>
      </w:r>
      <w:r>
        <w:rPr>
          <w:rFonts w:ascii="Times New Roman;sans-serif" w:hAnsi="Times New Roman;sans-serif"/>
          <w:b w:val="false"/>
          <w:color w:val="000000"/>
          <w:sz w:val="20"/>
        </w:rPr>
        <w:t>million).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In the normal course of business, the Co</w:t>
      </w:r>
      <w:r>
        <w:rPr>
          <w:rFonts w:ascii="Times New Roman;sans-serif" w:hAnsi="Times New Roman;sans-serif"/>
          <w:b w:val="false"/>
          <w:color w:val="000000"/>
          <w:sz w:val="20"/>
        </w:rPr>
        <w:t xml:space="preserve">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ACM RESEARCH,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percentage and per share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making these assessments including past history, scientific evidence and the specifics of each matter. Some of these contingencies involve claims that are subject to substantial uncertainties and un-estimable damages.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such proceedings and claims that existed as of March 31, 2024 and December 31, 2023. In the opinion of management, no provision for liability nor disclosure was required as of March 31, 2024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no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 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developing,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geographical reporting, revenue by geographic location is determined by the location of customers’ facilities to which products were shipped. Long-lived assets consist primarily of property, plant and equipment, land use right, and right-of-use assets and are attributed to the geographic location in which they are located.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by geographic region as of the periods ended were as follows:</w:t>
      </w:r>
    </w:p>
    <w:tbl>
      <w:tblPr>
        <w:tblW w:w="5239" w:type="dxa"/>
        <w:jc w:val="left"/>
        <w:tblInd w:w="0" w:type="dxa"/>
        <w:tblLayout w:type="fixed"/>
        <w:tblCellMar>
          <w:top w:w="28" w:type="dxa"/>
          <w:left w:w="28" w:type="dxa"/>
          <w:bottom w:w="28" w:type="dxa"/>
          <w:right w:w="28" w:type="dxa"/>
        </w:tblCellMar>
      </w:tblPr>
      <w:tblGrid>
        <w:gridCol w:w="1004"/>
        <w:gridCol w:w="884"/>
        <w:gridCol w:w="886"/>
        <w:gridCol w:w="211"/>
        <w:gridCol w:w="841"/>
        <w:gridCol w:w="109"/>
        <w:gridCol w:w="228"/>
        <w:gridCol w:w="910"/>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geography:</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Mainland China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209,725 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Korea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United States</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244,097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223,191</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22 – STATUTORY SURPLUS RESERVE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$30,060 as of both March 31, 2024 and December 31, 2023, and is presented as statutory surplus reserve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2023, or our 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82.1%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of ACM Shanghai is subject to complex laws and regulations in mainland China that can change quickly with little or no advance notice. To date, beyond the COVID-19-related restrictions in 2022, we have not experienced such intervention or influence by mainland China central government authorities or a change in those authorities’ rules and regulations that have had a material impact on ACM Shanghai or ACM Research.</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chart depicts our corporate organization as of March 31, 2024:</w:t>
      </w:r>
    </w:p>
    <w:p>
      <w:pPr>
        <w:pStyle w:val="TextBody"/>
        <w:bidi w:val="0"/>
        <w:spacing w:before="240" w:after="283"/>
        <w:jc w:val="left"/>
        <w:rPr/>
      </w:pPr>
      <w:r>
        <w:rPr/>
        <w:drawing>
          <wp:inline distT="0" distB="0" distL="0" distR="0">
            <wp:extent cx="6286500" cy="232410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6286500" cy="232410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detailed description of how cash is transferred through our organization is set forth under “Note 2 – Summary of Significant Accounting Policies – Cash and Cash Equivalents” to the Condensed Consolidated Financial Statements of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Annual Report for more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Past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 —Risks Related to International Aspects of Our Business”</w:t>
      </w:r>
      <w:r>
        <w:rPr>
          <w:color w:val="000000"/>
        </w:rPr>
        <w:t xml:space="preserve"> </w:t>
      </w:r>
      <w:r>
        <w:rPr>
          <w:rFonts w:ascii="Times New Roman;sans-serif" w:hAnsi="Times New Roman;sans-serif"/>
          <w:b w:val="false"/>
          <w:color w:val="000000"/>
          <w:sz w:val="20"/>
        </w:rPr>
        <w:t>in our Annual Report for more informa</w:t>
      </w:r>
      <w:r>
        <w:rPr>
          <w:rFonts w:ascii="Times New Roman;sans-serif" w:hAnsi="Times New Roman;sans-serif"/>
          <w:b w:val="false"/>
          <w:color w:val="000000"/>
          <w:sz w:val="20"/>
          <w:shd w:fill="FFFFFF" w:val="clear"/>
        </w:rPr>
        <w:t>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Since 2009 we have</w:t>
      </w:r>
      <w:r>
        <w:rPr>
          <w:color w:val="000000"/>
        </w:rPr>
        <w:t xml:space="preserve"> </w:t>
      </w:r>
      <w:r>
        <w:rPr>
          <w:rFonts w:ascii="Times New Roman;sans-serif" w:hAnsi="Times New Roman;sans-serif"/>
          <w:b w:val="false"/>
          <w:color w:val="000000"/>
          <w:sz w:val="20"/>
        </w:rPr>
        <w:t>delivered more than 850 tools to our customers, more than 705 of which we</w:t>
      </w:r>
      <w:r>
        <w:rPr>
          <w:rFonts w:ascii="Times New Roman;sans-serif" w:hAnsi="Times New Roman;sans-serif"/>
          <w:b w:val="false"/>
          <w:color w:val="000000"/>
          <w:sz w:val="20"/>
          <w:shd w:fill="FFFFFF" w:val="clear"/>
        </w:rPr>
        <w:t>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ACM Shanghai Proposed Dividend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ACM Research's principal operating subsidiary, ACM Shanghai (SSEC: 688082.SS), announced in a filing with the Shanghai Stock Exchange a proposal to pay a cash dividend of RMB 0.627 per share or an aggregate total of approximately RMB 273.2 million (approximately $38.5 million) to the stockholders of ACM Shanghai. The proposed dividend is subject to approval by ACM Shanghai’s stockholders at ACM Shanghai’s annual stockholder meeting expected to be held in June 2024. ACM Research owns 82.1% of the outstanding shares of ACM Shanghai. It is possible that the proposed dividend may not be approved by ACM Shanghai’s stockholders, or that ACM Shanghai may not pay the dividend, even if approved, and even if approved and paid, the net amount and the timing of any proceeds to be repatriated by ACM Research to the United States would be uncertain. If the proposed dividend is approved and paid, ACM Research estimates that it would intend to use the net proceeds, if any, for working capital and general corporate purposes.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ACM Shanghai Proposed Private Offering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January 2024, ACM Research announced that ACM Shanghai intends to offer up to 43.6 million of its ordinary shares, subject to market conditions,</w:t>
      </w:r>
      <w:r>
        <w:rPr>
          <w:color w:val="000000"/>
          <w:shd w:fill="FFFFFF" w:val="clear"/>
        </w:rPr>
        <w:t xml:space="preserve"> </w:t>
      </w:r>
      <w:r>
        <w:rPr>
          <w:rFonts w:ascii="Times New Roman;sans-serif" w:hAnsi="Times New Roman;sans-serif"/>
          <w:b w:val="false"/>
          <w:color w:val="000000"/>
          <w:sz w:val="20"/>
          <w:shd w:fill="FFFFFF" w:val="clear"/>
        </w:rPr>
        <w:t xml:space="preserve">the approval of ACM Shanghai’s stockholders, completion of the review process by the Shanghai Stock Exchange, completion of the registration process by the China Securities Regulatory Commission, </w:t>
      </w:r>
      <w:r>
        <w:rPr>
          <w:rFonts w:ascii="Times New Roman;sans-serif" w:hAnsi="Times New Roman;sans-serif"/>
          <w:b w:val="false"/>
          <w:color w:val="000000"/>
          <w:sz w:val="20"/>
        </w:rPr>
        <w:t>and other factors, in a private offering to qualified buyers, in compliance with the requirements of the China Securities Regulatory Commission, which would constitute up to 10% of ACM Shanghai’s share capital prior to the transaction (the “Private Offering”).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estimates that if consummated in full, the proposed Private Offering would generate gross proceeds of up to RMB 4.5 billion ($625 million) to ACM Shanghai, whose management would have broad discretion over the use of such proceeds. It is unlikely that any of such proceeds would be distributed to ACM Research, and that its equity interest in ACM Shanghai would decline from 82.1% to approximately 74.6%. As of March 31, 2024 and the date of this report, the proposed Private Offering has not been completed.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Mainland China Government Research and Development Funding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 has received eight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electrocopper-plating technology. The fourth grant was made in June 2018 and related to development of polytetrafluoroethylene. The fifth grant was made in 2020, and relates to the development of Tahoe single bench cleaning technologies.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Research (Lingang), Inc., or ACM Lingang are also required to invest certain amounts in the projects. The eighth grant was made in 2022, and relates to the development of 300 mm cleaning and drying equipment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comprehensive income as follows:</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 xml:space="preserve">Government subsidies relating to current expenses are recorded as reductions of those expenses in the periods in which the current expenses are recorded. For the three months ended March 31, 2024 and 2023, related government subsidies recognized as reductions of relevant expenses in the condensed consolidated statements of comprehensive income were $0.4 million and $0.5 million, respectively. </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 xml:space="preserve">Government subsidies related to depreciable assets are credited to income over the useful lives of the related assets for which the grant was received. For the three months ended March 31, 2024 and 2023, related government subsidies recognized as other income in the condensed consolidated statements of comprehensive income were $81,000 and $78,000, respectively. </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 xml:space="preserve">Government subsidies related to tax refund and others are recorded as other income in the periods as incurred. For the three months ended March 31, 2024 and 2023, related government subsidies recognized as other income in the condensed consolidated statements of comprehensive income were $1.7 million and $0.1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Interests</w:t>
      </w:r>
    </w:p>
    <w:p>
      <w:pPr>
        <w:pStyle w:val="TextBody"/>
        <w:bidi w:val="0"/>
        <w:spacing w:lineRule="auto" w:line="288" w:before="240" w:after="283"/>
        <w:jc w:val="both"/>
        <w:rPr/>
      </w:pPr>
      <w:r>
        <w:rPr>
          <w:rFonts w:ascii="Times New Roman;sans-serif" w:hAnsi="Times New Roman;sans-serif"/>
          <w:b w:val="false"/>
          <w:color w:val="000000"/>
          <w:sz w:val="20"/>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w:t>
      </w:r>
      <w:r>
        <w:rPr>
          <w:rFonts w:ascii="Times New Roman;sans-serif" w:hAnsi="Times New Roman;sans-serif"/>
          <w:b w:val="false"/>
          <w:color w:val="000000"/>
          <w:sz w:val="20"/>
          <w:shd w:fill="FFFFFF" w:val="clear"/>
        </w:rPr>
        <w:t>s. However, in May 2023, ACM Research's ownership declined to 82.1% due to the exercise of 2,150,309 stock options related to ACM Shanghai shares. As a result, we reflect the portion of our net income allocable to the minority holders of ACM Shanghai sha</w:t>
      </w:r>
      <w:r>
        <w:rPr>
          <w:rFonts w:ascii="Times New Roman;sans-serif" w:hAnsi="Times New Roman;sans-serif"/>
          <w:b w:val="false"/>
          <w:color w:val="000000"/>
          <w:sz w:val="20"/>
        </w:rPr>
        <w:t>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Annual Report, describe the significant accounting policies and methods used in the preparation of the Company’s condensed consolidated financial statements. There have been no material changes to the Company’s critical accounting estimates included in our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discussion of recent accounting pronouncements is included in our Annual Report and is updated in Note 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following table sets forth our results of operations for the periods presented,</w:t>
      </w:r>
      <w:r>
        <w:rPr>
          <w:color w:val="000000"/>
        </w:rPr>
        <w:t xml:space="preserve"> </w:t>
      </w:r>
      <w:r>
        <w:rPr>
          <w:rFonts w:ascii="Times New Roman;sans-serif" w:hAnsi="Times New Roman;sans-serif"/>
          <w:b w:val="false"/>
          <w:color w:val="000000"/>
          <w:sz w:val="20"/>
        </w:rPr>
        <w:t>as percentages of revenue.</w:t>
      </w:r>
    </w:p>
    <w:tbl>
      <w:tblPr>
        <w:tblW w:w="8231" w:type="dxa"/>
        <w:jc w:val="left"/>
        <w:tblInd w:w="0" w:type="dxa"/>
        <w:tblLayout w:type="fixed"/>
        <w:tblCellMar>
          <w:top w:w="28" w:type="dxa"/>
          <w:left w:w="28" w:type="dxa"/>
          <w:bottom w:w="28" w:type="dxa"/>
          <w:right w:w="28" w:type="dxa"/>
        </w:tblCellMar>
      </w:tblPr>
      <w:tblGrid>
        <w:gridCol w:w="1715"/>
        <w:gridCol w:w="1512"/>
        <w:gridCol w:w="1543"/>
        <w:gridCol w:w="352"/>
        <w:gridCol w:w="264"/>
        <w:gridCol w:w="579"/>
        <w:gridCol w:w="233"/>
        <w:gridCol w:w="233"/>
        <w:gridCol w:w="233"/>
        <w:gridCol w:w="352"/>
        <w:gridCol w:w="264"/>
        <w:gridCol w:w="579"/>
        <w:gridCol w:w="109"/>
        <w:gridCol w:w="109"/>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margin</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operating expenses, net</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from operations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income</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ACM Research, Inc.</w:t>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Three Months Ended March 31, 2024 and 2023</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95"/>
        <w:gridCol w:w="1302"/>
        <w:gridCol w:w="1313"/>
        <w:gridCol w:w="224"/>
        <w:gridCol w:w="895"/>
        <w:gridCol w:w="115"/>
        <w:gridCol w:w="115"/>
        <w:gridCol w:w="115"/>
        <w:gridCol w:w="115"/>
        <w:gridCol w:w="224"/>
        <w:gridCol w:w="783"/>
        <w:gridCol w:w="115"/>
        <w:gridCol w:w="109"/>
        <w:gridCol w:w="109"/>
        <w:gridCol w:w="109"/>
        <w:gridCol w:w="315"/>
        <w:gridCol w:w="316"/>
        <w:gridCol w:w="651"/>
        <w:gridCol w:w="109"/>
        <w:gridCol w:w="109"/>
        <w:gridCol w:w="109"/>
        <w:gridCol w:w="277"/>
        <w:gridCol w:w="969"/>
        <w:gridCol w:w="212"/>
      </w:tblGrid>
      <w:tr>
        <w:trPr/>
        <w:tc>
          <w:tcPr>
            <w:tcW w:w="14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77,935 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wafer cleaning, Tahoe and semi-critical cleaning equipment</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72,856 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ECP (front-end and packaging), furnace and other technologies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packaging (excluding ECP), services &amp; spares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by Product Category</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152,191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74,256</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105.0</w:t>
            </w:r>
            <w:r>
              <w:rPr>
                <w:color w:val="000000"/>
              </w:rPr>
              <w:t> </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77,935</w:t>
            </w: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The increase in revenue for three months ended March 31, 2024 as co</w:t>
      </w:r>
      <w:r>
        <w:rPr>
          <w:rFonts w:ascii="Times New Roman;sans-serif" w:hAnsi="Times New Roman;sans-serif"/>
          <w:b w:val="false"/>
          <w:color w:val="000000"/>
          <w:sz w:val="20"/>
        </w:rPr>
        <w:t>mpared to the same period in 2023 reflects higher sales of single wafer cleaning, Tahoe and semi-critical cleaning equipment, and Advanced packaging (excluding ECP), services and spares, partly offset by lower ECP (front-end and packaging), furnace and other technologies. The increased demand from is due in part to a longer term commitment by our mainland China-based customers to increase production capacity to achieve a greater share of the global semiconductor market.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 and Gross Margin</w:t>
      </w:r>
    </w:p>
    <w:tbl>
      <w:tblPr>
        <w:tblW w:w="7731" w:type="dxa"/>
        <w:jc w:val="left"/>
        <w:tblInd w:w="0" w:type="dxa"/>
        <w:tblLayout w:type="fixed"/>
        <w:tblCellMar>
          <w:top w:w="28" w:type="dxa"/>
          <w:left w:w="28" w:type="dxa"/>
          <w:bottom w:w="28" w:type="dxa"/>
          <w:right w:w="28" w:type="dxa"/>
        </w:tblCellMar>
      </w:tblPr>
      <w:tblGrid>
        <w:gridCol w:w="506"/>
        <w:gridCol w:w="444"/>
        <w:gridCol w:w="446"/>
        <w:gridCol w:w="215"/>
        <w:gridCol w:w="736"/>
        <w:gridCol w:w="276"/>
        <w:gridCol w:w="111"/>
        <w:gridCol w:w="111"/>
        <w:gridCol w:w="111"/>
        <w:gridCol w:w="215"/>
        <w:gridCol w:w="736"/>
        <w:gridCol w:w="276"/>
        <w:gridCol w:w="109"/>
        <w:gridCol w:w="109"/>
        <w:gridCol w:w="109"/>
        <w:gridCol w:w="308"/>
        <w:gridCol w:w="308"/>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34,270 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38,800 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bps</w:t>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Cost of revenue and gross profit increased in the three months ended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 xml:space="preserve">as compared to the corresponding period in 2023 due to the increased sales volume, partly offset by a decrease in gross margin. The decrease in gross margin versus the prior-year period was primarily due to revenue mix between product categories, net of a favorable impact from fluctuations in the RMB to U.S. dollar exchange rate. </w:t>
      </w:r>
      <w:r>
        <w:rPr>
          <w:rFonts w:ascii="Times New Roman;sans-serif" w:hAnsi="Times New Roman;sans-serif"/>
          <w:b w:val="false"/>
          <w:color w:val="000000"/>
          <w:sz w:val="20"/>
          <w:shd w:fill="FFFFFF" w:val="clear"/>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9352" w:type="dxa"/>
        <w:jc w:val="left"/>
        <w:tblInd w:w="0" w:type="dxa"/>
        <w:tblLayout w:type="fixed"/>
        <w:tblCellMar>
          <w:top w:w="28" w:type="dxa"/>
          <w:left w:w="28" w:type="dxa"/>
          <w:bottom w:w="28" w:type="dxa"/>
          <w:right w:w="28" w:type="dxa"/>
        </w:tblCellMar>
      </w:tblPr>
      <w:tblGrid>
        <w:gridCol w:w="1093"/>
        <w:gridCol w:w="960"/>
        <w:gridCol w:w="963"/>
        <w:gridCol w:w="244"/>
        <w:gridCol w:w="835"/>
        <w:gridCol w:w="126"/>
        <w:gridCol w:w="126"/>
        <w:gridCol w:w="126"/>
        <w:gridCol w:w="126"/>
        <w:gridCol w:w="244"/>
        <w:gridCol w:w="835"/>
        <w:gridCol w:w="126"/>
        <w:gridCol w:w="109"/>
        <w:gridCol w:w="109"/>
        <w:gridCol w:w="109"/>
        <w:gridCol w:w="317"/>
        <w:gridCol w:w="299"/>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w:t>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Sales and marketing expense</w:t>
      </w:r>
      <w:r>
        <w:rPr>
          <w:color w:val="000000"/>
          <w:shd w:fill="FFFFFF" w:val="clear"/>
        </w:rPr>
        <w:t xml:space="preserve"> </w:t>
      </w:r>
      <w:r>
        <w:rPr>
          <w:rFonts w:ascii="Times New Roman;sans-serif" w:hAnsi="Times New Roman;sans-serif"/>
          <w:b w:val="false"/>
          <w:color w:val="000000"/>
          <w:sz w:val="20"/>
          <w:shd w:fill="FFFFFF" w:val="clear"/>
        </w:rPr>
        <w:t>increased in the three months ended March 31, 2024 as compared to the corresponding period in 2023, reflecting an increase o</w:t>
      </w:r>
      <w:r>
        <w:rPr>
          <w:rFonts w:ascii="Times New Roman;sans-serif" w:hAnsi="Times New Roman;sans-serif"/>
          <w:b w:val="false"/>
          <w:color w:val="000000"/>
          <w:sz w:val="20"/>
        </w:rPr>
        <w:t>f $2.9 million due to increased costs for personnel, commissions, travel &amp; entertainment and professional services, $2.6 million in stock-based compensation, $0.3 million in office and outside service, offset by a decrease of $1.0 million from promotional tools.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pre-sale and after-sale services and support and other sales and marketing activities,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sales commissions paid to independent sales representatives;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fees paid to sales consultants;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 of trade shows;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promotional purposes for potential new customers;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and entertainment;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sales and marketing expenses will increase in dollars, as we incur additional costs associated with growing our customer base in mainland China and regions outside of mainland China.</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Res</w:t>
      </w:r>
      <w:r>
        <w:rPr>
          <w:rFonts w:ascii="Times New Roman;sans-serif" w:hAnsi="Times New Roman;sans-serif"/>
          <w:b w:val="false"/>
          <w:i/>
          <w:color w:val="000000"/>
          <w:sz w:val="20"/>
        </w:rPr>
        <w:t>earch and development expense</w:t>
      </w:r>
      <w:r>
        <w:rPr>
          <w:color w:val="000000"/>
        </w:rPr>
        <w:t xml:space="preserve"> </w:t>
      </w:r>
      <w:r>
        <w:rPr>
          <w:rFonts w:ascii="Times New Roman;sans-serif" w:hAnsi="Times New Roman;sans-serif"/>
          <w:b w:val="false"/>
          <w:color w:val="000000"/>
          <w:sz w:val="20"/>
        </w:rPr>
        <w:t xml:space="preserve">increased in the three months ended March 31, 2024 as compared to the corresponding period in 2023, reflecting an increase of $3.8 million in stock-based compensation, $3.6 million in costs of components for tools built for product development purposes, $2.7 million in R&amp;D-related personnel costs and $0.3 million outside service, offset by a $0.5 million decrease in other R&amp;D-related costs. </w:t>
      </w:r>
    </w:p>
    <w:p>
      <w:pPr>
        <w:pStyle w:val="TextBody"/>
        <w:bidi w:val="0"/>
        <w:spacing w:lineRule="auto" w:line="288" w:before="240" w:after="283"/>
        <w:jc w:val="both"/>
        <w:rPr/>
      </w:pPr>
      <w:r>
        <w:rPr>
          <w:rFonts w:ascii="Times New Roman;sans-serif" w:hAnsi="Times New Roman;sans-serif"/>
          <w:b w:val="false"/>
          <w:color w:val="000000"/>
          <w:sz w:val="20"/>
        </w:rPr>
        <w:t>Research and development expense represented 15.7% and 18.9% of our revenue in the three months ended March 31, 2024 and 2023, respectively. Without reduction by grant amounts received from mainland China governmental authorities (see ‘</w:t>
      </w:r>
      <w:r>
        <w:rPr>
          <w:color w:val="000000"/>
        </w:rPr>
        <w:t>–</w:t>
      </w:r>
      <w:r>
        <w:rPr>
          <w:rFonts w:ascii="Times New Roman;sans-serif" w:hAnsi="Times New Roman;sans-serif"/>
          <w:b w:val="false"/>
          <w:color w:val="000000"/>
          <w:sz w:val="20"/>
        </w:rPr>
        <w:t xml:space="preserve">Mainland China Government Research and Development Funding’’), gross research and development expense totaled $24.4 million, or 16.0% of total revenue, in the three months ended March 31, 2024 as compared to $14.5 million, or 19.6% of revenue, in the corresponding period in 2023.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Research and development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compensation of personnel associated with our research and development activities, including stock 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components and other research and development supplies;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costs of tools built for product development purposes;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General and administrative expense </w:t>
      </w:r>
      <w:r>
        <w:rPr>
          <w:rFonts w:ascii="Times New Roman;sans-serif" w:hAnsi="Times New Roman;sans-serif"/>
          <w:b w:val="false"/>
          <w:color w:val="000000"/>
          <w:sz w:val="20"/>
          <w:shd w:fill="FFFFFF" w:val="clear"/>
        </w:rPr>
        <w:t xml:space="preserve">increased in the three months ended March 31, 2024 as compared to the corresponding period in 2023, primarily reflecting a $5.4 million increase in stock based compensation, a $3.0 million in personnel and other costs related to general and administrative costs, and a $0.9 million increase in allowance for credit losses, offset by $1.2 million decrease in professional services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 consists primarily of:</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professional fees, including accounting and corporate legal and defense fees;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 xml:space="preserve">other corporate expenses including insurance;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allowance for credit losses;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allocated overhead for rent and utilities.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income, net, Other Income, net</w:t>
      </w:r>
    </w:p>
    <w:tbl>
      <w:tblPr>
        <w:tblW w:w="8778" w:type="dxa"/>
        <w:jc w:val="left"/>
        <w:tblInd w:w="0" w:type="dxa"/>
        <w:tblLayout w:type="fixed"/>
        <w:tblCellMar>
          <w:top w:w="28" w:type="dxa"/>
          <w:left w:w="28" w:type="dxa"/>
          <w:bottom w:w="28" w:type="dxa"/>
          <w:right w:w="28" w:type="dxa"/>
        </w:tblCellMar>
      </w:tblPr>
      <w:tblGrid>
        <w:gridCol w:w="864"/>
        <w:gridCol w:w="758"/>
        <w:gridCol w:w="763"/>
        <w:gridCol w:w="258"/>
        <w:gridCol w:w="756"/>
        <w:gridCol w:w="133"/>
        <w:gridCol w:w="133"/>
        <w:gridCol w:w="133"/>
        <w:gridCol w:w="133"/>
        <w:gridCol w:w="258"/>
        <w:gridCol w:w="848"/>
        <w:gridCol w:w="133"/>
        <w:gridCol w:w="109"/>
        <w:gridCol w:w="109"/>
        <w:gridCol w:w="109"/>
        <w:gridCol w:w="347"/>
        <w:gridCol w:w="329"/>
        <w:gridCol w:w="659"/>
        <w:gridCol w:w="109"/>
        <w:gridCol w:w="109"/>
        <w:gridCol w:w="109"/>
        <w:gridCol w:w="348"/>
        <w:gridCol w:w="1017"/>
        <w:gridCol w:w="2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Interest income (expense), net consists of interest earned on our cash and cash equivalents, restricted cash accounts, and short-term and long-term time deposits, offset by interest expense incurred from outstanding short-term and long-term borrowings. Interest income (expense), net decreased in the three months ended March 31, 2024 as compared to the corresponding period in 2023, due to higher interest expense related to a higher balance of</w:t>
      </w:r>
      <w:r>
        <w:rPr>
          <w:color w:val="000000"/>
        </w:rPr>
        <w:t xml:space="preserve"> </w:t>
      </w:r>
      <w:r>
        <w:rPr>
          <w:rFonts w:ascii="Times New Roman;sans-serif" w:hAnsi="Times New Roman;sans-serif"/>
          <w:b w:val="false"/>
          <w:color w:val="000000"/>
          <w:sz w:val="20"/>
          <w:shd w:fill="FFFFFF" w:val="clear"/>
        </w:rPr>
        <w:t>total borrowings.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Other income (expense), net primarily reflects (a) gain recognized from the impact of exchange rates on our working-capital whi</w:t>
      </w:r>
      <w:r>
        <w:rPr>
          <w:rFonts w:ascii="Times New Roman;sans-serif" w:hAnsi="Times New Roman;sans-serif"/>
          <w:b w:val="false"/>
          <w:color w:val="000000"/>
          <w:sz w:val="20"/>
        </w:rPr>
        <w:t>ch was $1.4 million for the three months ended March 31, 2024 compared to $1.5 million loss recognized from the impact of exchange rates on our working capital for the three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2023, (b) government subsidies, as described under “—Mainland China Government Research and Development Funding” above, and other factors.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Realized gain and unrealized loss from short-term investment, and income (loss) from equity investments.</w:t>
      </w:r>
    </w:p>
    <w:tbl>
      <w:tblPr>
        <w:tblW w:w="10205" w:type="dxa"/>
        <w:jc w:val="left"/>
        <w:tblInd w:w="0" w:type="dxa"/>
        <w:tblLayout w:type="fixed"/>
        <w:tblCellMar>
          <w:top w:w="28" w:type="dxa"/>
          <w:left w:w="28" w:type="dxa"/>
          <w:bottom w:w="28" w:type="dxa"/>
          <w:right w:w="28" w:type="dxa"/>
        </w:tblCellMar>
      </w:tblPr>
      <w:tblGrid>
        <w:gridCol w:w="1386"/>
        <w:gridCol w:w="1218"/>
        <w:gridCol w:w="1222"/>
        <w:gridCol w:w="253"/>
        <w:gridCol w:w="826"/>
        <w:gridCol w:w="130"/>
        <w:gridCol w:w="130"/>
        <w:gridCol w:w="130"/>
        <w:gridCol w:w="130"/>
        <w:gridCol w:w="253"/>
        <w:gridCol w:w="742"/>
        <w:gridCol w:w="130"/>
        <w:gridCol w:w="109"/>
        <w:gridCol w:w="109"/>
        <w:gridCol w:w="109"/>
        <w:gridCol w:w="393"/>
        <w:gridCol w:w="396"/>
        <w:gridCol w:w="648"/>
        <w:gridCol w:w="109"/>
        <w:gridCol w:w="109"/>
        <w:gridCol w:w="109"/>
        <w:gridCol w:w="312"/>
        <w:gridCol w:w="1017"/>
        <w:gridCol w:w="235"/>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from sale of short-term investments</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equity method investments </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We recorded a realized gain from sale of equity inv</w:t>
      </w:r>
      <w:r>
        <w:rPr>
          <w:rFonts w:ascii="Times New Roman;sans-serif" w:hAnsi="Times New Roman;sans-serif"/>
          <w:b w:val="false"/>
          <w:color w:val="000000"/>
          <w:sz w:val="20"/>
        </w:rPr>
        <w:t>estment of $0.3 million for the three months ended March 31, 2024 as compared to $4.0 million in the prior-year period due to a sale of short-term investments (Note 15).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unrealized loss on equity investment of $2.6 million for the three months ended March 31, 2024 as compared to an unrealized loss of $0.7 million for the same period in 2023, based on a change in market value of ACM Shanghai’s short term investments (note 15).</w:t>
      </w:r>
    </w:p>
    <w:p>
      <w:pPr>
        <w:pStyle w:val="TextBody"/>
        <w:bidi w:val="0"/>
        <w:spacing w:lineRule="auto" w:line="288" w:before="240" w:after="283"/>
        <w:jc w:val="both"/>
        <w:rPr/>
      </w:pPr>
      <w:r>
        <w:rPr>
          <w:rFonts w:ascii="Times New Roman;sans-serif" w:hAnsi="Times New Roman;sans-serif"/>
          <w:b w:val="false"/>
          <w:color w:val="000000"/>
          <w:sz w:val="20"/>
        </w:rPr>
        <w:t xml:space="preserve">Loss from equity investments increased by $0.5 million for the three months ended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due to an decrease of net income from investments in affiliates (Note 14).</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Tax Expense</w:t>
      </w:r>
    </w:p>
    <w:p>
      <w:pPr>
        <w:pStyle w:val="TextBody"/>
        <w:bidi w:val="0"/>
        <w:spacing w:lineRule="auto" w:line="288" w:before="240" w:after="283"/>
        <w:jc w:val="both"/>
        <w:rPr/>
      </w:pPr>
      <w:r>
        <w:rPr>
          <w:rFonts w:ascii="Times New Roman;sans-serif" w:hAnsi="Times New Roman;sans-serif"/>
          <w:b w:val="false"/>
          <w:color w:val="000000"/>
          <w:sz w:val="20"/>
        </w:rPr>
        <w:t>The following presents component</w:t>
      </w:r>
      <w:r>
        <w:rPr>
          <w:rFonts w:ascii="Times New Roman;sans-serif" w:hAnsi="Times New Roman;sans-serif"/>
          <w:b w:val="false"/>
          <w:color w:val="000000"/>
          <w:sz w:val="20"/>
          <w:shd w:fill="FFFFFF" w:val="clear"/>
        </w:rPr>
        <w:t>s of income tax expense for the indicated periods:</w:t>
      </w:r>
    </w:p>
    <w:tbl>
      <w:tblPr>
        <w:tblW w:w="5037" w:type="dxa"/>
        <w:jc w:val="left"/>
        <w:tblInd w:w="0" w:type="dxa"/>
        <w:tblLayout w:type="fixed"/>
        <w:tblCellMar>
          <w:top w:w="28" w:type="dxa"/>
          <w:left w:w="28" w:type="dxa"/>
          <w:bottom w:w="28" w:type="dxa"/>
          <w:right w:w="28" w:type="dxa"/>
        </w:tblCellMar>
      </w:tblPr>
      <w:tblGrid>
        <w:gridCol w:w="799"/>
        <w:gridCol w:w="700"/>
        <w:gridCol w:w="706"/>
        <w:gridCol w:w="249"/>
        <w:gridCol w:w="818"/>
        <w:gridCol w:w="129"/>
        <w:gridCol w:w="129"/>
        <w:gridCol w:w="129"/>
        <w:gridCol w:w="129"/>
        <w:gridCol w:w="249"/>
        <w:gridCol w:w="818"/>
        <w:gridCol w:w="182"/>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4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2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w:t>
            </w:r>
          </w:p>
        </w:tc>
        <w:tc>
          <w:tcPr>
            <w:tcW w:w="18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recognized a tax expense of $4.4 million for the three months ended March 31, 2024 as compared to a tax expense of $2.9 million for the prior year period. The tax expense for the three months ended March 31, 2024 primarily resulted from the tax effect of a decrease in our effective income tax rate applied to an increase in operating profit for the period. The decrease in our effective income tax rate for the three months ended March 31, 2023 compared to the same period of the prior year was primarily due to an increased benefit from certain permanent deductions in a foreign jurisdiction.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effective tax rate differs from statutory rates of 21% for U.S. federal income tax purposes and 12.5% to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15%,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effective until December 31, 2023, and is expected to be re-certified for future years in 2024. In 2021, ACM Shanghai was certified as an eligible integrated circuit production enterprise and is entitled to a preferential income tax rate of 12.5% from January 1, 2020 to December 31, 2022. Certain entities which meet requirements according to the Policy of the Lingang New area in China (Shanghai) Pilot Free Trade Zone are entitled to a preferential income tax rate of 15%. ACM Lingang was certified for this in 2021, and this preferential income tax rate is valid from December 31, 2020 until December 31, 2024. We file income tax returns in the United States and state and foreign jurisdictions.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51"/>
        <w:gridCol w:w="1275"/>
        <w:gridCol w:w="1281"/>
        <w:gridCol w:w="261"/>
        <w:gridCol w:w="764"/>
        <w:gridCol w:w="135"/>
        <w:gridCol w:w="135"/>
        <w:gridCol w:w="135"/>
        <w:gridCol w:w="135"/>
        <w:gridCol w:w="261"/>
        <w:gridCol w:w="764"/>
        <w:gridCol w:w="135"/>
        <w:gridCol w:w="109"/>
        <w:gridCol w:w="109"/>
        <w:gridCol w:w="109"/>
        <w:gridCol w:w="308"/>
        <w:gridCol w:w="308"/>
        <w:gridCol w:w="647"/>
        <w:gridCol w:w="109"/>
        <w:gridCol w:w="109"/>
        <w:gridCol w:w="109"/>
        <w:gridCol w:w="333"/>
        <w:gridCol w:w="975"/>
        <w:gridCol w:w="248"/>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64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Research owns 82.1%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currency translation adjustment</w:t>
      </w:r>
    </w:p>
    <w:tbl>
      <w:tblPr>
        <w:tblW w:w="9769" w:type="dxa"/>
        <w:jc w:val="left"/>
        <w:tblInd w:w="0" w:type="dxa"/>
        <w:tblLayout w:type="fixed"/>
        <w:tblCellMar>
          <w:top w:w="28" w:type="dxa"/>
          <w:left w:w="28" w:type="dxa"/>
          <w:bottom w:w="28" w:type="dxa"/>
          <w:right w:w="28" w:type="dxa"/>
        </w:tblCellMar>
      </w:tblPr>
      <w:tblGrid>
        <w:gridCol w:w="1218"/>
        <w:gridCol w:w="1071"/>
        <w:gridCol w:w="1072"/>
        <w:gridCol w:w="258"/>
        <w:gridCol w:w="848"/>
        <w:gridCol w:w="133"/>
        <w:gridCol w:w="133"/>
        <w:gridCol w:w="133"/>
        <w:gridCol w:w="133"/>
        <w:gridCol w:w="258"/>
        <w:gridCol w:w="756"/>
        <w:gridCol w:w="133"/>
        <w:gridCol w:w="109"/>
        <w:gridCol w:w="109"/>
        <w:gridCol w:w="109"/>
        <w:gridCol w:w="344"/>
        <w:gridCol w:w="346"/>
        <w:gridCol w:w="659"/>
        <w:gridCol w:w="109"/>
        <w:gridCol w:w="109"/>
        <w:gridCol w:w="109"/>
        <w:gridCol w:w="294"/>
        <w:gridCol w:w="1111"/>
        <w:gridCol w:w="215"/>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recorded a loss of foreign currency translation adjustment </w:t>
      </w:r>
      <w:r>
        <w:rPr>
          <w:rFonts w:ascii="Times New Roman;sans-serif" w:hAnsi="Times New Roman;sans-serif"/>
          <w:b w:val="false"/>
          <w:color w:val="000000"/>
          <w:sz w:val="20"/>
        </w:rPr>
        <w:t xml:space="preserve">of ($6.8 </w:t>
      </w:r>
      <w:r>
        <w:rPr>
          <w:rFonts w:ascii="Times New Roman;sans-serif" w:hAnsi="Times New Roman;sans-serif"/>
          <w:b w:val="false"/>
          <w:color w:val="000000"/>
          <w:sz w:val="20"/>
          <w:shd w:fill="FFFFFF" w:val="clear"/>
        </w:rPr>
        <w:t xml:space="preserve">million) for the three months ended March 31, 2024, as compared to a gain of $9.4 million for the same period in 2023, primarily based on the net effect of RMB to dollar exchange rate fluctuations for the period on the converted value of ACM Shanghai’s RMB-denominated balances to U.S. dollar equivalents.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9"/>
        <w:gridCol w:w="1379"/>
        <w:gridCol w:w="1385"/>
        <w:gridCol w:w="253"/>
        <w:gridCol w:w="740"/>
        <w:gridCol w:w="130"/>
        <w:gridCol w:w="130"/>
        <w:gridCol w:w="130"/>
        <w:gridCol w:w="130"/>
        <w:gridCol w:w="253"/>
        <w:gridCol w:w="740"/>
        <w:gridCol w:w="130"/>
        <w:gridCol w:w="109"/>
        <w:gridCol w:w="109"/>
        <w:gridCol w:w="109"/>
        <w:gridCol w:w="252"/>
        <w:gridCol w:w="252"/>
        <w:gridCol w:w="632"/>
        <w:gridCol w:w="109"/>
        <w:gridCol w:w="109"/>
        <w:gridCol w:w="109"/>
        <w:gridCol w:w="409"/>
        <w:gridCol w:w="729"/>
        <w:gridCol w:w="308"/>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Comprehensive income attributable to non-controlling interests </w:t>
      </w:r>
      <w:r>
        <w:rPr>
          <w:rFonts w:ascii="Times New Roman;sans-serif" w:hAnsi="Times New Roman;sans-serif"/>
          <w:b w:val="false"/>
          <w:color w:val="000000"/>
          <w:sz w:val="20"/>
          <w:shd w:fill="FFFFFF" w:val="clear"/>
        </w:rPr>
        <w:t>for the three months ended March 31, 2024 is consistent with the three months ended March 31, 2023</w:t>
      </w:r>
      <w:r>
        <w:rPr>
          <w:rFonts w:ascii="Times New Roman;sans-serif" w:hAnsi="Times New Roman;sans-serif"/>
          <w:b w:val="false"/>
          <w:color w:val="000000"/>
          <w:sz w:val="20"/>
        </w:rPr>
        <w:t>, reflecting a change in net income attributable to the non-controlling interests for the period together with the impact of foreign exchange rate fluctuations on the cumulative balance.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first three months of 2024, we funded our technology development and operations principally through our beginning global cash balances, including the cash balances at ACM Shanghai, borrowings by ACM Shanghai from local financial institutions, and our loan from China CITIC Bank.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Cash and cash equivalents, restricted cash, short-term time deposits and long-term time deposits were $288.3 million at March 31, 2024, compared to $304.5 million at December 31, 2023. The ($16.2 million) decrease was primarily driven by ($9.6 million) of cash used in operations, ($32.9 million), excluding net cash increase for time deposits, used in investing activities, $26.8 million net cash provided by financing activitie</w:t>
      </w:r>
      <w:r>
        <w:rPr>
          <w:rFonts w:ascii="Times New Roman;sans-serif" w:hAnsi="Times New Roman;sans-serif"/>
          <w:b w:val="false"/>
          <w:color w:val="000000"/>
          <w:sz w:val="20"/>
        </w:rPr>
        <w:t xml:space="preserve">s, and a ($0.5 million) decline from the effect of </w:t>
      </w:r>
      <w:r>
        <w:rPr>
          <w:rFonts w:ascii="Times New Roman;sans-serif" w:hAnsi="Times New Roman;sans-serif"/>
          <w:b w:val="false"/>
          <w:color w:val="000000"/>
          <w:sz w:val="20"/>
          <w:shd w:fill="FFFFFF" w:val="clear"/>
        </w:rPr>
        <w:t>exchange rate on cash, cash equivalents and restricted cash</w:t>
      </w:r>
      <w:r>
        <w:rPr>
          <w:rFonts w:ascii="Times New Roman;sans-serif" w:hAnsi="Times New Roman;sans-serif"/>
          <w:b w:val="false"/>
          <w:color w:val="000000"/>
          <w:sz w:val="20"/>
        </w:rPr>
        <w:t>.</w:t>
      </w:r>
    </w:p>
    <w:tbl>
      <w:tblPr>
        <w:tblW w:w="7966" w:type="dxa"/>
        <w:jc w:val="left"/>
        <w:tblInd w:w="0" w:type="dxa"/>
        <w:tblLayout w:type="fixed"/>
        <w:tblCellMar>
          <w:top w:w="28" w:type="dxa"/>
          <w:left w:w="28" w:type="dxa"/>
          <w:bottom w:w="28" w:type="dxa"/>
          <w:right w:w="28" w:type="dxa"/>
        </w:tblCellMar>
      </w:tblPr>
      <w:tblGrid>
        <w:gridCol w:w="1872"/>
        <w:gridCol w:w="1649"/>
        <w:gridCol w:w="1653"/>
        <w:gridCol w:w="211"/>
        <w:gridCol w:w="841"/>
        <w:gridCol w:w="109"/>
        <w:gridCol w:w="109"/>
        <w:gridCol w:w="109"/>
        <w:gridCol w:w="109"/>
        <w:gridCol w:w="228"/>
        <w:gridCol w:w="910"/>
        <w:gridCol w:w="166"/>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restricted cash, and time deposits: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Short-term time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Long-term time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288,318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304,515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 term planning horizon.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March 31, 2024 and 2023, with the exception of sales and services-related transfer-pricing payments in the ordinary course of business, no transfers,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cash and cash equivalents at March 31, 2024 were held for working capital purposes and other potential investments. ACM Shanghai, our only direct mainland China subsidiary, is, however, subject to mainland China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ACM Research has never declared or paid cash dividends on our capital stock</w:t>
      </w:r>
      <w:r>
        <w:rPr>
          <w:rFonts w:ascii="Times New Roman;sans-serif" w:hAnsi="Times New Roman;sans-serif"/>
          <w:b w:val="false"/>
          <w:color w:val="000000"/>
          <w:sz w:val="20"/>
        </w:rPr>
        <w:t xml:space="preserve">. AMC Research intends to retain all available funds and any future earnings to support the operation of and to finance the growth and development of our business and do not anticipate paying any cash dividends in the foreseeable future. </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Used in Operating Activities. </w:t>
      </w:r>
      <w:r>
        <w:rPr>
          <w:rFonts w:ascii="Times New Roman;sans-serif" w:hAnsi="Times New Roman;sans-serif"/>
          <w:b w:val="false"/>
          <w:color w:val="000000"/>
          <w:sz w:val="20"/>
          <w:shd w:fill="FFFFFF" w:val="clear"/>
        </w:rPr>
        <w:t>Net cash used in operating activities o</w:t>
      </w:r>
      <w:r>
        <w:rPr>
          <w:rFonts w:ascii="Times New Roman;sans-serif" w:hAnsi="Times New Roman;sans-serif"/>
          <w:b w:val="false"/>
          <w:color w:val="000000"/>
          <w:sz w:val="20"/>
        </w:rPr>
        <w:t>f ($9.6 million)</w:t>
      </w:r>
      <w:r>
        <w:rPr>
          <w:color w:val="000000"/>
          <w:shd w:fill="FFFFFF" w:val="clear"/>
        </w:rPr>
        <w:t xml:space="preserve"> </w:t>
      </w:r>
      <w:r>
        <w:rPr>
          <w:rFonts w:ascii="Times New Roman;sans-serif" w:hAnsi="Times New Roman;sans-serif"/>
          <w:b w:val="false"/>
          <w:color w:val="000000"/>
          <w:sz w:val="20"/>
          <w:shd w:fill="FFFFFF" w:val="clear"/>
        </w:rPr>
        <w:t>during the three months ended March 31, 2024 consisted of:</w:t>
      </w:r>
    </w:p>
    <w:tbl>
      <w:tblPr>
        <w:tblW w:w="6656" w:type="dxa"/>
        <w:jc w:val="left"/>
        <w:tblInd w:w="0" w:type="dxa"/>
        <w:tblLayout w:type="fixed"/>
        <w:tblCellMar>
          <w:top w:w="28" w:type="dxa"/>
          <w:left w:w="28" w:type="dxa"/>
          <w:bottom w:w="28" w:type="dxa"/>
          <w:right w:w="28" w:type="dxa"/>
        </w:tblCellMar>
      </w:tblPr>
      <w:tblGrid>
        <w:gridCol w:w="1385"/>
        <w:gridCol w:w="1214"/>
        <w:gridCol w:w="1225"/>
        <w:gridCol w:w="236"/>
        <w:gridCol w:w="808"/>
        <w:gridCol w:w="122"/>
        <w:gridCol w:w="122"/>
        <w:gridCol w:w="122"/>
        <w:gridCol w:w="122"/>
        <w:gridCol w:w="236"/>
        <w:gridCol w:w="892"/>
        <w:gridCol w:w="172"/>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Non-cash operating lease cost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Provision for inventory </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 on short-term investment </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 used in operating activities</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net changes in operating asset and liability accounts primarily include the following uses of cash: an increase of inventories, net ($38.6 million) (Note 5), an increase of accounts receivable of ($15.3 million) (Note 4), and an increase in other assets ($10.6 million) and the following sources of cash: a $8.6 million increase on other liabilities and a $2.2 million increase in customer advances.</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Used in Investing Activities. </w:t>
      </w:r>
      <w:r>
        <w:rPr>
          <w:rFonts w:ascii="Times New Roman;sans-serif" w:hAnsi="Times New Roman;sans-serif"/>
          <w:b w:val="false"/>
          <w:color w:val="000000"/>
          <w:sz w:val="20"/>
          <w:shd w:fill="FFFFFF" w:val="clear"/>
        </w:rPr>
        <w:t>Net cash used in investing activities, excluding net cash increase for time deposits, for the three months ended March 31, 2024 was ($32.9 million), primarily consisting of ($26.1 million) for purchase of property and intangible assets, ($6.0 million) for purchase of long-term investments, and ($1.4 million) for purchase of short-term investment (note 15), partly offset by $0.6 million net dividends received from long term investments (note 14).</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Cash Flow Provided by Financing Activities. </w:t>
      </w:r>
      <w:r>
        <w:rPr>
          <w:rFonts w:ascii="Times New Roman;sans-serif" w:hAnsi="Times New Roman;sans-serif"/>
          <w:b w:val="false"/>
          <w:color w:val="000000"/>
          <w:sz w:val="20"/>
          <w:shd w:fill="FFFFFF" w:val="clear"/>
        </w:rPr>
        <w:t>Net cash provided by financing activities</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March 31, 2024 was $26.8 million, primarily consisting of $23.5 million net proceeds from short-term borrowing, and $4.8 million proceeds from exercise of stock options, partly offset by ($1.5 million) repayment of short-term and long-term borrowings.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and ACM Shanghai, together with the subsidiaries of ACM Shanghai, have short-term and long-term borrowings with six banks,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27"/>
        <w:gridCol w:w="617"/>
        <w:gridCol w:w="312"/>
        <w:gridCol w:w="109"/>
        <w:gridCol w:w="109"/>
        <w:gridCol w:w="109"/>
        <w:gridCol w:w="372"/>
        <w:gridCol w:w="372"/>
        <w:gridCol w:w="373"/>
        <w:gridCol w:w="109"/>
        <w:gridCol w:w="109"/>
        <w:gridCol w:w="109"/>
        <w:gridCol w:w="770"/>
        <w:gridCol w:w="719"/>
        <w:gridCol w:w="656"/>
        <w:gridCol w:w="109"/>
        <w:gridCol w:w="109"/>
        <w:gridCol w:w="109"/>
        <w:gridCol w:w="281"/>
        <w:gridCol w:w="281"/>
        <w:gridCol w:w="282"/>
        <w:gridCol w:w="109"/>
        <w:gridCol w:w="109"/>
        <w:gridCol w:w="109"/>
        <w:gridCol w:w="398"/>
        <w:gridCol w:w="883"/>
        <w:gridCol w:w="127"/>
        <w:gridCol w:w="109"/>
        <w:gridCol w:w="109"/>
        <w:gridCol w:w="109"/>
        <w:gridCol w:w="329"/>
        <w:gridCol w:w="876"/>
        <w:gridCol w:w="195"/>
      </w:tblGrid>
      <w:tr>
        <w:trPr/>
        <w:tc>
          <w:tcPr>
            <w:tcW w:w="72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242424"/>
                <w:sz w:val="20"/>
              </w:rPr>
            </w:pPr>
            <w:r>
              <w:rPr>
                <w:rFonts w:ascii="Times New Roman;sans-serif" w:hAnsi="Times New Roman;sans-serif"/>
                <w:b/>
                <w:color w:val="242424"/>
                <w:sz w:val="20"/>
              </w:rPr>
              <w:t>Amount Outstanding</w:t>
              <w:br/>
              <w:t>at March 31, 2024</w:t>
            </w:r>
          </w:p>
        </w:tc>
      </w:tr>
      <w:tr>
        <w:trPr/>
        <w:tc>
          <w:tcPr>
            <w:tcW w:w="1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RMB17,455</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RMB40,032</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RMB200,161</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RMB120,092</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RMB91,694</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RMB7,505</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September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RMB26,259</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RMB100,079</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 CITIC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Repayable by installments and the last installments repayable in August,2025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RMB99,986</w:t>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RMB14,090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tbl>
      <w:tblPr>
        <w:tblW w:w="9944"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459"/>
        <w:gridCol w:w="459"/>
        <w:gridCol w:w="461"/>
        <w:gridCol w:w="109"/>
        <w:gridCol w:w="109"/>
        <w:gridCol w:w="109"/>
        <w:gridCol w:w="459"/>
        <w:gridCol w:w="459"/>
        <w:gridCol w:w="461"/>
        <w:gridCol w:w="109"/>
        <w:gridCol w:w="109"/>
        <w:gridCol w:w="109"/>
        <w:gridCol w:w="209"/>
        <w:gridCol w:w="209"/>
        <w:gridCol w:w="211"/>
        <w:gridCol w:w="109"/>
        <w:gridCol w:w="109"/>
        <w:gridCol w:w="109"/>
        <w:gridCol w:w="254"/>
        <w:gridCol w:w="995"/>
        <w:gridCol w:w="132"/>
        <w:gridCol w:w="109"/>
        <w:gridCol w:w="109"/>
        <w:gridCol w:w="109"/>
        <w:gridCol w:w="252"/>
        <w:gridCol w:w="988"/>
        <w:gridCol w:w="186"/>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Bank of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KRW2,000,000</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154,149 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114,663 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 xml:space="preserve">Converted from RMB to dollars 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The loan from China Merchants Bank is secured by a pledge of the property of ACM Lingang and guaranteed by ACM Shanghai, as described above under “—Contractual Obligations.”</w:t>
      </w:r>
    </w:p>
    <w:p>
      <w:pPr>
        <w:pStyle w:val="TextBody"/>
        <w:bidi w:val="0"/>
        <w:spacing w:lineRule="auto" w:line="288" w:before="24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(2)This China CITIC bank facility agreement is with ACM Research, Inc.</w:t>
      </w:r>
    </w:p>
    <w:p>
      <w:pPr>
        <w:pStyle w:val="TextBody"/>
        <w:bidi w:val="0"/>
        <w:spacing w:lineRule="auto" w:line="288" w:before="240" w:after="283"/>
        <w:jc w:val="both"/>
        <w:rPr/>
      </w:pPr>
      <w:r>
        <w:rPr>
          <w:rFonts w:ascii="Times New Roman;sans-serif" w:hAnsi="Times New Roman;sans-serif"/>
          <w:b/>
          <w:i/>
          <w:color w:val="000000"/>
          <w:sz w:val="20"/>
          <w:shd w:fill="FFFFFF" w:val="clear"/>
        </w:rPr>
        <w:t xml:space="preserve">Effect of exchange rate changes on cash, cash equivalents and restricted cash. </w:t>
      </w:r>
      <w:r>
        <w:rPr>
          <w:rFonts w:ascii="Times New Roman;sans-serif" w:hAnsi="Times New Roman;sans-serif"/>
          <w:b w:val="false"/>
          <w:color w:val="000000"/>
          <w:sz w:val="20"/>
          <w:shd w:fill="FFFFFF" w:val="clear"/>
        </w:rPr>
        <w:t>The effect of exchange rate cash, and cash equivalents was $0.6 million during the first three months ended March 31, 2024. The impact of fluctuations of the RMB to U.S. dollar currency exchange rate on a significant balance of these items held in RMB-denominated accounts (Note 2) contributed to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Grant Contract for State-owned Construction Land Use Right in Shanghai City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shd w:fill="FFFFFF" w:val="clear"/>
        </w:rPr>
        <w:t>the start of construction within 6 months after the Delivery Date (60% of the performance deposit), or Construction Start Milestone;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completion of construction within 30 months after the Delivery Date (20% of the performance deposit), or Construction Completion Milestone;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start of production within 42 months after the Delivery Date (20% of the performance deposit), or Production Start Milestone.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status of the performance milestones for the period ended March 31, 2024 is as follows:</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ACM Lingang achieved the Construction Start Milestone and 60% of the performance deposit was refunded to ACM Shanghai in 2020.</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Construction Completion Milestone was required to be met by January 9, 2024 but was not achieved. However, ACM Lingang believes it will receive the refund without penalty based on its explanation to the respective regulatory authorities of logistic-related delays, and expectations that it will meet the milestone before July 9, 2024. We cannot guarantee that ACM Lingang will achieve the missed milestone in 2024, or even if it does achieve the milestone in 2024, that it will be refunded some or all of the 20% portion of the performance deposit of RMB 2.5 million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pPr>
      <w:r>
        <w:rPr>
          <w:rFonts w:ascii="Times New Roman;sans-serif" w:hAnsi="Times New Roman;sans-serif"/>
          <w:b w:val="false"/>
          <w:i/>
          <w:color w:val="000000"/>
          <w:sz w:val="20"/>
          <w:shd w:fill="FFFFFF" w:val="clear"/>
        </w:rPr>
        <w:t>Contractual penalties in the case of a delay of Construction Completion Milestone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Production Start Milestone is now required to be met by January 9, 2025. The Production Start Milestone was originally required to be met prior to January 9, 2024, but due to COVID-related delays, ACM filed multiple requests for extensions, the latest of which was granted on July 7, 2023. We cannot guarantee that ACM Lingang will meet any extended deadline or be refunded this 20% portion of the performance deposit.</w:t>
      </w:r>
    </w:p>
    <w:p>
      <w:pPr>
        <w:pStyle w:val="TextBody"/>
        <w:bidi w:val="0"/>
        <w:spacing w:lineRule="auto" w:line="288" w:before="240" w:after="283"/>
        <w:jc w:val="both"/>
        <w:rPr/>
      </w:pPr>
      <w:r>
        <w:rPr>
          <w:rFonts w:ascii="Times New Roman;sans-serif" w:hAnsi="Times New Roman;sans-serif"/>
          <w:b w:val="false"/>
          <w:i/>
          <w:color w:val="000000"/>
          <w:sz w:val="20"/>
          <w:shd w:fill="FFFFFF" w:val="clear"/>
        </w:rPr>
        <w:t>Contractual penalties in the case of a delay of Production Start Milestone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If ACM Lingang fails to commence production pursuant to the extended commencement of production date (more than six months beyond the production start milestone), the Grantor is entitled to terminate the Grant Agreement and take back the Land Use Right. In such case, the Grantor shall refund the Grant Fees for the remaining land use term after deducting the deposit agreed under the Grant Agreement to ACM Lingang.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milestones, covenants in the Grant Agreement require that, among other things, ACM Lingang will be required to pay liquidated damages in the event that:</w:t>
      </w:r>
    </w:p>
    <w:p>
      <w:pPr>
        <w:pStyle w:val="TextBody"/>
        <w:bidi w:val="0"/>
        <w:spacing w:lineRule="auto" w:line="288" w:before="240" w:after="283"/>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(a)it does not make a total investment (including the costs of construction, fixtures, equipment and grant fees) of at least RMB 450.0 million ($63.4 million). ACM Lingang shall pay the liquidated damages equal to the same proportion of the Grant Fees as the proportion of the actual shortfall amount of investment in the total agreed investment amount or the investment intensity.</w:t>
      </w:r>
    </w:p>
    <w:p>
      <w:pPr>
        <w:pStyle w:val="TextBody"/>
        <w:bidi w:val="0"/>
        <w:spacing w:lineRule="auto" w:line="288" w:before="0" w:after="0"/>
        <w:ind w:left="0" w:right="0" w:hanging="720"/>
        <w:jc w:val="both"/>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rPr>
        <w:t>within seven years after the Delivery Date, or prior to July 9, 2027, it does</w:t>
      </w:r>
      <w:r>
        <w:rPr>
          <w:color w:val="000000"/>
          <w:shd w:fill="FFFFFF" w:val="clear"/>
        </w:rPr>
        <w:t xml:space="preserve"> </w:t>
      </w:r>
      <w:r>
        <w:rPr>
          <w:rFonts w:ascii="Times New Roman;sans-serif" w:hAnsi="Times New Roman;sans-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w:t>
      </w:r>
      <w:r>
        <w:rPr>
          <w:rFonts w:ascii="Times New Roman;sans-serif" w:hAnsi="Times New Roman;sans-serif"/>
          <w:b w:val="false"/>
          <w:color w:val="000000"/>
          <w:sz w:val="20"/>
        </w:rPr>
        <w:t xml:space="preserve">d to $132.0 million and $116.9 </w:t>
      </w:r>
      <w:r>
        <w:rPr>
          <w:rFonts w:ascii="Times New Roman;sans-serif" w:hAnsi="Times New Roman;sans-serif"/>
          <w:b w:val="false"/>
          <w:color w:val="000000"/>
          <w:sz w:val="20"/>
          <w:shd w:fill="FFFFFF" w:val="clear"/>
        </w:rPr>
        <w:t>million at March 31,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How We Evaluate Our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Shipments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ans-serif" w:hAnsi="Times New Roman;sans-serif"/>
          <w:b w:val="false"/>
          <w:color w:val="000000"/>
          <w:sz w:val="20"/>
        </w:rPr>
        <w:t xml:space="preserve">Shipments in the </w:t>
      </w:r>
      <w:r>
        <w:rPr>
          <w:rFonts w:ascii="Times New Roman;sans-serif" w:hAnsi="Times New Roman;sans-serif"/>
          <w:b w:val="false"/>
          <w:color w:val="000000"/>
          <w:sz w:val="20"/>
          <w:shd w:fill="FFFFFF" w:val="clear"/>
        </w:rPr>
        <w:t>three months ended March 31, 2024 totaled $245.6 million, as compared to $89.2 million for the same periods in 2023. Repeat tool shipments in the three months ended March 31, 2024 totaled $118.6 million, as compared to $38.9 million for same periods in 2023. First tool shipments in the three months ended March 31, 2024 totaled $127.0 million, as compared to $50.3 million for the same periods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shd w:fill="FFFFFF" w:val="clear"/>
        </w:rPr>
        <w:t>•</w:t>
      </w:r>
      <w:r>
        <w:rPr>
          <w:rFonts w:ascii="Times New Roman;sans-serif" w:hAnsi="Times New Roman;sans-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rPr/>
      </w:pPr>
      <w:r>
        <w:rPr>
          <w:color w:val="000000"/>
          <w:shd w:fill="FFFFFF" w:val="clear"/>
        </w:rPr>
        <w:t>•</w:t>
      </w:r>
      <w:r>
        <w:rPr>
          <w:rFonts w:ascii="Times New Roman;sans-serif" w:hAnsi="Times New Roman;sans-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financial measure, to adjusted EBITDA:</w:t>
      </w:r>
    </w:p>
    <w:tbl>
      <w:tblPr>
        <w:tblW w:w="9647" w:type="dxa"/>
        <w:jc w:val="left"/>
        <w:tblInd w:w="0" w:type="dxa"/>
        <w:tblLayout w:type="fixed"/>
        <w:tblCellMar>
          <w:top w:w="28" w:type="dxa"/>
          <w:left w:w="28" w:type="dxa"/>
          <w:bottom w:w="28" w:type="dxa"/>
          <w:right w:w="28" w:type="dxa"/>
        </w:tblCellMar>
      </w:tblPr>
      <w:tblGrid>
        <w:gridCol w:w="1336"/>
        <w:gridCol w:w="1175"/>
        <w:gridCol w:w="1179"/>
        <w:gridCol w:w="211"/>
        <w:gridCol w:w="721"/>
        <w:gridCol w:w="109"/>
        <w:gridCol w:w="109"/>
        <w:gridCol w:w="109"/>
        <w:gridCol w:w="109"/>
        <w:gridCol w:w="211"/>
        <w:gridCol w:w="721"/>
        <w:gridCol w:w="109"/>
        <w:gridCol w:w="109"/>
        <w:gridCol w:w="109"/>
        <w:gridCol w:w="109"/>
        <w:gridCol w:w="308"/>
        <w:gridCol w:w="308"/>
        <w:gridCol w:w="659"/>
        <w:gridCol w:w="109"/>
        <w:gridCol w:w="109"/>
        <w:gridCol w:w="109"/>
        <w:gridCol w:w="314"/>
        <w:gridCol w:w="1076"/>
        <w:gridCol w:w="229"/>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Unrealized loss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adjusted EBITDA for the three months ended March 31, 2024 as compared to the same period in 2023 reflects a $13.1 million increase in net income, a $12.5 million increase in stock based compensation, a $0.8 million increase in depreciation and amortization, $1.5 million impact from a change in income tax expense, $1.9 million increase in unrealized loss on short-term investment, and other items.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ans-serif" w:hAnsi="Times New Roman;sans-serif"/>
          <w:b w:val="false"/>
          <w:color w:val="000000"/>
          <w:sz w:val="20"/>
        </w:rPr>
        <w:t>M</w:t>
      </w:r>
      <w:r>
        <w:rPr>
          <w:rFonts w:ascii="Times New Roman;sans-serif" w:hAnsi="Times New Roman;sans-serif"/>
          <w:b w:val="false"/>
          <w:color w:val="000000"/>
          <w:sz w:val="20"/>
          <w:shd w:fill="FFFFFF" w:val="clear"/>
        </w:rPr>
        <w:t>ainland China Government Research and Development Funding.”</w:t>
      </w:r>
    </w:p>
    <w:p>
      <w:pPr>
        <w:pStyle w:val="TextBody"/>
        <w:bidi w:val="0"/>
        <w:spacing w:lineRule="auto" w:line="288" w:before="240" w:after="283"/>
        <w:ind w:left="0" w:right="0" w:firstLine="7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Free Cash Flow</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cash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88"/>
        <w:gridCol w:w="1306"/>
        <w:gridCol w:w="1310"/>
        <w:gridCol w:w="211"/>
        <w:gridCol w:w="795"/>
        <w:gridCol w:w="109"/>
        <w:gridCol w:w="109"/>
        <w:gridCol w:w="109"/>
        <w:gridCol w:w="109"/>
        <w:gridCol w:w="211"/>
        <w:gridCol w:w="795"/>
        <w:gridCol w:w="109"/>
        <w:gridCol w:w="109"/>
        <w:gridCol w:w="109"/>
        <w:gridCol w:w="109"/>
        <w:gridCol w:w="307"/>
        <w:gridCol w:w="309"/>
        <w:gridCol w:w="658"/>
        <w:gridCol w:w="109"/>
        <w:gridCol w:w="109"/>
        <w:gridCol w:w="109"/>
        <w:gridCol w:w="313"/>
        <w:gridCol w:w="1072"/>
        <w:gridCol w:w="231"/>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br/>
              <w:t> 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Absolute Change </w:t>
              <w:br/>
              <w:t>2024 v 2023</w:t>
            </w:r>
          </w:p>
        </w:tc>
      </w:tr>
      <w:tr>
        <w:trPr/>
        <w:tc>
          <w:tcPr>
            <w:tcW w:w="4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Data:</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and long-term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decrease in free cash flow for the three months ended March 31, 2024 as compared to the same period in 2023 reflected the factors driving net cash used in operating activities, an increase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Operating Income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less. The following tables reflect the exclusion of stock-based compensation, or SBC, from line items comprising income from operations:</w:t>
      </w:r>
    </w:p>
    <w:tbl>
      <w:tblPr>
        <w:tblW w:w="10682"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721"/>
        <w:gridCol w:w="109"/>
        <w:gridCol w:w="109"/>
        <w:gridCol w:w="109"/>
        <w:gridCol w:w="109"/>
        <w:gridCol w:w="211"/>
        <w:gridCol w:w="631"/>
        <w:gridCol w:w="109"/>
        <w:gridCol w:w="109"/>
        <w:gridCol w:w="109"/>
        <w:gridCol w:w="109"/>
        <w:gridCol w:w="224"/>
        <w:gridCol w:w="767"/>
        <w:gridCol w:w="165"/>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Adjusted operating income for the three months ended March 31, 2024 increased by $28.9 million, as compared with the same period in 2023, due to a $16.4 million increase in income from operations and a $12.5 million increase in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market risks and the ways we manage them are summarized in the section captioned “Part II, Item 7A. Quantitative and Qualitative Disclosures About Market Risk” in our Annual Report. There have been no material changes in the first three months of 2024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March 31, 2024. </w:t>
      </w:r>
      <w:r>
        <w:rPr>
          <w:rFonts w:ascii="Times New Roman;sans-serif" w:hAnsi="Times New Roman;sans-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Based on such evaluation, and as a result of the material weakness </w:t>
      </w:r>
      <w:r>
        <w:rPr>
          <w:rFonts w:ascii="Times New Roman;sans-serif" w:hAnsi="Times New Roman;sans-serif"/>
          <w:b w:val="false"/>
          <w:color w:val="000000"/>
          <w:sz w:val="20"/>
        </w:rPr>
        <w:t xml:space="preserve">in internal control over financial reporting </w:t>
      </w:r>
      <w:r>
        <w:rPr>
          <w:rFonts w:ascii="Times New Roman;sans-serif" w:hAnsi="Times New Roman;sans-serif"/>
          <w:b w:val="false"/>
          <w:color w:val="000000"/>
          <w:sz w:val="20"/>
          <w:shd w:fill="FFFFFF" w:val="clear"/>
        </w:rPr>
        <w:t xml:space="preserve">described below, our Chief Executive Officer and Chief Financial Officer concluded that, as of March 31, 2024, our disclosure controls and procedures were not effective </w:t>
      </w:r>
      <w:r>
        <w:rPr>
          <w:rFonts w:ascii="Times New Roman;sans-serif" w:hAnsi="Times New Roman;sans-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material weakness in internal control over financial reporting described below, our management, including our Chief Executive Officer and Chief Financial Officer, believes that our consolidated financial statements included in this report present fairly, in all material respects, our financial position, results of operations and cash flows as of and for the periods presented, in conformity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Controls Over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quarter ended March 31, 2024, we implemented a new enterprise resource planning ("ERP") system in mainland China utilized in the preparation of our consolidated financial statements. The implementation resulted in one material weakness in internal control over financial reporting described below. We believe we have developed an appropriate plan to remediate and have begun our remediation efforts related to the material weakness. Other than the material weakness and remediation efforts described below, there were no changes in our internal control over financial reporting that occurred during the quarter ended March 31, 2024,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Material Weakness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During the quarter ended March 31, 2024, management ident</w:t>
      </w:r>
      <w:r>
        <w:rPr>
          <w:rFonts w:ascii="Times New Roman;sans-serif" w:hAnsi="Times New Roman;sans-serif"/>
          <w:b w:val="false"/>
          <w:color w:val="000000"/>
          <w:sz w:val="20"/>
        </w:rPr>
        <w:t>ified a deficiency constituting a</w:t>
      </w:r>
      <w:r>
        <w:rPr>
          <w:color w:val="000000"/>
          <w:shd w:fill="FFFFFF" w:val="clear"/>
        </w:rPr>
        <w:t xml:space="preserve"> </w:t>
      </w:r>
      <w:r>
        <w:rPr>
          <w:rFonts w:ascii="Times New Roman;sans-serif" w:hAnsi="Times New Roman;sans-serif"/>
          <w:b w:val="false"/>
          <w:color w:val="000000"/>
          <w:sz w:val="20"/>
          <w:shd w:fill="FFFFFF" w:val="clear"/>
        </w:rPr>
        <w:t>material weakness related to the design and implementation of information technology general controls ("ITGCs") related to the implementation of our new ERP system in mainland China utilized in the preparation of our consolidated financial statements. Specifically, we did not (1) establish and maintain adequate pre-approval policy and process for the system changes; and (2) maintain a complete system change log.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Although the material weakness identified above did not result in any material misstatement of our consolidated financial statements, there is a reasonable possibility that a material misstatement of our consolidated financial statements will not be prevented or detected on a timely basis. Accordingly, management has concluded that this deficiency constitutes a material weakness and </w:t>
      </w:r>
      <w:r>
        <w:rPr>
          <w:rFonts w:ascii="Times New Roman;sans-serif" w:hAnsi="Times New Roman;sans-serif"/>
          <w:b w:val="false"/>
          <w:color w:val="000000"/>
          <w:sz w:val="20"/>
          <w:shd w:fill="FFFFFF" w:val="clear"/>
        </w:rPr>
        <w:t>that as of March 31, 2024 our internal control over financial reporting was not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Remediation Efforts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begun the process of, and are focused on, designing and implementing effective internal control measures to improve our internal control over financial reporting and remediate the material weakness. Our remediation efforts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Corp</w:t>
      </w:r>
      <w:r>
        <w:rPr>
          <w:rFonts w:ascii="Times New Roman;sans-serif" w:hAnsi="Times New Roman;sans-serif"/>
          <w:b w:val="false"/>
          <w:color w:val="000000"/>
          <w:sz w:val="20"/>
        </w:rPr>
        <w:t>orate Governance and</w:t>
      </w:r>
      <w:r>
        <w:rPr>
          <w:color w:val="000000"/>
          <w:shd w:fill="FFFFFF" w:val="clear"/>
        </w:rPr>
        <w:t xml:space="preserve"> </w:t>
      </w:r>
      <w:r>
        <w:rPr>
          <w:rFonts w:ascii="Times New Roman;sans-serif" w:hAnsi="Times New Roman;sans-serif"/>
          <w:b w:val="false"/>
          <w:color w:val="000000"/>
          <w:sz w:val="20"/>
          <w:shd w:fill="FFFFFF" w:val="clear"/>
        </w:rPr>
        <w:t>Oversight: We have established a plan to help stabilize the ERP system and correct the identified co</w:t>
      </w:r>
      <w:r>
        <w:rPr>
          <w:rFonts w:ascii="Times New Roman;sans-serif" w:hAnsi="Times New Roman;sans-serif"/>
          <w:b w:val="false"/>
          <w:color w:val="000000"/>
          <w:sz w:val="20"/>
        </w:rPr>
        <w:t>ntrol deficiency. Additionally, we have engaged an outside professional firm to assist management overseeing the efforts to design, implem</w:t>
      </w:r>
      <w:r>
        <w:rPr>
          <w:rFonts w:ascii="Times New Roman;sans-serif" w:hAnsi="Times New Roman;sans-serif"/>
          <w:b w:val="false"/>
          <w:color w:val="000000"/>
          <w:sz w:val="20"/>
          <w:shd w:fill="FFFFFF" w:val="clear"/>
        </w:rPr>
        <w:t>ent and ensure the ongoing execution of our ITGCs of the ERP system.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 Management: We will continue designing and implementing an improved process for requesting, testing, authorizing, and reviewing system changes. This implementation will include enabling a complete activity logs of accessing and/or making changes to the system and the addition of detection controls which will include the review of such activity logs. We are also establishing policies and process surrounding the testing, approval and implementation of system changes to ERP system.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End User Training: We will also enhance the training of our personnel regarding their roles and responsibilities within the ITGCs objectives and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shared this plan with our Audit Committee and will provide periodic updates with respect to our progress. The material weakness will not be considered remediated until management designs and implements effective controls that operate for a sufficient period of time for management to conclude, through testing, that the controls are operating effectively.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Ownership of Class A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management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 over financial reporting is necessary for us to provide accurate financial information. The Sarbanes-Oxley Act requires us to, among other things, evaluate the effectiveness of our internal control over financial reporting. As further discussed in “Item 4. Controls and Procedures” of Part I of this report, our internal controls over financial reporting were not effective as of March 31, 2024 due to the existence of a material weakness in such controls.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and for the quarter ended, March 31, 2024, we identified a material weakness in our internal control over financial reporting related to the design and implementation of information technology general controls related to the implementation of our new enterprise resource planning system in mainland China utilized in the preparation of our consolidated financial statements. Specifically, </w:t>
      </w:r>
      <w:r>
        <w:rPr>
          <w:rFonts w:ascii="Times New Roman;sans-serif" w:hAnsi="Times New Roman;sans-serif"/>
          <w:b w:val="false"/>
          <w:color w:val="000000"/>
          <w:sz w:val="20"/>
          <w:shd w:fill="FFFFFF" w:val="clear"/>
        </w:rPr>
        <w:t xml:space="preserve">we did not (1) establish and maintain adequate pre-approval policy and process for the system changes; and (2) maintain a complete system change log. </w:t>
      </w:r>
      <w:r>
        <w:rPr>
          <w:rFonts w:ascii="Times New Roman;sans-serif" w:hAnsi="Times New Roman;sans-serif"/>
          <w:b w:val="false"/>
          <w:color w:val="000000"/>
          <w:sz w:val="20"/>
        </w:rPr>
        <w:t>As of March 31, 2024, we determined that the above mentioned material weakness had not been remediated.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process of designing and implementing effective internal controls and procedures and remediating the material weakness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or that we will implement and maintain adequate controls over our financial processes and reporting in the future in order to avoid additional material weaknesses or control or significant deficiencies in our internal control over financing reporting. If our remediation efforts are not successful or other material weaknesses or control or significant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 For further information, see “Item 4. Controls and Procedures” of Part II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three months ended March 31, 2024</w:t>
      </w:r>
      <w:r>
        <w:rPr>
          <w:rFonts w:ascii="Times New Roman;sans-serif" w:hAnsi="Times New Roman;sans-serif"/>
          <w:b w:val="false"/>
          <w:color w:val="000000"/>
          <w:sz w:val="20"/>
        </w:rPr>
        <w:t>, ACM Research issued, pursuant to the exercise of stock options at a per share exercise price of $0.50 per share, an aggregate of 275,740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pStyle w:val="TextBody"/>
        <w:bidi w:val="0"/>
        <w:spacing w:before="0" w:after="0"/>
        <w:jc w:val="both"/>
        <w:rPr/>
      </w:pPr>
      <w:r>
        <w:rPr/>
      </w:r>
    </w:p>
    <w:tbl>
      <w:tblPr>
        <w:tblW w:w="4115" w:type="dxa"/>
        <w:jc w:val="left"/>
        <w:tblInd w:w="0" w:type="dxa"/>
        <w:tblLayout w:type="fixed"/>
        <w:tblCellMar>
          <w:top w:w="28" w:type="dxa"/>
          <w:left w:w="28" w:type="dxa"/>
          <w:bottom w:w="28" w:type="dxa"/>
          <w:right w:w="28" w:type="dxa"/>
        </w:tblCellMar>
      </w:tblPr>
      <w:tblGrid>
        <w:gridCol w:w="510"/>
        <w:gridCol w:w="447"/>
        <w:gridCol w:w="452"/>
        <w:gridCol w:w="109"/>
        <w:gridCol w:w="109"/>
        <w:gridCol w:w="109"/>
        <w:gridCol w:w="333"/>
        <w:gridCol w:w="333"/>
        <w:gridCol w:w="333"/>
        <w:gridCol w:w="333"/>
        <w:gridCol w:w="333"/>
        <w:gridCol w:w="342"/>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Exercised Shares (Net)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34,434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177,089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tbl>
      <w:tblPr>
        <w:tblW w:w="7433" w:type="dxa"/>
        <w:jc w:val="left"/>
        <w:tblInd w:w="0" w:type="dxa"/>
        <w:tblLayout w:type="fixed"/>
        <w:tblCellMar>
          <w:top w:w="28" w:type="dxa"/>
          <w:left w:w="28" w:type="dxa"/>
          <w:bottom w:w="28" w:type="dxa"/>
          <w:right w:w="28" w:type="dxa"/>
        </w:tblCellMar>
      </w:tblPr>
      <w:tblGrid>
        <w:gridCol w:w="2037"/>
        <w:gridCol w:w="1785"/>
        <w:gridCol w:w="1804"/>
        <w:gridCol w:w="109"/>
        <w:gridCol w:w="109"/>
        <w:gridCol w:w="109"/>
        <w:gridCol w:w="109"/>
        <w:gridCol w:w="109"/>
        <w:gridCol w:w="109"/>
        <w:gridCol w:w="258"/>
        <w:gridCol w:w="258"/>
        <w:gridCol w:w="265"/>
        <w:gridCol w:w="109"/>
        <w:gridCol w:w="109"/>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9,843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27,341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ind w:left="0" w:right="0" w:firstLine="504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275,740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Jian Wang, Chief Executive Officer and President of ACM Shanghai, adopted a Rule 10b5-1 trading arrangement (the “Wang Plan”) that is intended to satisfy the affirmative defense of Rule 10b5-1(c) of the Exchange Act. The Wang Plan allows for the contemporaneous exercise of options and sale of up to 120,000 shares of Class A common stock, at specific market prices, commencing on June 6, 2024, and continuing until (i) all such options are exercised and the underlying shares are sold, (ii) December 31, 2024, or (iii) such date that the Wang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Mark McKechnie, Chief Financial Officer of ACM Research, adopted a Rule 10b5-1 trading arrangement (the “McKechnie Plan”) that is intended to satisfy the affirmative defense of Rule 10b5-1(c) of the Exchange Act. The McKechnie Plan allows for the contemporaneous exercise of options and sale of up to 81,516 shares of Class A common stock, at specific market prices, commencing on June 6, 2024, and continuing until (i) all such options are exercised and the underlying shares are sold, (ii) December 31, 2025, or (iii) such date that the McKechnie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2024, Lisa Feng, Chief Financial Officer of ACM Shanghai, adopted a Rule 10b5-1 trading arrangement (the “Feng Plan”) that is intended to satisfy the affirmative defense of Rule 10b5-1(c) of the Exchange Act. The Feng Plan allows for the contemporaneous exercise of options and sale of up to 30,000 shares of Class A common stock, at specific market prices, commencing on June 13, 2024, and continuing until (i) all such options are exercised and the underlying shares are sold, (ii) June 4, 2025, or (iii) such date that the Feng Plan is otherwise terminated according to its terms, whichever comes first.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shd w:fill="FFFFFF" w:val="clear"/>
        </w:rPr>
        <w:t>I</w:t>
      </w:r>
      <w:r>
        <w:rPr>
          <w:rFonts w:ascii="Times New Roman;sans-serif" w:hAnsi="Times New Roman;sans-serif"/>
          <w:b/>
          <w:color w:val="000000"/>
          <w:sz w:val="20"/>
        </w:rPr>
        <w:t>tem 6.    Exhibits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644"/>
        <w:gridCol w:w="2644"/>
        <w:gridCol w:w="378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4331xex3101.htm">
              <w:r>
                <w:rPr>
                  <w:rStyle w:val="InternetLink"/>
                  <w:rFonts w:ascii="Times New Roman;sans-serif" w:hAnsi="Times New Roman;sans-serif"/>
                  <w:b w:val="false"/>
                  <w:color w:val="0000EE"/>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40331xex3102.htm">
              <w:r>
                <w:rPr>
                  <w:rStyle w:val="InternetLink"/>
                  <w:rFonts w:ascii="Times New Roman;sans-serif" w:hAnsi="Times New Roman;sans-serif"/>
                  <w:b w:val="false"/>
                  <w:color w:val="0000EE"/>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40331xex3201.htm">
              <w:r>
                <w:rPr>
                  <w:rStyle w:val="InternetLink"/>
                  <w:rFonts w:ascii="Times New Roman;sans-serif" w:hAnsi="Times New Roman;sans-serif"/>
                  <w:b w:val="false"/>
                  <w:color w:val="0000EE"/>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18 U.S.C. Section 1350, as Adopted Pursuant to Section 906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a3be94adaa75417d9c776d94580909b3_7">
        <w:r>
          <w:rPr>
            <w:rStyle w:val="InternetLink"/>
            <w:rFonts w:ascii="Times New Roman;sans-serif" w:hAnsi="Times New Roman;sans-serif"/>
            <w:b w:val="false"/>
            <w:i/>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112" w:type="dxa"/>
        <w:jc w:val="left"/>
        <w:tblInd w:w="0" w:type="dxa"/>
        <w:tblLayout w:type="fixed"/>
        <w:tblCellMar>
          <w:top w:w="28" w:type="dxa"/>
          <w:left w:w="28" w:type="dxa"/>
          <w:bottom w:w="28" w:type="dxa"/>
          <w:right w:w="28" w:type="dxa"/>
        </w:tblCellMar>
      </w:tblPr>
      <w:tblGrid>
        <w:gridCol w:w="591"/>
        <w:gridCol w:w="520"/>
        <w:gridCol w:w="523"/>
        <w:gridCol w:w="331"/>
        <w:gridCol w:w="331"/>
        <w:gridCol w:w="331"/>
        <w:gridCol w:w="1307"/>
        <w:gridCol w:w="1307"/>
        <w:gridCol w:w="187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31.01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H. Wang,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3" w:type="dxa"/>
        <w:jc w:val="left"/>
        <w:tblInd w:w="0" w:type="dxa"/>
        <w:tblLayout w:type="fixed"/>
        <w:tblCellMar>
          <w:top w:w="28" w:type="dxa"/>
          <w:left w:w="28" w:type="dxa"/>
          <w:bottom w:w="28" w:type="dxa"/>
          <w:right w:w="28" w:type="dxa"/>
        </w:tblCellMar>
      </w:tblPr>
      <w:tblGrid>
        <w:gridCol w:w="591"/>
        <w:gridCol w:w="520"/>
        <w:gridCol w:w="523"/>
        <w:gridCol w:w="936"/>
        <w:gridCol w:w="936"/>
        <w:gridCol w:w="13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31.02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McKechnie,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ACM Research,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13" w:type="dxa"/>
        <w:jc w:val="left"/>
        <w:tblInd w:w="0" w:type="dxa"/>
        <w:tblLayout w:type="fixed"/>
        <w:tblCellMar>
          <w:top w:w="28" w:type="dxa"/>
          <w:left w:w="28" w:type="dxa"/>
          <w:bottom w:w="28" w:type="dxa"/>
          <w:right w:w="28" w:type="dxa"/>
        </w:tblCellMar>
      </w:tblPr>
      <w:tblGrid>
        <w:gridCol w:w="591"/>
        <w:gridCol w:w="520"/>
        <w:gridCol w:w="523"/>
        <w:gridCol w:w="1545"/>
        <w:gridCol w:w="1545"/>
        <w:gridCol w:w="218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32.01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ACM Research, Inc. for the quarterly period ended March 31, 2024,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ACM Research, Inc. for the period presented therein.</w:t>
      </w:r>
    </w:p>
    <w:tbl>
      <w:tblPr>
        <w:tblW w:w="6914" w:type="dxa"/>
        <w:jc w:val="left"/>
        <w:tblInd w:w="0" w:type="dxa"/>
        <w:tblLayout w:type="fixed"/>
        <w:tblCellMar>
          <w:top w:w="28" w:type="dxa"/>
          <w:left w:w="28" w:type="dxa"/>
          <w:bottom w:w="28" w:type="dxa"/>
          <w:right w:w="28" w:type="dxa"/>
        </w:tblCellMar>
      </w:tblPr>
      <w:tblGrid>
        <w:gridCol w:w="591"/>
        <w:gridCol w:w="520"/>
        <w:gridCol w:w="523"/>
        <w:gridCol w:w="1540"/>
        <w:gridCol w:w="1540"/>
        <w:gridCol w:w="220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H. Wang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27949</Words>
  <Characters>152693</Characters>
  <CharactersWithSpaces>179038</CharactersWithSpaces>
  <Paragraphs>3261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