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52" w:lineRule="exact"/>
        <w:rPr>
          <w:sz w:val="24"/>
          <w:szCs w:val="24"/>
          <w:color w:val="auto"/>
        </w:rPr>
      </w:pPr>
    </w:p>
    <w:p>
      <w:pPr>
        <w:ind w:left="180" w:right="2280" w:hanging="172"/>
        <w:spacing w:after="0" w:line="275" w:lineRule="auto"/>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280" w:right="2280" w:hanging="272"/>
        <w:spacing w:after="0" w:line="306"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001-38273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760" w:type="dxa"/>
            <w:vAlign w:val="bottom"/>
            <w:gridSpan w:val="2"/>
          </w:tcPr>
          <w:p>
            <w:pPr>
              <w:jc w:val="right"/>
              <w:ind w:right="2312"/>
              <w:spacing w:after="0"/>
              <w:rPr>
                <w:sz w:val="20"/>
                <w:szCs w:val="20"/>
                <w:color w:val="auto"/>
              </w:rPr>
            </w:pPr>
            <w:r>
              <w:rPr>
                <w:rFonts w:ascii="Arial" w:cs="Arial" w:eastAsia="Arial" w:hAnsi="Arial"/>
                <w:sz w:val="18"/>
                <w:szCs w:val="18"/>
                <w:b w:val="1"/>
                <w:bCs w:val="1"/>
                <w:color w:val="auto"/>
              </w:rPr>
              <w:t>94-3290283</w:t>
            </w:r>
          </w:p>
        </w:tc>
      </w:tr>
      <w:tr>
        <w:trPr>
          <w:trHeight w:val="222"/>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100" w:type="dxa"/>
            <w:vAlign w:val="bottom"/>
          </w:tcPr>
          <w:p>
            <w:pPr>
              <w:spacing w:after="0"/>
              <w:rPr>
                <w:sz w:val="19"/>
                <w:szCs w:val="19"/>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11"/>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6"/>
              </w:rPr>
              <w:t>42307 Osgood Road, Suite I</w:t>
            </w:r>
          </w:p>
        </w:tc>
        <w:tc>
          <w:tcPr>
            <w:tcW w:w="10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237"/>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0"/>
              </w:rPr>
              <w:t>Fremont, California</w:t>
            </w:r>
          </w:p>
        </w:tc>
        <w:tc>
          <w:tcPr>
            <w:tcW w:w="5760" w:type="dxa"/>
            <w:vAlign w:val="bottom"/>
            <w:gridSpan w:val="2"/>
          </w:tcPr>
          <w:p>
            <w:pPr>
              <w:jc w:val="right"/>
              <w:ind w:right="2512"/>
              <w:spacing w:after="0"/>
              <w:rPr>
                <w:sz w:val="20"/>
                <w:szCs w:val="20"/>
                <w:color w:val="auto"/>
              </w:rPr>
            </w:pPr>
            <w:r>
              <w:rPr>
                <w:rFonts w:ascii="Arial" w:cs="Arial" w:eastAsia="Arial" w:hAnsi="Arial"/>
                <w:sz w:val="18"/>
                <w:szCs w:val="18"/>
                <w:b w:val="1"/>
                <w:bCs w:val="1"/>
                <w:color w:val="auto"/>
              </w:rPr>
              <w:t>94539</w:t>
            </w:r>
          </w:p>
        </w:tc>
      </w:tr>
      <w:tr>
        <w:trPr>
          <w:trHeight w:val="222"/>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100" w:type="dxa"/>
            <w:vAlign w:val="bottom"/>
          </w:tcPr>
          <w:p>
            <w:pPr>
              <w:spacing w:after="0"/>
              <w:rPr>
                <w:sz w:val="19"/>
                <w:szCs w:val="19"/>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16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02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02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0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3540" w:type="dxa"/>
            <w:vAlign w:val="bottom"/>
          </w:tcPr>
          <w:p>
            <w:pPr>
              <w:ind w:left="102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2"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Class</w:t>
            </w:r>
          </w:p>
        </w:tc>
        <w:tc>
          <w:tcPr>
            <w:tcW w:w="2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 of Shares Outstanding</w:t>
            </w:r>
          </w:p>
        </w:tc>
        <w:tc>
          <w:tcPr>
            <w:tcW w:w="1380" w:type="dxa"/>
            <w:vAlign w:val="bottom"/>
          </w:tcPr>
          <w:p>
            <w:pPr>
              <w:spacing w:after="0"/>
              <w:rPr>
                <w:sz w:val="18"/>
                <w:szCs w:val="18"/>
                <w:color w:val="auto"/>
              </w:rPr>
            </w:pPr>
          </w:p>
        </w:tc>
      </w:tr>
      <w:tr>
        <w:trPr>
          <w:trHeight w:val="228"/>
        </w:trPr>
        <w:tc>
          <w:tcPr>
            <w:tcW w:w="5040" w:type="dxa"/>
            <w:vAlign w:val="bottom"/>
            <w:gridSpan w:val="3"/>
          </w:tcPr>
          <w:p>
            <w:pPr>
              <w:spacing w:after="0"/>
              <w:rPr>
                <w:sz w:val="20"/>
                <w:szCs w:val="20"/>
                <w:color w:val="auto"/>
              </w:rPr>
            </w:pPr>
            <w:r>
              <w:rPr>
                <w:rFonts w:ascii="Arial" w:cs="Arial" w:eastAsia="Arial" w:hAnsi="Arial"/>
                <w:sz w:val="18"/>
                <w:szCs w:val="18"/>
                <w:color w:val="auto"/>
              </w:rPr>
              <w:t>Class A Common Stock, $0.0001 par value</w:t>
            </w:r>
          </w:p>
        </w:tc>
        <w:tc>
          <w:tcPr>
            <w:tcW w:w="6380" w:type="dxa"/>
            <w:vAlign w:val="bottom"/>
            <w:gridSpan w:val="3"/>
          </w:tcPr>
          <w:p>
            <w:pPr>
              <w:jc w:val="center"/>
              <w:ind w:left="1172"/>
              <w:spacing w:after="0"/>
              <w:rPr>
                <w:sz w:val="20"/>
                <w:szCs w:val="20"/>
                <w:color w:val="auto"/>
              </w:rPr>
            </w:pPr>
            <w:r>
              <w:rPr>
                <w:rFonts w:ascii="Arial" w:cs="Arial" w:eastAsia="Arial" w:hAnsi="Arial"/>
                <w:sz w:val="18"/>
                <w:szCs w:val="18"/>
                <w:color w:val="auto"/>
                <w:w w:val="87"/>
              </w:rPr>
              <w:t>13,963,257 shares outstanding as of August 7, 2018</w:t>
            </w:r>
          </w:p>
        </w:tc>
      </w:tr>
      <w:tr>
        <w:trPr>
          <w:trHeight w:val="222"/>
        </w:trPr>
        <w:tc>
          <w:tcPr>
            <w:tcW w:w="5040" w:type="dxa"/>
            <w:vAlign w:val="bottom"/>
            <w:gridSpan w:val="3"/>
          </w:tcPr>
          <w:p>
            <w:pPr>
              <w:spacing w:after="0"/>
              <w:rPr>
                <w:sz w:val="20"/>
                <w:szCs w:val="20"/>
                <w:color w:val="auto"/>
              </w:rPr>
            </w:pPr>
            <w:r>
              <w:rPr>
                <w:rFonts w:ascii="Arial" w:cs="Arial" w:eastAsia="Arial" w:hAnsi="Arial"/>
                <w:sz w:val="18"/>
                <w:szCs w:val="18"/>
                <w:color w:val="auto"/>
              </w:rPr>
              <w:t>Class B Common Stock, $0.0001 par value</w:t>
            </w:r>
          </w:p>
        </w:tc>
        <w:tc>
          <w:tcPr>
            <w:tcW w:w="6380" w:type="dxa"/>
            <w:vAlign w:val="bottom"/>
            <w:gridSpan w:val="3"/>
          </w:tcPr>
          <w:p>
            <w:pPr>
              <w:jc w:val="center"/>
              <w:ind w:left="1172"/>
              <w:spacing w:after="0"/>
              <w:rPr>
                <w:sz w:val="20"/>
                <w:szCs w:val="20"/>
                <w:color w:val="auto"/>
              </w:rPr>
            </w:pPr>
            <w:r>
              <w:rPr>
                <w:rFonts w:ascii="Arial" w:cs="Arial" w:eastAsia="Arial" w:hAnsi="Arial"/>
                <w:sz w:val="18"/>
                <w:szCs w:val="18"/>
                <w:color w:val="auto"/>
                <w:w w:val="87"/>
              </w:rPr>
              <w:t>1,918,423 shares outstanding as of August 7, 2018</w:t>
            </w:r>
          </w:p>
        </w:tc>
      </w:tr>
      <w:tr>
        <w:trPr>
          <w:trHeight w:val="218"/>
        </w:trPr>
        <w:tc>
          <w:tcPr>
            <w:tcW w:w="2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36"/>
        </w:trPr>
        <w:tc>
          <w:tcPr>
            <w:tcW w:w="23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297"/>
        </w:trPr>
        <w:tc>
          <w:tcPr>
            <w:tcW w:w="2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80" w:type="dxa"/>
            <w:vAlign w:val="bottom"/>
            <w:gridSpan w:val="9"/>
          </w:tcPr>
          <w:p>
            <w:pPr>
              <w:ind w:left="130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PART I.</w:t>
              </w:r>
            </w:hyperlink>
          </w:p>
        </w:tc>
        <w:tc>
          <w:tcPr>
            <w:tcW w:w="580" w:type="dxa"/>
            <w:vAlign w:val="bottom"/>
            <w:tcBorders>
              <w:bottom w:val="single" w:sz="8" w:color="CCEEFF"/>
            </w:tcBorders>
            <w:gridSpan w:val="3"/>
            <w:shd w:val="clear" w:color="auto" w:fill="CCEEFF"/>
          </w:tcPr>
          <w:p>
            <w:pPr>
              <w:spacing w:after="0"/>
              <w:rPr>
                <w:sz w:val="17"/>
                <w:szCs w:val="17"/>
                <w:color w:val="auto"/>
              </w:rPr>
            </w:pPr>
          </w:p>
        </w:tc>
        <w:tc>
          <w:tcPr>
            <w:tcW w:w="22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FINANCIAL INFORMATION</w:t>
              </w:r>
            </w:hyperlink>
          </w:p>
        </w:tc>
        <w:tc>
          <w:tcPr>
            <w:tcW w:w="6000" w:type="dxa"/>
            <w:vAlign w:val="bottom"/>
            <w:tcBorders>
              <w:bottom w:val="single" w:sz="8" w:color="CCEEFF"/>
            </w:tcBorders>
            <w:gridSpan w:val="10"/>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20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2018 and December 31, 2017</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and Comprehensive Income (Loss)</w:t>
              </w:r>
            </w:hyperlink>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 the Three and Six Months Ended June 30, 2018 and 2017</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w:t>
              </w:r>
            </w:hyperlink>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0" w:type="dxa"/>
            <w:vAlign w:val="bottom"/>
            <w:gridSpan w:val="16"/>
            <w:shd w:val="clear" w:color="auto" w:fill="CCEEFF"/>
          </w:tcPr>
          <w:p>
            <w:pPr>
              <w:ind w:left="1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June 30, 2018 and 2017</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8200" w:type="dxa"/>
            <w:vAlign w:val="bottom"/>
            <w:gridSpan w:val="1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8200" w:type="dxa"/>
            <w:vAlign w:val="bottom"/>
            <w:gridSpan w:val="16"/>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Risks</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8200" w:type="dxa"/>
            <w:vAlign w:val="bottom"/>
            <w:gridSpan w:val="1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PART II.</w:t>
              </w:r>
            </w:hyperlink>
          </w:p>
        </w:tc>
        <w:tc>
          <w:tcPr>
            <w:tcW w:w="8200" w:type="dxa"/>
            <w:vAlign w:val="bottom"/>
            <w:gridSpan w:val="16"/>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1A.</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Risk Factors</w:t>
              </w:r>
            </w:hyperlink>
          </w:p>
        </w:tc>
        <w:tc>
          <w:tcPr>
            <w:tcW w:w="7320" w:type="dxa"/>
            <w:vAlign w:val="bottom"/>
            <w:tcBorders>
              <w:bottom w:val="single" w:sz="8" w:color="CCEEFF"/>
            </w:tcBorders>
            <w:gridSpan w:val="13"/>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8200" w:type="dxa"/>
            <w:vAlign w:val="bottom"/>
            <w:gridSpan w:val="1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8200" w:type="dxa"/>
            <w:vAlign w:val="bottom"/>
            <w:gridSpan w:val="16"/>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6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30"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SAPS, TEBO and ULTRA C are our trademarks. This report also contains other companies’ trademarks, registered marks and trade names, which are the property of those companies.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27"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the registration statement of which this report is a part,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June 30,</w:t>
            </w:r>
          </w:p>
        </w:tc>
        <w:tc>
          <w:tcPr>
            <w:tcW w:w="122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left="554"/>
              <w:spacing w:after="0"/>
              <w:rPr>
                <w:sz w:val="20"/>
                <w:szCs w:val="20"/>
                <w:color w:val="auto"/>
              </w:rPr>
            </w:pPr>
            <w:r>
              <w:rPr>
                <w:rFonts w:ascii="Arial" w:cs="Arial" w:eastAsia="Arial" w:hAnsi="Arial"/>
                <w:sz w:val="15"/>
                <w:szCs w:val="15"/>
                <w:i w:val="1"/>
                <w:iCs w:val="1"/>
                <w:color w:val="auto"/>
                <w:w w:val="92"/>
              </w:rPr>
              <w:t>(unaudited)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tcPr>
          <w:p>
            <w:pPr>
              <w:jc w:val="center"/>
              <w:ind w:right="260"/>
              <w:spacing w:after="0" w:line="162" w:lineRule="exact"/>
              <w:rPr>
                <w:sz w:val="20"/>
                <w:szCs w:val="20"/>
                <w:color w:val="auto"/>
              </w:rPr>
            </w:pPr>
            <w:r>
              <w:rPr>
                <w:rFonts w:ascii="Arial" w:cs="Arial" w:eastAsia="Arial" w:hAnsi="Arial"/>
                <w:sz w:val="15"/>
                <w:szCs w:val="15"/>
                <w:i w:val="1"/>
                <w:iCs w:val="1"/>
                <w:color w:val="auto"/>
                <w:w w:val="88"/>
              </w:rPr>
              <w:t>(in thousands, except share and per</w:t>
            </w: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left="574"/>
              <w:spacing w:after="0" w:line="172" w:lineRule="exact"/>
              <w:rPr>
                <w:sz w:val="20"/>
                <w:szCs w:val="20"/>
                <w:color w:val="auto"/>
              </w:rPr>
            </w:pPr>
            <w:r>
              <w:rPr>
                <w:rFonts w:ascii="Arial" w:cs="Arial" w:eastAsia="Arial" w:hAnsi="Arial"/>
                <w:sz w:val="15"/>
                <w:szCs w:val="15"/>
                <w:i w:val="1"/>
                <w:iCs w:val="1"/>
                <w:color w:val="auto"/>
                <w:w w:val="89"/>
              </w:rPr>
              <w:t>share data)</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89"/>
              </w:rPr>
              <w:t>Accounts receivable, less allowance for doubtful accounts of $0 as of June 30, 2018 and $0 as of December 31, 2017 (note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 (note 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27,531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(note 15)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 equity method (note 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87,833</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29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borrowings (note 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9,932</w:t>
            </w:r>
          </w:p>
        </w:tc>
        <w:tc>
          <w:tcPr>
            <w:tcW w:w="2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Warrant liability (note 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17,755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Advances from customers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payables and accrued expenses (note 7)</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(note 9)</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42,236</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 Class A, par value $0.0001: 100,000,000 shares authorized as of June 30, 2018 and December 31, 2017.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4"/>
              </w:rPr>
              <w:t>13,957,339 shares issued and outstanding as of June 30, 2018 and 12,935,546 shares issued and outstanding as of</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(note 13)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Common stock–Class B, par value $0.0001: 7,303,533 shares authorized as of June 30, 2018 and December 31, 2017.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w w:val="88"/>
              </w:rPr>
              <w:t>1,920,173 shares issued and outstanding as of June 30, 2018 and 2,409,738 shares issued and outstanding as of December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31, 2017 (note 13)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(9,526)</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(9,961)</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45,597</w:t>
            </w: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4"/>
              </w:rPr>
              <w:t>Three Months Ended June 30,</w:t>
            </w:r>
          </w:p>
        </w:tc>
        <w:tc>
          <w:tcPr>
            <w:tcW w:w="240" w:type="dxa"/>
            <w:vAlign w:val="bottom"/>
          </w:tcPr>
          <w:p>
            <w:pPr>
              <w:spacing w:after="0"/>
              <w:rPr>
                <w:sz w:val="15"/>
                <w:szCs w:val="15"/>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w w:val="94"/>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3"/>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line="162" w:lineRule="exact"/>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5"/>
                <w:szCs w:val="15"/>
                <w:i w:val="1"/>
                <w:iCs w:val="1"/>
                <w:color w:val="auto"/>
              </w:rPr>
              <w:t>(unaudited)</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0" w:type="dxa"/>
            <w:vAlign w:val="bottom"/>
            <w:gridSpan w:val="7"/>
          </w:tcPr>
          <w:p>
            <w:pPr>
              <w:jc w:val="right"/>
              <w:ind w:right="140"/>
              <w:spacing w:after="0"/>
              <w:rPr>
                <w:sz w:val="20"/>
                <w:szCs w:val="20"/>
                <w:color w:val="auto"/>
              </w:rPr>
            </w:pPr>
            <w:r>
              <w:rPr>
                <w:rFonts w:ascii="Arial" w:cs="Arial" w:eastAsia="Arial" w:hAnsi="Arial"/>
                <w:sz w:val="15"/>
                <w:szCs w:val="15"/>
                <w:i w:val="1"/>
                <w:iCs w:val="1"/>
                <w:color w:val="auto"/>
                <w:w w:val="88"/>
              </w:rPr>
              <w:t>(In thousands, except share and per share data)</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 net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(note 15)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CEEFF"/>
            </w:tcBorders>
          </w:tcPr>
          <w:p>
            <w:pPr>
              <w:ind w:left="320"/>
              <w:spacing w:after="0" w:line="201" w:lineRule="exact"/>
              <w:rPr>
                <w:sz w:val="20"/>
                <w:szCs w:val="20"/>
                <w:color w:val="auto"/>
              </w:rPr>
            </w:pPr>
            <w:r>
              <w:rPr>
                <w:rFonts w:ascii="Arial" w:cs="Arial" w:eastAsia="Arial" w:hAnsi="Arial"/>
                <w:sz w:val="18"/>
                <w:szCs w:val="18"/>
                <w:b w:val="1"/>
                <w:bCs w:val="1"/>
                <w:color w:val="auto"/>
                <w:w w:val="95"/>
              </w:rPr>
              <w:t>Total comprehensive income (loss) attributable to ACM Research, Inc.</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b w:val="1"/>
                <w:bCs w:val="1"/>
                <w:color w:val="auto"/>
              </w:rPr>
              <w:t>(note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2,179</w:t>
            </w:r>
          </w:p>
        </w:tc>
        <w:tc>
          <w:tcPr>
            <w:tcW w:w="2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3"/>
              </w:rPr>
              <w:t>Net income (loss) attributable to ACM Research, Inc. per common share (note 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88"/>
              </w:rPr>
              <w:t>Weighted average common shares outstanding used in computing per share amounts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(note 2):</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15,838,540</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5,086,989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15,611,863</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4,927,973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18,119,733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5,086,989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17,669,650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4,927,973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Six Months Ended</w:t>
      </w:r>
    </w:p>
    <w:p>
      <w:pPr>
        <w:spacing w:after="0" w:line="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23"/>
              <w:spacing w:after="0"/>
              <w:rPr>
                <w:sz w:val="20"/>
                <w:szCs w:val="20"/>
                <w:color w:val="auto"/>
              </w:rPr>
            </w:pPr>
            <w:r>
              <w:rPr>
                <w:rFonts w:ascii="Arial" w:cs="Arial" w:eastAsia="Arial" w:hAnsi="Arial"/>
                <w:sz w:val="15"/>
                <w:szCs w:val="15"/>
                <w:i w:val="1"/>
                <w:iCs w:val="1"/>
                <w:color w:val="auto"/>
              </w:rPr>
              <w:t>(unaudited)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operations to net cash provided by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2, 360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Net changes in operating assets and liabilities: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Advances from customers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payables and accrued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(4,118)</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(5,252)</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4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17,435</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2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2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both"/>
        <w:ind w:firstLine="324"/>
        <w:spacing w:after="0" w:line="259" w:lineRule="auto"/>
        <w:rPr>
          <w:sz w:val="20"/>
          <w:szCs w:val="20"/>
          <w:color w:val="auto"/>
        </w:rPr>
      </w:pPr>
      <w:r>
        <w:rPr>
          <w:rFonts w:ascii="Arial" w:cs="Arial" w:eastAsia="Arial" w:hAnsi="Arial"/>
          <w:sz w:val="18"/>
          <w:szCs w:val="18"/>
          <w:color w:val="auto"/>
        </w:rPr>
        <w:t>On November 2, 2017, the Registration Statement on Form S-1 (File No. 333- 220451) for ACM’s initial public offering of Class A common stock (the “IPO”) was declared effective by the U.S. Securities and Exchange Commission. Shares of Class A common stock began trading on the Nasdaq Global Market on November 3, 2017, and the closing for the IPO was held on November 7, 2017.</w:t>
      </w:r>
    </w:p>
    <w:p>
      <w:pPr>
        <w:spacing w:after="0" w:line="127"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2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(“SEC”) for reporting on Form 10-Q. Accordingly, they do not include all the information and footnotes required by GAAP for complete financial statements herein. The unaudited condensed consolidated financial statements herein should be read in conjunction with the historical consolidated financial statements of the Company for the year ended December 31, 2017 included in the Company’s Annual Report on Form 10-K for the year ended December 31, 2017.</w:t>
      </w:r>
    </w:p>
    <w:p>
      <w:pPr>
        <w:spacing w:after="0" w:line="1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condensed consolidated balance sheet as of June 30, 2018, the condensed consolidated statements of operations and comprehensive income (loss) for the three and six months ended June 30, 2018 and 2017, and the condensed consolidated statements of cash flows for the six months ended June 30, 2018 and 2017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2018 and the results of operations for the three months and six months ended June 30, 2018 are not necessarily indicative of the results to be expected for any future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Basic and Diluted Net Income (Loss) attributable to ACM per Common Share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(loss) attributable to ACM per common share is calculated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5"/>
                <w:szCs w:val="15"/>
                <w:b w:val="1"/>
                <w:bCs w:val="1"/>
                <w:color w:val="auto"/>
              </w:rPr>
              <w:t>Six Months Ended</w:t>
            </w:r>
          </w:p>
        </w:tc>
      </w:tr>
      <w:tr>
        <w:trPr>
          <w:trHeight w:val="182"/>
        </w:trPr>
        <w:tc>
          <w:tcPr>
            <w:tcW w:w="6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5"/>
                <w:szCs w:val="15"/>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0"/>
        </w:trPr>
        <w:tc>
          <w:tcPr>
            <w:tcW w:w="6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21"/>
                <w:szCs w:val="21"/>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3,215</w:t>
            </w: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(2,955)</w:t>
            </w:r>
          </w:p>
        </w:tc>
      </w:tr>
      <w:tr>
        <w:trPr>
          <w:trHeight w:val="242"/>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r>
      <w:tr>
        <w:trPr>
          <w:trHeight w:val="28"/>
        </w:trPr>
        <w:tc>
          <w:tcPr>
            <w:tcW w:w="6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42"/>
        </w:trPr>
        <w:tc>
          <w:tcPr>
            <w:tcW w:w="6080" w:type="dxa"/>
            <w:vAlign w:val="bottom"/>
          </w:tcPr>
          <w:p>
            <w:pPr>
              <w:ind w:left="280"/>
              <w:spacing w:after="0"/>
              <w:rPr>
                <w:sz w:val="20"/>
                <w:szCs w:val="20"/>
                <w:color w:val="auto"/>
              </w:rPr>
            </w:pPr>
            <w:r>
              <w:rPr>
                <w:rFonts w:ascii="Arial" w:cs="Arial" w:eastAsia="Arial" w:hAnsi="Arial"/>
                <w:sz w:val="18"/>
                <w:szCs w:val="18"/>
                <w:color w:val="auto"/>
              </w:rPr>
              <w:t>Net income (loss) attributable to ACM, basic and diluted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(2,747)</w:t>
            </w:r>
          </w:p>
        </w:tc>
      </w:tr>
      <w:tr>
        <w:trPr>
          <w:trHeight w:val="22"/>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15,838,540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5,086,989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15,611,863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4,927,973</w:t>
            </w:r>
          </w:p>
        </w:tc>
        <w:tc>
          <w:tcPr>
            <w:tcW w:w="1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dilutive securities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2,281,193</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2,057,787</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18,119,733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5,086,989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17,669,650</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4,927,973</w:t>
            </w:r>
          </w:p>
        </w:tc>
        <w:tc>
          <w:tcPr>
            <w:tcW w:w="1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ACM per common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0.20</w:t>
            </w: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r>
      <w:tr>
        <w:trPr>
          <w:trHeight w:val="21"/>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six months ended June 30, 2018 and 2017, the net income (loss) per common share attributable to each class is the same under the “two-class” method. As such, the two classes of common stock have been presented on a combined basis in the consolidated statements of operations and comprehensive income (loss) and in the above computation of net income (loss) per common share.</w:t>
      </w:r>
    </w:p>
    <w:p>
      <w:pPr>
        <w:spacing w:after="0" w:line="12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Diluted net income (loss) per common share reflects the potential dilution from securities that could share in ACM’s earnings. ACM’s potential dilutive securities consist of convertible preferred stocks, warrants and stock options for the three and six months ended June 30, 2018 and 2017. Certain potential dilutive securities were excluded from the net income (loss) per share calculation because the impact would be anti-dilutive.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No. 2017-09,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Scope of Modification Accounting </w:t>
      </w:r>
      <w:r>
        <w:rPr>
          <w:rFonts w:ascii="Arial" w:cs="Arial" w:eastAsia="Arial" w:hAnsi="Arial"/>
          <w:sz w:val="18"/>
          <w:szCs w:val="18"/>
          <w:color w:val="auto"/>
        </w:rPr>
        <w:t>(“ASU 2017-09”), which provides guidance on determining which changes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adoption of ASU 2017-09 did not have a material impact on the Company’s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 w:name="page10"/>
    <w:bookmarkEnd w:id="9"/>
    <w:p>
      <w:pPr>
        <w:jc w:val="both"/>
        <w:ind w:firstLine="324"/>
        <w:spacing w:after="0" w:line="289"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w:t>
      </w:r>
      <w:r>
        <w:rPr>
          <w:rFonts w:ascii="Arial" w:cs="Arial" w:eastAsia="Arial" w:hAnsi="Arial"/>
          <w:sz w:val="16"/>
          <w:szCs w:val="16"/>
          <w:color w:val="auto"/>
        </w:rPr>
        <w:t>(“ASU 2017-05”), which clarifies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adoption of ASU 2017-05 did not have a material impact on the Company’s consolidated financial statements.</w:t>
      </w:r>
    </w:p>
    <w:p>
      <w:pPr>
        <w:spacing w:after="0" w:line="10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adoption of ASU 2016-18 did not have a material impact on the Company’s consolidated financial statements.</w:t>
      </w:r>
    </w:p>
    <w:p>
      <w:pPr>
        <w:spacing w:after="0" w:line="10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adoption of ASU 2016-15 did not have material impact on the Company’s consolidated financial statements.</w:t>
      </w:r>
    </w:p>
    <w:p>
      <w:pPr>
        <w:spacing w:after="0" w:line="10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The amendments in this update require all equity investments to be measured at fair value with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recognized through net income (other than those accounted for under the equity method of accounting or those that result in consolidation of the investee). The amendments in this update also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In addition, the amendments in this update eliminate the requirement to disclose the method(s) and significant assumptions used to estimate the fair value that is required to be disclosed for financial instruments measured at amortized cost on the balance sheet for public entities. For public business entities, the amendments in ASU 2016-01 are effective for fiscal years beginning after December 15, 2017, including interim periods within those fiscal years. Except for the early application guidance discussed in ASU 2016-01, early adoption of the amendments in this update is not permitted. The adoption of the ASU 2016-01 did not have a material impact on the Company’s consolidated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jc w:val="both"/>
        <w:ind w:firstLine="324"/>
        <w:spacing w:after="0" w:line="29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amended the existing accounting standards for revenue recognition. ASU 2014-09 establishes principles for recognizing revenue upon the transfer of promised goods or services to customers, in an amount that reflects the expected consideration received in exchange for those goods or services. ASU 2014-09 and its related clarifying ASUs are effective for annual reporting periods beginning after December 15, 2017 and interim periods within those annual periods.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to all contracts which were not completed as of January 1, 2018 using the modified retrospective method. The Company does not have open contracts that may result in any changes to revenues applying the New Revenue Standard.</w:t>
      </w:r>
    </w:p>
    <w:p>
      <w:pPr>
        <w:spacing w:after="0" w:line="127"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Company derives revenue principally from the sale of single-wafer wet cleaning equipment. Revenue from contracts with customers is recognized using the following five steps pursuant to the New Revenue Standard:</w:t>
      </w:r>
    </w:p>
    <w:p>
      <w:pPr>
        <w:spacing w:after="0" w:line="118"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58" w:lineRule="exact"/>
        <w:rPr>
          <w:sz w:val="20"/>
          <w:szCs w:val="20"/>
          <w:color w:val="auto"/>
        </w:rPr>
      </w:pPr>
    </w:p>
    <w:p>
      <w:pPr>
        <w:jc w:val="both"/>
        <w:ind w:right="20" w:firstLine="324"/>
        <w:spacing w:after="0" w:line="370" w:lineRule="auto"/>
        <w:rPr>
          <w:sz w:val="20"/>
          <w:szCs w:val="20"/>
          <w:color w:val="auto"/>
        </w:rPr>
      </w:pPr>
      <w:r>
        <w:rPr>
          <w:rFonts w:ascii="Arial" w:cs="Arial" w:eastAsia="Arial" w:hAnsi="Arial"/>
          <w:sz w:val="15"/>
          <w:szCs w:val="15"/>
          <w:color w:val="auto"/>
        </w:rPr>
        <w:t>A contract contains a promise (or promises) to transfer goods or services to a customer. A performance obligation is a promise (or a group of promises) that is distinct. The transaction price is the amount of consideration a company expects to be entitled from a customer in exchange for providing the goods or services.</w:t>
      </w:r>
    </w:p>
    <w:p>
      <w:pPr>
        <w:spacing w:after="0" w:line="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unit of account for revenue recognition is a performance obligation (a good or service). A contract may contain one or more performance obligations. 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 Otherwise performance obligations are combined with other promised goods or services until the Company identifies a bundle of goods or services that is distinct. Promises in contracts which do not result in the transfer of a good or service are not performance obligations, as well as those promises that are administrative in nature, or are immaterial in the context of the contract. The Company has addressed whether various goods and services promised to the customer represent distinct performance obligations. The Company applied the guidance of ASC Topic 606-10-25-16 through 18 in order to verify which promises should be assessed for classification as distinct performance obligations. The Company’s contracts with customers include more than one performance obligation. For example, the delivery of a piece of equipment generally includes the promise to install the equipment in the customer’s facility. The Company’s performance obligations in connection with a sale of equipment generally include production, delivery and installation, together with the provision of a warranty.</w:t>
      </w:r>
    </w:p>
    <w:p>
      <w:pPr>
        <w:spacing w:after="0" w:line="109" w:lineRule="exact"/>
        <w:rPr>
          <w:sz w:val="20"/>
          <w:szCs w:val="20"/>
          <w:color w:val="auto"/>
        </w:rPr>
      </w:pPr>
    </w:p>
    <w:p>
      <w:pPr>
        <w:jc w:val="both"/>
        <w:ind w:firstLine="395"/>
        <w:spacing w:after="0" w:line="288" w:lineRule="auto"/>
        <w:rPr>
          <w:sz w:val="20"/>
          <w:szCs w:val="20"/>
          <w:color w:val="auto"/>
        </w:rPr>
      </w:pPr>
      <w:r>
        <w:rPr>
          <w:rFonts w:ascii="Arial" w:cs="Arial" w:eastAsia="Arial" w:hAnsi="Arial"/>
          <w:sz w:val="16"/>
          <w:szCs w:val="16"/>
          <w:color w:val="auto"/>
        </w:rPr>
        <w:t>The transaction price is allocated to all the separate performance obligations in an arrangement. It reflects the amount of consideration to which the Company expects to be entitled in exchange for transferring goods or services, which may include an estimate of variable consideration to the extent that it is probable of not being subject to significant reversals in the future based on the Company’s experience with similar arrangements. The transaction price excludes amounts collected on behalf of third parties, such as sales taxes. This is done on a relative selling price basis using standalone selling prices (“SSP”). The SSP represents the price at which the Company would sell that good or service on a standalone basis at the inception of the contract. Given the requirement for establishing SSP for all performance obligations, if the SSP is directly observable through standalone sales, then such sales should be considered in the establishment of the SSP for the performance obligation. All of the Company’s products were sold in stand-alone arrangements, the Company does not have observable SSPs for most performance obligations as they are not regularly sold on a standalone basis. Production, delivery and installation of a product, together with provision of a warranty, are a single unit of accounting.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p>
      <w:pPr>
        <w:jc w:val="both"/>
        <w:ind w:firstLine="324"/>
        <w:spacing w:after="0" w:line="291" w:lineRule="auto"/>
        <w:rPr>
          <w:sz w:val="20"/>
          <w:szCs w:val="20"/>
          <w:color w:val="auto"/>
        </w:rPr>
      </w:pPr>
      <w:r>
        <w:rPr>
          <w:rFonts w:ascii="Arial" w:cs="Arial" w:eastAsia="Arial" w:hAnsi="Arial"/>
          <w:sz w:val="16"/>
          <w:szCs w:val="16"/>
          <w:color w:val="auto"/>
        </w:rPr>
        <w:t>Revenue is recognized when the Company satisfies each performance obligation by transferring control of the promised goods or services to the customer. Goods or services can transfer at a point in time (upon the acceptance of the products or upon the arrival at the destination as stipulated in the shipment terms) in a sale arrangement. In general, the Company recognizes revenue when a tool has been demonstrated to meet the customer’s predetermined specifications and is accepted by the customer. If terms of the sale provide for a lapsing customer acceptance period, the Company recognizes revenue as of the earlier of the expiration of the lapsing acceptance period and customer acceptance. In the following circumstances, however, the Company recognizes revenue upon shipment or delivery, when legal title to the tool is passed to a customer as follows:</w:t>
      </w:r>
    </w:p>
    <w:p>
      <w:pPr>
        <w:spacing w:after="0" w:line="107" w:lineRule="exact"/>
        <w:rPr>
          <w:sz w:val="20"/>
          <w:szCs w:val="20"/>
          <w:color w:val="auto"/>
        </w:rPr>
      </w:pPr>
    </w:p>
    <w:p>
      <w:pPr>
        <w:ind w:left="660" w:right="2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has previously accepted the same tool with the same specifications and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sales contract or purchase order contains no acceptance agreement or lapsing acceptance provision and the Company can objectively demonstrate that the tool meets all of the required acceptance criteria;</w:t>
      </w:r>
    </w:p>
    <w:p>
      <w:pPr>
        <w:spacing w:after="0" w:line="118"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withholds acceptance due to issues unrelated to product performance, in which case revenue is recognized when the system is performing as intended and meets predetermined specifications; or</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Company’s sales arrangements do not include a general right of return.</w:t>
      </w:r>
    </w:p>
    <w:p>
      <w:pPr>
        <w:spacing w:after="0" w:line="15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Company offers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The Company does not expect revenue from extended maintenance service contracts to represent a material portion of its revenue in the future. As such, the Company has concluded that its revenue recognition under the adoption of the New Revenue Standard will remain the same as previously reported and will not have material impacts to its condensed consolidated financial statements.</w:t>
      </w:r>
    </w:p>
    <w:p>
      <w:pPr>
        <w:spacing w:after="0" w:line="102"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The Company incurs costs related to the acquisition of its contracts with customers in the form of sales commissions. Sales commissions are paid to third party representatives and distributors. Contractual agreements with these parties outline commission structures and rates to be paid. Generally speaking, the contracts are all individual procurement decisions by the customers and are not for significant periods of time, nor do they include renewal provisions. As such, all contracts have an economic life of significantly less than a year. Accordingly, the Company expenses sales commissions when incurred in accordance with the practical expedient in the New Revenue Standard when the underlying contract asset is less than one year. These costs are recorded within sales and marketing expenses.</w:t>
      </w:r>
    </w:p>
    <w:p>
      <w:pPr>
        <w:spacing w:after="0" w:line="131" w:lineRule="exact"/>
        <w:rPr>
          <w:sz w:val="20"/>
          <w:szCs w:val="20"/>
          <w:color w:val="auto"/>
        </w:rPr>
      </w:pPr>
    </w:p>
    <w:p>
      <w:pPr>
        <w:jc w:val="both"/>
        <w:ind w:right="20" w:firstLine="373"/>
        <w:spacing w:after="0" w:line="332" w:lineRule="auto"/>
        <w:rPr>
          <w:sz w:val="20"/>
          <w:szCs w:val="20"/>
          <w:color w:val="auto"/>
        </w:rPr>
      </w:pPr>
      <w:r>
        <w:rPr>
          <w:rFonts w:ascii="Arial" w:cs="Arial" w:eastAsia="Arial" w:hAnsi="Arial"/>
          <w:sz w:val="16"/>
          <w:szCs w:val="16"/>
          <w:color w:val="auto"/>
        </w:rPr>
        <w:t>Generally, all contracts have expected durations of one year or less. Accordingly, the Company applies the practical expedient allowed in the New Revenue Standard and does not disclose information about remaining performance obligations that have original expected durations of one year or less.</w:t>
      </w:r>
    </w:p>
    <w:p>
      <w:pPr>
        <w:spacing w:after="0" w:line="7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does not incur any costs to fulfill the contracts with customers that are not already reported in compliance with another applicable standard (for example, inventory or plant, property and equipment).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2018-07”), which simplifies several aspects of the accounting for nonemployee share-based payment transactions resulting from expanding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scope of Topic 718, Compensation-Stock Compensation, to include share-based payment transactions for acquiring goods and services from nonemployees. Some of the areas for simplification apply only to nonpublic entities. ASU 2018 07 specifies that Topic 718 applies to all share-based payment transactions in which a grantor acquires goods or services to be used or consumed in a grantor’s own operations by issuing share-based payment awards. ASU 2018-07 also clarify that Topic 718 does not apply to share-based payments used to effectively provide (1) financing to the issuer or (2) awards granted in conjunction with selling goods or services to customers as part of a contract accounted for under the New Revenue Standard. ASU 2018-07 is effective for public business entities for fiscal years beginning after December 15, 2018, including interim periods within that fiscal year. Early adoption is permitted. The Company does not expect the adoption of ASU 2018 07 to have a material impact on its consolidated financial statements and related disclosures.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jc w:val="both"/>
        <w:ind w:firstLine="324"/>
        <w:spacing w:after="0" w:line="289"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from Accumulated Other Comprehensive Income </w:t>
      </w:r>
      <w:r>
        <w:rPr>
          <w:rFonts w:ascii="Arial" w:cs="Arial" w:eastAsia="Arial" w:hAnsi="Arial"/>
          <w:sz w:val="16"/>
          <w:szCs w:val="16"/>
          <w:color w:val="auto"/>
        </w:rPr>
        <w:t>(“ASU 2018-02”), which provides financial statement preparers with an option to reclassify stranded tax</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within accumulated other comprehensive income to retained earnings in each period in which the effect of the change in the U.S. federal corporate income tax rate in the Tax Cuts and Jobs Act (or portion thereof) is recorded. The amendments in ASU 2018-02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ASU 2018-02 should be applied either in the period of adoption or retrospectively to each period (or periods) in which the effect of the change in the U.S. federal corporate income tax rate in the Tax Cuts and Jobs Act is recognized. The Company is evaluating the impact of the adoption of ASU 2018-02 on its consolidated financial statements.</w:t>
      </w:r>
    </w:p>
    <w:p>
      <w:pPr>
        <w:spacing w:after="0" w:line="1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which addresses the complexity of accounting for certain financial instruments with down round features. Down round features are</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ASU 2017-11 are effective for fiscal years, and interim periods within those fiscal years, beginning after December 15, 2018. For all other entities, the amendments in Part I of ASU 2017-11 are effective for fiscal years beginning after December 15, 2019, and interim periods within fiscal years beginning after December 15, 2020. The Company is evaluating the impact of the adoption of ASU 2017-11 on its consolidated financial statements.</w:t>
      </w:r>
    </w:p>
    <w:p>
      <w:pPr>
        <w:spacing w:after="0" w:line="1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(“ASU 2017-04”),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is an SEC filer must adopt the amendments in ASU 2017-04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amendments in ASU 2016-02 create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 the leases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evaluating the impact of the adoption of ASU 2016-02 on its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ACCOUNTS RECEIVABLE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and December 31, 2017, accounts receivable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8"/>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No allowance for doubtful accounts was considered necessary at June 30, 2018 or December 31, 2017. At June 30, 2018 and December 31, 2017, accounts receivable of $2,266 and $1,805, respectively, were pledged as collateral for borrowings from financial institutions.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and December 31, 2017, inventory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inventory, gross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inventory,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27,531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June 30, 2018 and December 31, 2017, the Company did not have an inventory reserve and no inventory was pledged as collateral for borrowings from financial institutions.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and December 31, 2017, property, plant and equipment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w w:val="99"/>
              </w:rPr>
              <w:t>June 30,</w:t>
            </w:r>
          </w:p>
        </w:tc>
        <w:tc>
          <w:tcPr>
            <w:tcW w:w="10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improvement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(8,263)</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Depreciation expense was $88 and $66 for the three months ended June 30, 2018 and 2017, respectively, and $173 and $118 for the six months ended June 30, 2018 and 2017,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SHORT-TERM BORROWINGS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and December 31, 2017, short-term borrowings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2"/>
              </w:rPr>
              <w:t>Line of credit up to $30 million RMB from Bank of China Pudong Branch, due on March 5, 2018 with annual interest rate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 5.69%, secured by certain of the Company’s intellectual property and fully repaid on March 5, 2018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Line of credit up to $30 million RMB from Bank of China Pudong Branch, due on September 11, 2018 with annual interest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w w:val="89"/>
              </w:rPr>
              <w:t>rate of 5.69%, secured by certain of the Company’s intellectual property and guaranteed by the Company’s Chief Executive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Officer and President (“CEO”)</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Line of credit up to $30 million RMB from Bank of China Pudong Branch, due on September 24, 2018 with annual interest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rate of 5.69%, secured by certain of the Company’s intellectual property and guaranteed by the CEO</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Line of credit up to $25 million RMB from Bank of Shanghai Pudong Branch, due on various dates of October, 2018 with</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an annual interest rate of 5.66%, guaranteed by the CEO and fully repaid on May 8, 2018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7"/>
              </w:rPr>
              <w:t>Line of credit up to $50 million RMB from Bank of Shanghai Pudong Branch, due on April 17, 2019 with an annual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4.99%, guaranteed by the CEO</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3"/>
              </w:rPr>
              <w:t>Line of credit up to $5 million RMB from Shanghai Rural Commercial Bank, due on November 21, 2018 with an annual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interest rate of 5.44%, guaranteed by the CEO and pledged by accounts receivable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4"/>
              </w:rPr>
              <w:t>Line of credit up to $10 million RMB from Shanghai Rural Commercial Bank, due on January 23,2019 with an annual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5.44%, guaranteed by the CEO and pledged by accounts receivable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3"/>
              </w:rPr>
              <w:t>Line of credit up to $10 million RMB from Bank of Communications, due on December 28 2018 with an annual interest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1"/>
        </w:trPr>
        <w:tc>
          <w:tcPr>
            <w:tcW w:w="8820" w:type="dxa"/>
            <w:vAlign w:val="bottom"/>
            <w:gridSpan w:val="2"/>
          </w:tcPr>
          <w:p>
            <w:pPr>
              <w:spacing w:after="0"/>
              <w:rPr>
                <w:sz w:val="20"/>
                <w:szCs w:val="20"/>
                <w:color w:val="auto"/>
              </w:rPr>
            </w:pPr>
            <w:r>
              <w:rPr>
                <w:rFonts w:ascii="Arial" w:cs="Arial" w:eastAsia="Arial" w:hAnsi="Arial"/>
                <w:sz w:val="18"/>
                <w:szCs w:val="18"/>
                <w:color w:val="auto"/>
              </w:rPr>
              <w:t>rate of 5.66%</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Interest expense related to short-term borrowings amounted to $149 and $86 for the three months ended June 30, 2018 and 2017, respectively, and $252 and $164, for the six months ended June 30, 2018 and 2017,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PAYABLE AND ACCRUED EXPENSES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and December 31, 2017, other payable and accrued expenses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95"/>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and payable for leasehold improvement due to a related party (note 11)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commissions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6,518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vMerge w:val="restart"/>
          </w:tcPr>
          <w:p>
            <w:pPr>
              <w:jc w:val="right"/>
              <w:ind w:right="2932"/>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0" w:type="dxa"/>
            <w:vAlign w:val="bottom"/>
            <w:vMerge w:val="continue"/>
          </w:tcPr>
          <w:p>
            <w:pPr>
              <w:spacing w:after="0"/>
              <w:rPr>
                <w:sz w:val="24"/>
                <w:szCs w:val="24"/>
                <w:color w:val="auto"/>
              </w:rPr>
            </w:pPr>
          </w:p>
        </w:tc>
        <w:tc>
          <w:tcPr>
            <w:tcW w:w="88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WARRANT LIABILITY</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warrant issued to SMC, while outstanding as of December 31, 2017, was classified as a liability as it was conditionally puttable in accordance with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fair value of the warrant was adjusted for changes in fair value at each reporting period but could not be lower than the proceeds of the SMC Investment. The corresponding non-cash gain or loss of the changes in fair value was recorded in earnings. The methodology used to value the warrant was the Black-Scholes valuation model.</w:t>
      </w:r>
    </w:p>
    <w:p>
      <w:pPr>
        <w:spacing w:after="0" w:line="130"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On March 30, 2018, ACM entered into a warrant exercise agreement with ACM Shanghai and SMC pursuant to which SMC exercised its warrant in full by issuing to ACM a senior secured promissory note in the principal amount of approximately $3,000. ACM then transferred the SMC note to ACM Shanghai in exchange for an intercompany promissory note of ACM Shanghai in the principal amount of approximately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 Upon the issuance of 397,502 shares of Class A common stock to SMC, the senior secured promissory note issued to AMC by SMC was offset by the SMC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LONG-TERM LIABILITIES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As of June 30, 2018, and December 31, 2017, other long-term liabilities consisted of the following unearned government subsidies: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7"/>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4,265</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Subsidies to Polytetrafluoroethylene, commenced in 2018</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5,869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METHOD INVESTMENT</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11– RELATED PARTY BALANCES AND TRANSACTIONS</w:t>
      </w:r>
    </w:p>
    <w:p>
      <w:pPr>
        <w:spacing w:after="0" w:line="1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 ACM. Ninebell repaid the loan in March 2018. ACM purchased materials from Ninebell amounting to $1,865 and $981 during the three months ended June 30, 2018 and 2017, and $2,835 and $1,821 during the six months ended June 30, 2018 and 2017, respectively. As of June 30, 2018 and December 31, 2017, accounts payable due to Ninebell were $1,498 and $2,123, respectively, and prepaid to Ninebell for material purchases was $824 and $229, respectively.</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will pay a monthly rental fee of approximately RMB 366 (equivalent to $55). The required security deposit is RMB 1,077 (equivalent to $163). The Company incurred leasing expenses under the lease agreement of $147 and $137 during the three months ended June 30, 2018 and 2017, respectively, and $319 and $296 during the six months ended June 30, 2018 and 2017, respectively. As of June 30, 2018 and December 31, 2017, payables to Zhangjiang Group for lease expenses and leasehold improvements recorded as other payables and accrued expenses amounted to $162 and $2,024, respectively (note 7).</w:t>
      </w:r>
    </w:p>
    <w:p>
      <w:pPr>
        <w:spacing w:after="0" w:line="1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9, 2016, ACM Shanghai received the SMC Investment from SMC for potential investment pursuant to terms to be subsequently negotiated (note 8).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Class A common stock at a price of $7.50 per share, for a total exercise price of $2,981. On March 30, 2018, SMC exercised the warrant and purchased 397,502 shares of Class A common stock (note 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 leases its administrative, research and development and manufacturing facilities under various operating leases. Future minimum lease payments under non-cancelable lease agreements as of June 30, 2018 and December 31, 2017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96"/>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Total lease expense was $563 and $189 for the three months ended June 30, 2018 and 2017, respectively, and $1,058 and $504 for the six months ended June 30, 2018 and 2017,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13 – COMMON STOCK</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is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 holders.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2017 ACM entered into a securities purchase agreement with PDHTI and its subsidiary Pudong Science and Technology (Cayman) Co., Ltd. (“PST”), in which ACM agreed to bid, in an auction process mandated by PRC regulations, to purchase PDHTI’s 10.78% equity interest in ACM Shanghai and to sell shares of Class A common stock to PST. On September 8, 2017, ACM issued 1,119,576 shares of Class A common stock to PST for a purchase price of $7.50 per share, representing an aggregate purchase price of $8,397.</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2017 ACM entered into a securities purchase agreement with ZSTVC and its subsidiary Zhangjiang AJ Company Limited (“ZJAJ”), in which ACM agreed to bid, in an auction process mandated by PRC regulations, to purchase ZSTVC’s 7.58% equity interest in ACM Shanghai and to sell shares of Class A common stock to ZJAJ. On September 8, 2017, ACM issued 787,098 shares of Class A common stock to ZJAJ for a purchase price of $7.50 per share, or an aggregate purchase price of $5,903.</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November 2017 ACM issued 2,233,000 shares of Class A common stock and received net proceeds of $11,664 from the IPO and concurrently ACM issued an additional 1,333,334 shares of Class A common stock in a private placement for net proceeds of $7,053.</w:t>
      </w:r>
    </w:p>
    <w:p>
      <w:pPr>
        <w:spacing w:after="0" w:line="11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Upon the completion of the IPO on November 2, 2017, the Company issued a five-year warrant (the “Underwriter's Warrant”) to Roth Capital Partners, LLC, the lead underwriter of the IPO, for the purchase of up to 80,000 shares of Class A common stock at an exercise price of $6.16 per share. The Underwriter’s Warrant was immediately exercisable and expires on November 1, 2022. The Underwriter's Warrant is equity classified and its fair value was $137 at the IPO closing date, using the Black Scholes model with the following assumptions: volatility of 28.26%, a dividend rate of 0%, and a risk-free discount rate of 2%.</w:t>
      </w:r>
    </w:p>
    <w:p>
      <w:pPr>
        <w:spacing w:after="0" w:line="9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September 2017 ACM issued 133,334 shares of Class A common stock to Ninebell for a purchase price of $7.50 per share, or an aggregate purchase price of $1,000 (note 10).</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various dates during 2017, ACM issued 472,889 shares of Class A common stock upon options exercises by certain employee and non-employees. During the three months and six months ended June 30, 2018, the Company issued 77,504 and 134,726 shares of Class A common stock, respectively, upon options exercises by certain employees and non employees.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30, 2018, SMC exercised its warrant (note 8) and purchased 397,502 shares of Class A common stock.</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June 30, 2018 and December 31, 2017, the number of shares of Class A common stock issued and outstanding was 13,957,339 and 12,935,546, respectively. At June 30, 2018 and December 31, 2017, the number of shares of Class B common stock issued and outstanding was 1,920,173 and 2,409,738, respectively. During the three months and six months ended June 30, 2018, 489,565 and 489,565 shares of Class B common stock, respectively, were converted into Class A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1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ACM’s stock-based compensation awards consisting of employee and non-employee awards were issued under the 1998 Stock Option Plan and 2016 Omnibus Incentive Plan and as standalone options.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employee share option activities during the six months ended June 30,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b w:val="1"/>
                <w:bCs w:val="1"/>
                <w:color w:val="auto"/>
              </w:rPr>
              <w:t>Weighted</w:t>
            </w:r>
          </w:p>
        </w:tc>
        <w:tc>
          <w:tcPr>
            <w:tcW w:w="13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8"/>
              </w:rPr>
              <w:t>Weighted Average</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240" w:type="dxa"/>
            <w:vAlign w:val="bottom"/>
            <w:gridSpan w:val="3"/>
          </w:tcPr>
          <w:p>
            <w:pPr>
              <w:jc w:val="right"/>
              <w:ind w:right="140"/>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1380" w:type="dxa"/>
            <w:vAlign w:val="bottom"/>
            <w:gridSpan w:val="2"/>
          </w:tcPr>
          <w:p>
            <w:pPr>
              <w:jc w:val="center"/>
              <w:ind w:right="2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96"/>
              </w:rPr>
              <w:t>Option Shared</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Price</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Contractual Term</w:t>
            </w: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7.57 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(118,059)</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(2,575)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(100,887)</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June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2,324,095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1360" w:type="dxa"/>
            <w:vAlign w:val="bottom"/>
          </w:tcPr>
          <w:p>
            <w:pPr>
              <w:ind w:left="640"/>
              <w:spacing w:after="0"/>
              <w:rPr>
                <w:sz w:val="20"/>
                <w:szCs w:val="20"/>
                <w:color w:val="auto"/>
              </w:rPr>
            </w:pPr>
            <w:r>
              <w:rPr>
                <w:rFonts w:ascii="Arial" w:cs="Arial" w:eastAsia="Arial" w:hAnsi="Arial"/>
                <w:sz w:val="18"/>
                <w:szCs w:val="18"/>
                <w:color w:val="auto"/>
                <w:w w:val="83"/>
              </w:rPr>
              <w:t>7.58 years</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1,168,983</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bl>
    <w:p>
      <w:pPr>
        <w:spacing w:after="0" w:line="140"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During the three months ended June 30, 2018 and 2017, the Company recognized employee stock-based compensation expense of $170 and $67, respectively. During the six months ended June 30, 2018 and 2017, the Company recognized employee stock-based compensation expense of $263 and $128, respectively As of June 30, 2018 and December 31, 2017, $1,495 and $1,690, respectively, of total unrecognized employee stock-based compensation expense, net of estimated forfeitures, related to stock-based awards were expected to be recognized over a weighted-average period of 1.84 years and 1.77 years, respectively. Total recognized compensation cost may be adjusted for future changes in estimated forfeitures.</w:t>
      </w:r>
    </w:p>
    <w:p>
      <w:pPr>
        <w:spacing w:after="0" w:line="102"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fair value of each option granted to an employee during the six months ended June 30, 2018 was estimated on the grant date using the Black-Scholes valuation model with the following assumptions. No options were granted to employees during the three months ended June 30, 2018.</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January 25,</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39.14%</w:t>
            </w: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Risk free interest rate(4)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14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Exercise price is market close price of Class A common stock at grant date of January 25, 2018.</w:t>
      </w:r>
    </w:p>
    <w:p>
      <w:pPr>
        <w:spacing w:after="0" w:line="15"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in accordance with Staff Accounting Bulletin 110.</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comparable companies in the period equal to the expected term of each grant.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dividends on its common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non-employee share option activities during the six months ended June 30,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6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4"/>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608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6080" w:type="dxa"/>
            <w:vAlign w:val="bottom"/>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43"/>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1,326,676</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 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41"/>
        </w:trPr>
        <w:tc>
          <w:tcPr>
            <w:tcW w:w="6080" w:type="dxa"/>
            <w:vAlign w:val="bottom"/>
          </w:tcPr>
          <w:p>
            <w:pPr>
              <w:spacing w:after="0"/>
              <w:rPr>
                <w:sz w:val="20"/>
                <w:szCs w:val="20"/>
                <w:color w:val="auto"/>
              </w:rPr>
            </w:pPr>
            <w:r>
              <w:rPr>
                <w:rFonts w:ascii="Arial" w:cs="Arial" w:eastAsia="Arial" w:hAnsi="Arial"/>
                <w:sz w:val="18"/>
                <w:szCs w:val="18"/>
                <w:color w:val="auto"/>
              </w:rPr>
              <w:t>Outstanding at June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1,310,009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7.03 years</w:t>
            </w: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June 30, 2018 and 2017, the Company recognized non-employee stock-based compensation expense of $14 and $446, respectively. During the six months ended June 30, 2018 and 2017, the Company recognized non-employee stock-based compensation expense of $2,097 and $1,220.</w:t>
      </w:r>
    </w:p>
    <w:p>
      <w:pPr>
        <w:spacing w:after="0" w:line="127"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fair value of each option granted to a non-employee during the six months ended June 30, 2018 was calculated by application of the Black-Scholes valuation model with the following assumptions. No options were granted to any non-employee during the six months ended June 30, 2018.</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June 30,</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share(1)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3.08-5.36</w:t>
            </w:r>
          </w:p>
        </w:tc>
        <w:tc>
          <w:tcPr>
            <w:tcW w:w="1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43.50-45.48%</w:t>
            </w: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Risk free interest rate(4)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6"/>
              </w:rPr>
              <w:t>2.39%-2.73%</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0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Exercise price was market close price of Class A common stock at June 30, 2018.</w:t>
      </w:r>
    </w:p>
    <w:p>
      <w:pPr>
        <w:spacing w:after="0" w:line="15"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term of share options is based on the average of the vesting period and the contractual term for each grant, in accordance with Staff Accounting Bulletin 110.</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is calculated based on the historical volatility of comparable companies in the period equal to the expected term of each grant.</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on the yields of U.S. Treasury securities with maturities similar to the expected term of the share options in effect at the time of grant.</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dividend is assumed to be 0% as ACM has no history or expectation of paying a dividend on its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jc w:val="both"/>
        <w:ind w:firstLine="324"/>
        <w:spacing w:after="0" w:line="289"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in particular the Company’s three-year historical cumulative losses, recent operating results and U.S. pre-tax loss for the six months ended June 30, 2018, the Company recorded a valuation allowance against its U.S. net deferred tax assets. In order to fully realize the U.S. deferred tax assets, the Company will need to generate sufficient taxable income in future periods before the expiration of the deferred tax assets governed by the tax code.</w:t>
      </w:r>
    </w:p>
    <w:p>
      <w:pPr>
        <w:spacing w:after="0" w:line="105"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each period since inception, the Company has recorded a valuation allowance for the full amount of net deferred tax assets in the United States, as the realization of deferred tax assets is uncertain. ACM Shanghai has shown a three-year historical cumulative profit and has projections of future income. As a result, the Company maintained a partial consolidated valuation allowance for the three and six months ended June 30, 2018 and December 31, 2017.</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expense of $164 and income tax benefit of $32 during the three months ended June 30, 2018 and 2017, respectively. For the six months ended June 30, 2018 and 2017, the Company recorded income tax expense of $186 and $749, respectively.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2018, the Company's total unrecognized tax benefits were approximately $44, which would not affect the effective tax rate if recognized. The Company will recognize interest and penalties, when they occur, related to uncertain tax provisions as a component of tax expense. No interest or penalties were recognized for the three and six months ended June 30, 2018.</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2017. To the extent the Company has tax attribute carry-forwards, the tax years in which the attribute was generated may still be adjusted upon examination by the U.S. Internal Revenue Service, state or foreign tax authorities to the extent utilized in a future period. The Tax Cuts and Jobs Act (the “Tax Act”) enacted on December 22, 2017 introduced significant changes to U.S. income tax law. Effective January 1, 2018, the Tax Act reduced the U.S. statutory tax rate from 35% to 21% and created new taxes on certain foreign-sourced earnings and certain intercompany payments. Due to the timing of the enactment and the complexity involved in applying the provisions of the Tax Act, the Company made reasonable estimates of the effects and recorded provisional amounts in its financial statements as of December 31, 2017. As the Company collects and prepares necessary data, and interprets the Tax Act and any additional guidance issued by the U.S. Treasury Department, the U.S. Internal Revenue Service and other standard-setting bodies, the Company may make adjustments to the provisional amounts. Those adjustments may materially affect the Company’s provision for income taxes and effective tax rate in the period in which the adjustments are made. There were no adjustments made in the three and six months ended June 30, 2018. The accounting for the tax effects of the Tax Act will be completed later in 2018.</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64"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 leases offices under non-cancelable operating lease agreements. See note 12 for future minimum lease payments under non-cancelable operating lease agreements with initial terms of one year or more.</w:t>
      </w:r>
    </w:p>
    <w:p>
      <w:pPr>
        <w:spacing w:after="0" w:line="11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As of June 30, 2018, the Company was part to several contracts for construction of equipment and facilities. Total outstanding commitments under these contracts were $759 and $0 at June 30, 2018 and December 31, 2017, respectively. The Company expects to pay off all the balances within a year.</w:t>
      </w:r>
    </w:p>
    <w:p>
      <w:pPr>
        <w:spacing w:after="0" w:line="7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 As of June 30, 2018 the Company did not have any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2017, or our Annual Report. The following discussion contains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Factors that could cause or contribute to these differences include those discussed below and elsewhere in this report, particularly in the section titled “Item 1A. Risk Factors” in Part I of our Annual Report.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June 30, 2018, we had sold and deployed more than 42 single-wafer wet cleaning tools. We recognized revenue from sales of single-wafer wet cleaning equipment totaling $30.0 million, or 98.0% of total revenue, for the first six months of 2018 and $14.2 million, or 98.5% of total revenue, for the first six months of 2017.</w:t>
      </w:r>
    </w:p>
    <w:p>
      <w:pPr>
        <w:spacing w:after="0" w:line="1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established our operational center in Shanghai in 2006 to help us establish and build relationships with chip manufacturers in China and throughout Asia. In addition to our SAPS and TEBO tools, we offer a range of custom-made wafer assembly and packaging equipment, such as coaters and developers, to wafer assembly and packaging factories, principally in the PRC.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incorporated in California in 1998 and redomesticated to Delaware in November 2016. Initially we focused on developing tools for semiconductor manufacturing process steps involving the integration of ultra-low-K materials and copper. In the early 2000s we sold tools based on stress-free copper-polishing technology.</w:t>
      </w:r>
    </w:p>
    <w:p>
      <w:pPr>
        <w:spacing w:after="0" w:line="12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In 2006 we moved our operational center to Shanghai, where we began to conduct our business through our subsidiary ACM Shanghai. This move was made to help us establish and build relationships with chip manufacturers in the PRC. In 2007 we began to focus our development efforts on single-wafer wet-cleaning solutions for the front-end chip fabrication process. 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both"/>
        <w:ind w:firstLine="324"/>
        <w:spacing w:after="0" w:line="294" w:lineRule="auto"/>
        <w:rPr>
          <w:sz w:val="20"/>
          <w:szCs w:val="20"/>
          <w:color w:val="auto"/>
        </w:rPr>
      </w:pPr>
      <w:r>
        <w:rPr>
          <w:rFonts w:ascii="Arial" w:cs="Arial" w:eastAsia="Arial" w:hAnsi="Arial"/>
          <w:sz w:val="16"/>
          <w:szCs w:val="16"/>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 In December 2017 we formed a wholly owned subsidiary in the Republic of Korea, ACM Research Korea CO., LTD., to serve our customers based in the Republic of Korea and perform sales, marketing, research and development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Equity Transactions</w:t>
      </w:r>
    </w:p>
    <w:p>
      <w:pPr>
        <w:spacing w:after="0" w:line="1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Issuance and Subsequent Exercise of Warrant</w:t>
      </w:r>
      <w:r>
        <w:rPr>
          <w:rFonts w:ascii="Arial" w:cs="Arial" w:eastAsia="Arial" w:hAnsi="Arial"/>
          <w:sz w:val="16"/>
          <w:szCs w:val="16"/>
          <w:color w:val="auto"/>
        </w:rPr>
        <w:t>. In December 2016 Shengxin (Shanghai) Management Consulting Limited Partnership, or SMC, paid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20,123,500 RMB ($3.0 million as of the date of funding) to ACM Shanghai for investment pursuant to terms to be subsequently negotiated. SMC is a PRC limited partnership owned by Jian Wang and other employees of our subsidiary ACM Shanghai. Jian Wang, who is the general partner of SMC, is our Vice President, Research and Development and the brother of David H. Wang, who is our Chief Executive Officer, President and Chair of the Board. In connection with that investment, we issued to SMC in March 2017 a warrant exercisable to purchase 397,502 shares of Class A common stock at a price of $7.50 per share, for a total exercise price of $3.0 million. The warrant was exercisable for cash or on a cashless basis, at the option of SMC, at any time on or before May 17, 2023 to acquire all, but not less than all, of the shares of Class A common stock subject to the warrant. In March 2018 we entered into a warrant exercise agreement with ACM Shanghai and SMC pursuant to which SMC exercised the SMC warrant in full by issuance to us of a senior secured promissory note in the principal amount of $3.0 million. We transferred the SMC note to ACM Shanghai, in exchange for an intercompany promissory note issued by ACM Shanghai to us in the principal amount of $3.0 million.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Strategic Investment in Key Supplier. </w:t>
      </w:r>
      <w:r>
        <w:rPr>
          <w:rFonts w:ascii="Arial" w:cs="Arial" w:eastAsia="Arial" w:hAnsi="Arial"/>
          <w:sz w:val="18"/>
          <w:szCs w:val="18"/>
          <w:color w:val="auto"/>
        </w:rPr>
        <w:t>Ninebell Co., Ltd., or Ninebell, which is located in Seoul, Korea, is the principal supplier of robotic delivery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subassemblies used in our single-wafer cleaning equipment. On September 6, 2017 we and Ninebell entered into:</w:t>
      </w:r>
    </w:p>
    <w:p>
      <w:pPr>
        <w:spacing w:after="0" w:line="118" w:lineRule="exact"/>
        <w:rPr>
          <w:sz w:val="20"/>
          <w:szCs w:val="20"/>
          <w:color w:val="auto"/>
        </w:rPr>
      </w:pPr>
    </w:p>
    <w:p>
      <w:pPr>
        <w:ind w:left="660" w:hanging="328"/>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ordinary share purchase agreement, effective as of September 11, 2017, pursuant to which, contemporaneously with signing, Ninebell issued to us, for a purchase price of $1.2 million, ordinary shares representing 20% of Ninebell’s post-closing equity; and</w:t>
      </w:r>
    </w:p>
    <w:p>
      <w:pPr>
        <w:spacing w:after="0" w:line="118"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common stock purchase agreement, effective as of September 11, 2017, pursuant to which, contemporaneously with signing, we issued 133,334 shares of Class A common stock to Ninebell for a purchase price of $7.50 per share, or an aggregate purchase price of $1.0 million.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IPO and Concurrent Private Placements. </w:t>
      </w:r>
      <w:r>
        <w:rPr>
          <w:rFonts w:ascii="Arial" w:cs="Arial" w:eastAsia="Arial" w:hAnsi="Arial"/>
          <w:sz w:val="18"/>
          <w:szCs w:val="18"/>
          <w:color w:val="auto"/>
        </w:rPr>
        <w:t>In November 2017 we issued 2,233,000 shares of Class A common stock and received net proceeds of $11.7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from our initial public offering, or the IPO, and concurrently we issued an additional 1,333,334 shares of Class A common stock through a private placement for net proceeds of $7.1 million.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Acquisition of Outstanding Minority Interests in Our Operating Company</w:t>
      </w:r>
      <w:r>
        <w:rPr>
          <w:rFonts w:ascii="Arial" w:cs="Arial" w:eastAsia="Arial" w:hAnsi="Arial"/>
          <w:sz w:val="18"/>
          <w:szCs w:val="18"/>
          <w:color w:val="auto"/>
        </w:rPr>
        <w:t>. Until August 31, 2017, ACM Research owned 62.87% of the outstanding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in ACM Shanghai and three PRC-based third-party investors held the remaining 37.13% of equity interests, which were reflected as “non-controlling interests” in our consolidated balance sheets and related notes. In 2017 we took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129" w:lineRule="exact"/>
        <w:rPr>
          <w:sz w:val="20"/>
          <w:szCs w:val="20"/>
          <w:color w:val="auto"/>
        </w:rPr>
      </w:pPr>
    </w:p>
    <w:p>
      <w:pPr>
        <w:jc w:val="both"/>
        <w:ind w:left="660" w:hanging="328"/>
        <w:spacing w:after="0" w:line="323"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has converted, upon the closing of the IPO, into 1,666,170 shares of Class A common stock, at an effective purchase price of $3.48 per share.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with Shanghai Pudong High-Tech Investment Co., Ltd., or PDHTI, and its subsidiary Pudong Science and Technology (Cayman) Co., Ltd., or PST, pursuant to which we (a) submitted the winning bid, in an auction process mandated by PRC regulations, to purchase PDHTI’s 10.78% equity interests in ACM Shanghai, which we completed on November 8, 2017, and (b) issued to PST, on September 8, 2017, 1,119,576 shares of Class A common stock for a purchase price of $7.50 per share, representing an aggregate purchase price of $8.4 million.</w:t>
      </w:r>
    </w:p>
    <w:p>
      <w:pPr>
        <w:spacing w:after="0" w:line="129"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August 2017 we entered into a securities purchase agreement with Shanghai Zhangjiang Science &amp; Technology Venture Capital Co., Ltd., or ZSTVC, and its subsidiary Zhangjiang AJ Company Limited, or ZJAJ, pursuant to which we (a) submitted the winning bid, in an auction process mandated by PRC regulations, to purchase ZSTVC’s 7.58% equity interests in ACM Shanghai, which we completed on November 8, 2017, and (b) issued to ZJAJ, on September 8, 2017, 787,098 shares of Class A common stock for a purchase price of $7.50 per share, or an aggregate purchase price of $5.9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Since November 8, 2017, ACM Research has owned all of the outstanding equity interests in ACM Shanghai.</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was made in 2014 and relates to the development of electro copper-plating technology and the fourth one was made in 2018 and related to the development of polytetrafluoroethylene. PRC governmental authorities provide the majority of the funding, although ACM Shanghai is also required to invest certain amounts in the projects.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127" w:lineRule="exact"/>
        <w:rPr>
          <w:sz w:val="20"/>
          <w:szCs w:val="20"/>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subsidies relating to current expenses are reflected as reductions of those expenses in the periods in which they are reported. Those reductions totaled $424,000 in the first six months of 2018, compared to $2.1 million in the first six months of 2017.</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subsidies for interest on short-term borrowings are reported as reductions of interest expense in the periods the interest is accrued. We had no such reductions of interest expense in the first six months of 2018 or the first six months of 2017.</w:t>
      </w:r>
    </w:p>
    <w:p>
      <w:pPr>
        <w:spacing w:after="0" w:line="118"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$75,000 in the first six months of 2018 and $65,000 in the first six months of 2017.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information below with respect to three measures of financial performance:</w:t>
      </w:r>
    </w:p>
    <w:p>
      <w:pPr>
        <w:spacing w:after="0" w:line="158" w:lineRule="exact"/>
        <w:rPr>
          <w:sz w:val="20"/>
          <w:szCs w:val="20"/>
          <w:color w:val="auto"/>
        </w:rPr>
      </w:pPr>
    </w:p>
    <w:p>
      <w:pPr>
        <w:ind w:left="660" w:hanging="328"/>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71"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define “adjusted operating income (loss)” as our income (loss) from operations excluding stock-based compensation.</w:t>
      </w:r>
    </w:p>
    <w:p>
      <w:pPr>
        <w:spacing w:after="0" w:line="1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5" w:name="page26"/>
    <w:bookmarkEnd w:id="25"/>
    <w:p>
      <w:pPr>
        <w:jc w:val="both"/>
        <w:ind w:firstLine="324"/>
        <w:spacing w:after="0" w:line="289" w:lineRule="auto"/>
        <w:rPr>
          <w:sz w:val="20"/>
          <w:szCs w:val="20"/>
          <w:color w:val="auto"/>
        </w:rPr>
      </w:pPr>
      <w:r>
        <w:rPr>
          <w:rFonts w:ascii="Arial" w:cs="Arial" w:eastAsia="Arial" w:hAnsi="Arial"/>
          <w:sz w:val="16"/>
          <w:szCs w:val="16"/>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free cash flow and adjusted operating income (loss) are not prepared in accordance with GAAP, and should not be considered in isolation of, or as an alternative to, measures prepared in accordance with GAAP. There are a number of limitations related to the use of adjusted EBITDA rather than net income (loss), which is the nearest GAAP equivalent. Some of these limitations are:</w:t>
      </w:r>
    </w:p>
    <w:p>
      <w:pPr>
        <w:spacing w:after="0" w:line="127" w:lineRule="exact"/>
        <w:rPr>
          <w:sz w:val="20"/>
          <w:szCs w:val="20"/>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1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29"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180"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net income (loss), the most directly comparable GAAP financial measure, to adjusted EBITDA:</w:t>
      </w:r>
    </w:p>
    <w:p>
      <w:pPr>
        <w:spacing w:after="0" w:line="153"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Six Months Ended</w:t>
      </w:r>
    </w:p>
    <w:p>
      <w:pPr>
        <w:jc w:val="center"/>
        <w:ind w:left="8700"/>
        <w:spacing w:after="0" w:line="229" w:lineRule="auto"/>
        <w:rPr>
          <w:sz w:val="20"/>
          <w:szCs w:val="20"/>
          <w:color w:val="auto"/>
        </w:rPr>
      </w:pPr>
      <w:r>
        <w:rPr>
          <w:rFonts w:ascii="Arial" w:cs="Arial" w:eastAsia="Arial" w:hAnsi="Arial"/>
          <w:sz w:val="15"/>
          <w:szCs w:val="15"/>
          <w:b w:val="1"/>
          <w:bCs w:val="1"/>
          <w:color w:val="auto"/>
        </w:rPr>
        <w:t>June 30,</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2018</w:t>
            </w:r>
          </w:p>
        </w:tc>
        <w:tc>
          <w:tcPr>
            <w:tcW w:w="4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14"/>
              <w:spacing w:after="0" w:line="169" w:lineRule="exact"/>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5"/>
                <w:szCs w:val="15"/>
                <w:i w:val="1"/>
                <w:iCs w:val="1"/>
                <w:color w:val="auto"/>
                <w:w w:val="98"/>
              </w:rPr>
              <w:t>(in 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Data:</w:t>
            </w:r>
          </w:p>
        </w:tc>
        <w:tc>
          <w:tcPr>
            <w:tcW w:w="4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 attributable to ACM Research, Inc.</w:t>
            </w:r>
          </w:p>
        </w:tc>
        <w:tc>
          <w:tcPr>
            <w:tcW w:w="482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435</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(2,747)</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4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4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2,360</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82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3,389</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r>
      <w:tr>
        <w:trPr>
          <w:trHeight w:val="573"/>
        </w:trPr>
        <w:tc>
          <w:tcPr>
            <w:tcW w:w="20" w:type="dxa"/>
            <w:vAlign w:val="bottom"/>
          </w:tcPr>
          <w:p>
            <w:pPr>
              <w:spacing w:after="0"/>
              <w:rPr>
                <w:sz w:val="24"/>
                <w:szCs w:val="24"/>
                <w:color w:val="auto"/>
              </w:rPr>
            </w:pPr>
          </w:p>
        </w:tc>
        <w:tc>
          <w:tcPr>
            <w:tcW w:w="4680" w:type="dxa"/>
            <w:vAlign w:val="bottom"/>
            <w:tcBorders>
              <w:top w:val="single" w:sz="8" w:color="CCEEFF"/>
              <w:bottom w:val="single" w:sz="8" w:color="auto"/>
            </w:tcBorders>
          </w:tcPr>
          <w:p>
            <w:pPr>
              <w:spacing w:after="0"/>
              <w:rPr>
                <w:sz w:val="24"/>
                <w:szCs w:val="24"/>
                <w:color w:val="auto"/>
              </w:rPr>
            </w:pPr>
          </w:p>
        </w:tc>
        <w:tc>
          <w:tcPr>
            <w:tcW w:w="4120" w:type="dxa"/>
            <w:vAlign w:val="bottom"/>
            <w:tcBorders>
              <w:top w:val="single" w:sz="8" w:color="CCEEFF"/>
              <w:bottom w:val="single" w:sz="8" w:color="auto"/>
            </w:tcBorders>
          </w:tcPr>
          <w:p>
            <w:pPr>
              <w:jc w:val="right"/>
              <w:ind w:right="2932"/>
              <w:spacing w:after="0"/>
              <w:rPr>
                <w:sz w:val="20"/>
                <w:szCs w:val="20"/>
                <w:color w:val="auto"/>
              </w:rPr>
            </w:pPr>
            <w:r>
              <w:rPr>
                <w:rFonts w:ascii="Arial" w:cs="Arial" w:eastAsia="Arial" w:hAnsi="Arial"/>
                <w:sz w:val="18"/>
                <w:szCs w:val="18"/>
                <w:color w:val="auto"/>
              </w:rPr>
              <w:t>26</w:t>
            </w:r>
          </w:p>
        </w:tc>
        <w:tc>
          <w:tcPr>
            <w:tcW w:w="7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26" w:name="page27"/>
    <w:bookmarkEnd w:id="26"/>
    <w:p>
      <w:pPr>
        <w:jc w:val="both"/>
        <w:ind w:firstLine="324"/>
        <w:spacing w:after="0" w:line="291" w:lineRule="auto"/>
        <w:rPr>
          <w:sz w:val="20"/>
          <w:szCs w:val="20"/>
          <w:color w:val="auto"/>
        </w:rPr>
      </w:pPr>
      <w:r>
        <w:rPr>
          <w:rFonts w:ascii="Arial" w:cs="Arial" w:eastAsia="Arial" w:hAnsi="Arial"/>
          <w:sz w:val="16"/>
          <w:szCs w:val="16"/>
          <w:color w:val="auto"/>
        </w:rPr>
        <w:t>Adjusted EBITDA in the first six months of 2018, as compared with the comparable period in 2017, reflected an increase of $3.2 million in net operations and a $1.0 million increase in stock based compensation offset by decrease of $563,000 in income tax expense.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net cash provided by operating activities, the most directly comparable GAAP financial measure, to free cash flow:</w:t>
      </w:r>
    </w:p>
    <w:p>
      <w:pPr>
        <w:spacing w:after="0" w:line="17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Six Months Ended</w:t>
      </w:r>
    </w:p>
    <w:p>
      <w:pPr>
        <w:spacing w:after="0" w:line="6"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-7620</wp:posOffset>
            </wp:positionV>
            <wp:extent cx="15608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57"/>
              <w:spacing w:after="0" w:line="162" w:lineRule="exact"/>
              <w:rPr>
                <w:sz w:val="20"/>
                <w:szCs w:val="20"/>
                <w:color w:val="auto"/>
              </w:rPr>
            </w:pPr>
            <w:r>
              <w:rPr>
                <w:rFonts w:ascii="Arial" w:cs="Arial" w:eastAsia="Arial" w:hAnsi="Arial"/>
                <w:sz w:val="15"/>
                <w:szCs w:val="15"/>
                <w:i w:val="1"/>
                <w:iCs w:val="1"/>
                <w:color w:val="auto"/>
              </w:rPr>
              <w:t>(in</w:t>
            </w:r>
          </w:p>
        </w:tc>
        <w:tc>
          <w:tcPr>
            <w:tcW w:w="600" w:type="dxa"/>
            <w:vAlign w:val="bottom"/>
            <w:gridSpan w:val="2"/>
          </w:tcPr>
          <w:p>
            <w:pPr>
              <w:jc w:val="right"/>
              <w:spacing w:after="0" w:line="162" w:lineRule="exact"/>
              <w:rPr>
                <w:sz w:val="20"/>
                <w:szCs w:val="20"/>
                <w:color w:val="auto"/>
              </w:rPr>
            </w:pPr>
            <w:r>
              <w:rPr>
                <w:rFonts w:ascii="Arial" w:cs="Arial" w:eastAsia="Arial" w:hAnsi="Arial"/>
                <w:sz w:val="15"/>
                <w:szCs w:val="15"/>
                <w:i w:val="1"/>
                <w:iCs w:val="1"/>
                <w:color w:val="auto"/>
                <w:w w:val="70"/>
              </w:rPr>
              <w:t>thousands)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Data: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6"/>
              <w:spacing w:after="0"/>
              <w:rPr>
                <w:sz w:val="20"/>
                <w:szCs w:val="20"/>
                <w:color w:val="auto"/>
              </w:rPr>
            </w:pPr>
            <w:r>
              <w:rPr>
                <w:rFonts w:ascii="Arial" w:cs="Arial" w:eastAsia="Arial" w:hAnsi="Arial"/>
                <w:sz w:val="18"/>
                <w:szCs w:val="18"/>
                <w:color w:val="auto"/>
              </w:rPr>
              <w:t>(4,118)</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(882)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18"/>
                <w:szCs w:val="18"/>
                <w:color w:val="auto"/>
              </w:rPr>
            </w:pPr>
          </w:p>
        </w:tc>
        <w:tc>
          <w:tcPr>
            <w:tcW w:w="1120" w:type="dxa"/>
            <w:vAlign w:val="bottom"/>
            <w:gridSpan w:val="2"/>
          </w:tcPr>
          <w:p>
            <w:pPr>
              <w:jc w:val="right"/>
              <w:ind w:right="146"/>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(5,157)</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Free cash flow in the first six months of 2018, as compared with the comparable period in 2017, reflected the factors driving net cash used in operating activities, principally increase in net income, accounts payables, stock-based compensation expense, and customer advance payment offset by increases in accounts receivable, inventory and prepaid expenses. Consistent with our methodology for calculating adjusted EBITDA, we do not adjust free cash flow for the effects of PRC government subsidies, because we take those subsidies into account in incurring expenses and capital expenditures.</w:t>
      </w:r>
    </w:p>
    <w:p>
      <w:pPr>
        <w:spacing w:after="0" w:line="99"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5"/>
          <w:szCs w:val="15"/>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(loss) from operations:</w:t>
      </w:r>
    </w:p>
    <w:p>
      <w:pPr>
        <w:spacing w:after="0" w:line="157" w:lineRule="exact"/>
        <w:rPr>
          <w:sz w:val="20"/>
          <w:szCs w:val="20"/>
          <w:color w:val="auto"/>
        </w:rPr>
      </w:pPr>
    </w:p>
    <w:p>
      <w:pPr>
        <w:jc w:val="center"/>
        <w:ind w:left="4580"/>
        <w:spacing w:after="0"/>
        <w:rPr>
          <w:sz w:val="20"/>
          <w:szCs w:val="20"/>
          <w:color w:val="auto"/>
        </w:rPr>
      </w:pPr>
      <w:r>
        <w:rPr>
          <w:rFonts w:ascii="Arial" w:cs="Arial" w:eastAsia="Arial" w:hAnsi="Arial"/>
          <w:sz w:val="15"/>
          <w:szCs w:val="15"/>
          <w:b w:val="1"/>
          <w:bCs w:val="1"/>
          <w:color w:val="auto"/>
        </w:rPr>
        <w:t>Three Months Ended</w:t>
      </w:r>
    </w:p>
    <w:p>
      <w:pPr>
        <w:jc w:val="center"/>
        <w:ind w:left="4580"/>
        <w:spacing w:after="0" w:line="229" w:lineRule="auto"/>
        <w:rPr>
          <w:sz w:val="20"/>
          <w:szCs w:val="20"/>
          <w:color w:val="auto"/>
        </w:rPr>
      </w:pPr>
      <w:r>
        <w:rPr>
          <w:rFonts w:ascii="Arial" w:cs="Arial" w:eastAsia="Arial" w:hAnsi="Arial"/>
          <w:sz w:val="15"/>
          <w:szCs w:val="15"/>
          <w:b w:val="1"/>
          <w:bCs w:val="1"/>
          <w:color w:val="auto"/>
        </w:rPr>
        <w:t>June 30,</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5"/>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5"/>
              <w:spacing w:after="0" w:line="169" w:lineRule="exact"/>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5"/>
                <w:szCs w:val="15"/>
                <w:b w:val="1"/>
                <w:bCs w:val="1"/>
                <w:color w:val="auto"/>
              </w:rPr>
              <w:t>Adjusted(Non-</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5"/>
                <w:szCs w:val="15"/>
                <w:b w:val="1"/>
                <w:bCs w:val="1"/>
                <w:color w:val="auto"/>
                <w:w w:val="96"/>
              </w:rPr>
              <w:t>Adjusted(Non-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spacing w:after="0"/>
              <w:rPr>
                <w:sz w:val="20"/>
                <w:szCs w:val="20"/>
                <w:color w:val="auto"/>
              </w:rPr>
            </w:pPr>
            <w:r>
              <w:rPr>
                <w:rFonts w:ascii="Arial" w:cs="Arial" w:eastAsia="Arial" w:hAnsi="Arial"/>
                <w:sz w:val="15"/>
                <w:szCs w:val="15"/>
                <w:b w:val="1"/>
                <w:bCs w:val="1"/>
                <w:color w:val="auto"/>
              </w:rPr>
              <w:t>Actual(GAAP)</w:t>
            </w:r>
          </w:p>
        </w:tc>
        <w:tc>
          <w:tcPr>
            <w:tcW w:w="18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SBC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366"/>
              <w:spacing w:after="0"/>
              <w:rPr>
                <w:sz w:val="20"/>
                <w:szCs w:val="20"/>
                <w:color w:val="auto"/>
              </w:rPr>
            </w:pPr>
            <w:r>
              <w:rPr>
                <w:rFonts w:ascii="Arial" w:cs="Arial" w:eastAsia="Arial" w:hAnsi="Arial"/>
                <w:sz w:val="15"/>
                <w:szCs w:val="15"/>
                <w:b w:val="1"/>
                <w:bCs w:val="1"/>
                <w:color w:val="auto"/>
              </w:rPr>
              <w:t>GAAP)</w:t>
            </w: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Actual(GAAP)</w:t>
            </w:r>
          </w:p>
        </w:tc>
        <w:tc>
          <w:tcPr>
            <w:tcW w:w="20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SBC</w:t>
            </w:r>
          </w:p>
        </w:tc>
        <w:tc>
          <w:tcPr>
            <w:tcW w:w="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5"/>
              <w:spacing w:after="0" w:line="162" w:lineRule="exact"/>
              <w:rPr>
                <w:sz w:val="20"/>
                <w:szCs w:val="20"/>
                <w:color w:val="auto"/>
              </w:rPr>
            </w:pPr>
            <w:r>
              <w:rPr>
                <w:rFonts w:ascii="Arial" w:cs="Arial" w:eastAsia="Arial" w:hAnsi="Arial"/>
                <w:sz w:val="15"/>
                <w:szCs w:val="15"/>
                <w:i w:val="1"/>
                <w:iCs w:val="1"/>
                <w:color w:val="auto"/>
              </w:rPr>
              <w:t>(in</w:t>
            </w:r>
          </w:p>
        </w:tc>
        <w:tc>
          <w:tcPr>
            <w:tcW w:w="600" w:type="dxa"/>
            <w:vAlign w:val="bottom"/>
            <w:gridSpan w:val="2"/>
          </w:tcPr>
          <w:p>
            <w:pPr>
              <w:spacing w:after="0" w:line="162" w:lineRule="exact"/>
              <w:rPr>
                <w:sz w:val="20"/>
                <w:szCs w:val="20"/>
                <w:color w:val="auto"/>
              </w:rPr>
            </w:pPr>
            <w:r>
              <w:rPr>
                <w:rFonts w:ascii="Arial" w:cs="Arial" w:eastAsia="Arial" w:hAnsi="Arial"/>
                <w:sz w:val="15"/>
                <w:szCs w:val="15"/>
                <w:i w:val="1"/>
                <w:iCs w:val="1"/>
                <w:color w:val="auto"/>
                <w:w w:val="78"/>
              </w:rPr>
              <w:t>thousands)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20,873</w:t>
            </w: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8,763</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(12,149)</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(12,138)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6"/>
              <w:spacing w:after="0"/>
              <w:rPr>
                <w:sz w:val="20"/>
                <w:szCs w:val="20"/>
                <w:color w:val="auto"/>
              </w:rPr>
            </w:pPr>
            <w:r>
              <w:rPr>
                <w:rFonts w:ascii="Arial" w:cs="Arial" w:eastAsia="Arial" w:hAnsi="Arial"/>
                <w:sz w:val="18"/>
                <w:szCs w:val="18"/>
                <w:color w:val="auto"/>
              </w:rPr>
              <w:t>(2,643)</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(2,379)</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6"/>
              <w:spacing w:after="0"/>
              <w:rPr>
                <w:sz w:val="20"/>
                <w:szCs w:val="20"/>
                <w:color w:val="auto"/>
              </w:rPr>
            </w:pPr>
            <w:r>
              <w:rPr>
                <w:rFonts w:ascii="Arial" w:cs="Arial" w:eastAsia="Arial" w:hAnsi="Arial"/>
                <w:sz w:val="18"/>
                <w:szCs w:val="18"/>
                <w:color w:val="auto"/>
              </w:rPr>
              <w:t>(1,198)</w:t>
            </w: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45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27</w:t>
            </w: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440" w:gutter="0" w:footer="0" w:header="0"/>
        </w:sectPr>
      </w:pPr>
    </w:p>
    <w:bookmarkStart w:id="27" w:name="page28"/>
    <w:bookmarkEnd w:id="27"/>
    <w:p>
      <w:pPr>
        <w:jc w:val="both"/>
        <w:ind w:firstLine="324"/>
        <w:spacing w:after="0" w:line="268" w:lineRule="auto"/>
        <w:rPr>
          <w:sz w:val="20"/>
          <w:szCs w:val="20"/>
          <w:color w:val="auto"/>
        </w:rPr>
      </w:pPr>
      <w:r>
        <w:rPr>
          <w:rFonts w:ascii="Arial" w:cs="Arial" w:eastAsia="Arial" w:hAnsi="Arial"/>
          <w:sz w:val="18"/>
          <w:szCs w:val="18"/>
          <w:color w:val="auto"/>
        </w:rPr>
        <w:t>Adjusted operating income for the first three months ended on June 30, 2018, as compared with the comparable period in 2017, reflected a $330,000 decrease in stock-based compensation expense.</w:t>
      </w:r>
    </w:p>
    <w:p>
      <w:pPr>
        <w:spacing w:after="0" w:line="114" w:lineRule="exact"/>
        <w:rPr>
          <w:sz w:val="20"/>
          <w:szCs w:val="20"/>
          <w:color w:val="auto"/>
        </w:rPr>
      </w:pPr>
    </w:p>
    <w:p>
      <w:pPr>
        <w:jc w:val="center"/>
        <w:ind w:left="4580"/>
        <w:spacing w:after="0"/>
        <w:rPr>
          <w:sz w:val="20"/>
          <w:szCs w:val="20"/>
          <w:color w:val="auto"/>
        </w:rPr>
      </w:pPr>
      <w:r>
        <w:rPr>
          <w:rFonts w:ascii="Arial" w:cs="Arial" w:eastAsia="Arial" w:hAnsi="Arial"/>
          <w:sz w:val="15"/>
          <w:szCs w:val="15"/>
          <w:b w:val="1"/>
          <w:bCs w:val="1"/>
          <w:color w:val="auto"/>
        </w:rPr>
        <w:t>Six Months Ended</w:t>
      </w:r>
    </w:p>
    <w:p>
      <w:pPr>
        <w:jc w:val="center"/>
        <w:ind w:left="4580"/>
        <w:spacing w:after="0" w:line="229" w:lineRule="auto"/>
        <w:rPr>
          <w:sz w:val="20"/>
          <w:szCs w:val="20"/>
          <w:color w:val="auto"/>
        </w:rPr>
      </w:pPr>
      <w:r>
        <w:rPr>
          <w:rFonts w:ascii="Arial" w:cs="Arial" w:eastAsia="Arial" w:hAnsi="Arial"/>
          <w:sz w:val="15"/>
          <w:szCs w:val="15"/>
          <w:b w:val="1"/>
          <w:bCs w:val="1"/>
          <w:color w:val="auto"/>
        </w:rPr>
        <w:t>June 30,</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5"/>
              <w:spacing w:after="0" w:line="169" w:lineRule="exact"/>
              <w:rPr>
                <w:sz w:val="20"/>
                <w:szCs w:val="20"/>
                <w:color w:val="auto"/>
              </w:rPr>
            </w:pPr>
            <w:r>
              <w:rPr>
                <w:rFonts w:ascii="Arial" w:cs="Arial" w:eastAsia="Arial" w:hAnsi="Arial"/>
                <w:sz w:val="15"/>
                <w:szCs w:val="15"/>
                <w:b w:val="1"/>
                <w:bCs w:val="1"/>
                <w:color w:val="auto"/>
              </w:rPr>
              <w:t>2018</w:t>
            </w:r>
          </w:p>
        </w:tc>
        <w:tc>
          <w:tcPr>
            <w:tcW w:w="2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5"/>
              <w:spacing w:after="0" w:line="169" w:lineRule="exact"/>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5"/>
                <w:szCs w:val="15"/>
                <w:b w:val="1"/>
                <w:bCs w:val="1"/>
                <w:color w:val="auto"/>
              </w:rPr>
              <w:t>Adjusted(Non-</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5"/>
                <w:szCs w:val="15"/>
                <w:b w:val="1"/>
                <w:bCs w:val="1"/>
                <w:color w:val="auto"/>
                <w:w w:val="96"/>
              </w:rPr>
              <w:t>Adjusted(Non-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5"/>
                <w:szCs w:val="15"/>
                <w:b w:val="1"/>
                <w:bCs w:val="1"/>
                <w:color w:val="auto"/>
              </w:rPr>
              <w:t>Actual(GAAP)</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SBC</w:t>
            </w:r>
          </w:p>
        </w:tc>
        <w:tc>
          <w:tcPr>
            <w:tcW w:w="14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GAAP)</w:t>
            </w: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Actual(GAAP)</w:t>
            </w:r>
          </w:p>
        </w:tc>
        <w:tc>
          <w:tcPr>
            <w:tcW w:w="20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SBC</w:t>
            </w:r>
          </w:p>
        </w:tc>
        <w:tc>
          <w:tcPr>
            <w:tcW w:w="1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5"/>
                <w:szCs w:val="15"/>
                <w:i w:val="1"/>
                <w:iCs w:val="1"/>
                <w:color w:val="auto"/>
                <w:w w:val="92"/>
              </w:rPr>
              <w:t>(in thousands)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30,616</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30,616</w:t>
            </w:r>
          </w:p>
        </w:tc>
        <w:tc>
          <w:tcPr>
            <w:tcW w:w="2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14,423</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(16,751)</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(8,570)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13,865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(4,464)</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(2,583)</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(3,893)</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(1,867)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(2,201)</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(2,721)</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(3,158)</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(1,755)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Adjusted operating loss in the first six months of 2018, as compared with the comparable period in 2017, reflected an increase of $1.0 million in stock-based compensation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 Actual results could differ from those estimates. There were no significant changes in our critical accounting estimates during the first six months of 2018 to augment the critical accounting estimates disclosed in “Item 7. Management’s Discussion and Analysis of Financial Condition and Results of Operations</w:t>
      </w:r>
    </w:p>
    <w:p>
      <w:pPr>
        <w:spacing w:after="0" w:line="2"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Critical Accounting Policies and Significant Judgments and Estimates” included in our Annual Report, except we note that:</w:t>
      </w:r>
    </w:p>
    <w:p>
      <w:pPr>
        <w:spacing w:after="0" w:line="15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Effective January 1, 2018, we adopted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of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regarding the recognition, presentation and disclosure of revenue in our financial statements. Adoption of this new revenue standard did not impact our financials presented previously. We recognize revenue when control of the promised goods or services is transferred to our customer, in an amount that reflects the consideration we expect to be entitled to in exchange for those goods or services. For additional information with respect to ASC Topic 606, please see “Recent Accounting Pronouncements ─ Recently Adopted Accounting Pronouncements’ in note 2 to our condensed consolidated financial statements included elsewhere in this report.</w:t>
      </w:r>
    </w:p>
    <w:p>
      <w:pPr>
        <w:spacing w:after="0" w:line="106"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Please see note 14 to our condensed consolidated financial statements included elsewhere in this report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a presentation of weighted-average assumptions used in the Black-Scholes option pricing model to determine the fair value of stock option grants made during the first six months of 2018.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740" w:type="dxa"/>
            <w:vAlign w:val="bottom"/>
            <w:gridSpan w:val="7"/>
          </w:tcPr>
          <w:p>
            <w:pPr>
              <w:jc w:val="center"/>
              <w:ind w:right="260"/>
              <w:spacing w:after="0"/>
              <w:rPr>
                <w:sz w:val="20"/>
                <w:szCs w:val="20"/>
                <w:color w:val="auto"/>
              </w:rPr>
            </w:pPr>
            <w:r>
              <w:rPr>
                <w:rFonts w:ascii="Arial" w:cs="Arial" w:eastAsia="Arial" w:hAnsi="Arial"/>
                <w:sz w:val="15"/>
                <w:szCs w:val="15"/>
                <w:b w:val="1"/>
                <w:bCs w:val="1"/>
                <w:color w:val="auto"/>
                <w:w w:val="91"/>
              </w:rPr>
              <w:t>Three Months Ended</w:t>
            </w:r>
          </w:p>
        </w:tc>
        <w:tc>
          <w:tcPr>
            <w:tcW w:w="340" w:type="dxa"/>
            <w:vAlign w:val="bottom"/>
          </w:tcPr>
          <w:p>
            <w:pPr>
              <w:spacing w:after="0"/>
              <w:rPr>
                <w:sz w:val="14"/>
                <w:szCs w:val="14"/>
                <w:color w:val="auto"/>
              </w:rPr>
            </w:pPr>
          </w:p>
        </w:tc>
        <w:tc>
          <w:tcPr>
            <w:tcW w:w="2320" w:type="dxa"/>
            <w:vAlign w:val="bottom"/>
            <w:gridSpan w:val="6"/>
          </w:tcPr>
          <w:p>
            <w:pPr>
              <w:jc w:val="center"/>
              <w:ind w:right="540"/>
              <w:spacing w:after="0"/>
              <w:rPr>
                <w:sz w:val="20"/>
                <w:szCs w:val="20"/>
                <w:color w:val="auto"/>
              </w:rPr>
            </w:pPr>
            <w:r>
              <w:rPr>
                <w:rFonts w:ascii="Arial" w:cs="Arial" w:eastAsia="Arial" w:hAnsi="Arial"/>
                <w:sz w:val="15"/>
                <w:szCs w:val="15"/>
                <w:b w:val="1"/>
                <w:bCs w:val="1"/>
                <w:color w:val="auto"/>
                <w:w w:val="90"/>
              </w:rPr>
              <w:t>Six Months Ended</w:t>
            </w: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left="33"/>
              <w:spacing w:after="0"/>
              <w:rPr>
                <w:sz w:val="20"/>
                <w:szCs w:val="20"/>
                <w:color w:val="auto"/>
              </w:rPr>
            </w:pPr>
            <w:r>
              <w:rPr>
                <w:rFonts w:ascii="Arial" w:cs="Arial" w:eastAsia="Arial" w:hAnsi="Arial"/>
                <w:sz w:val="15"/>
                <w:szCs w:val="15"/>
                <w:b w:val="1"/>
                <w:bCs w:val="1"/>
                <w:color w:val="auto"/>
                <w:w w:val="86"/>
              </w:rPr>
              <w:t>June 30,</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5"/>
                <w:szCs w:val="15"/>
                <w:b w:val="1"/>
                <w:bCs w:val="1"/>
                <w:color w:val="auto"/>
                <w:w w:val="86"/>
              </w:rPr>
              <w:t>June 30,</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608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4"/>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Equity income in net income of affiliates</w:t>
            </w: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income( loss) attributable to ACM Research, Inc.</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Comparison of Three Months Ended June 30, 2018 and 2017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i w:val="1"/>
                <w:iCs w:val="1"/>
                <w:color w:val="auto"/>
              </w:rPr>
              <w:t>Revenue</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700"/>
              <w:spacing w:after="0"/>
              <w:rPr>
                <w:sz w:val="20"/>
                <w:szCs w:val="20"/>
                <w:color w:val="auto"/>
              </w:rPr>
            </w:pPr>
            <w:r>
              <w:rPr>
                <w:rFonts w:ascii="Arial" w:cs="Arial" w:eastAsia="Arial" w:hAnsi="Arial"/>
                <w:sz w:val="15"/>
                <w:szCs w:val="15"/>
                <w:b w:val="1"/>
                <w:bCs w:val="1"/>
                <w:color w:val="auto"/>
                <w:w w:val="91"/>
              </w:rPr>
              <w:t>Three Months Ended</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5"/>
                <w:szCs w:val="15"/>
                <w:b w:val="1"/>
                <w:bCs w:val="1"/>
                <w:color w:val="auto"/>
                <w:w w:val="86"/>
              </w:rPr>
              <w:t>June 30,</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4"/>
              <w:spacing w:after="0" w:line="162" w:lineRule="exact"/>
              <w:rPr>
                <w:sz w:val="20"/>
                <w:szCs w:val="20"/>
                <w:color w:val="auto"/>
              </w:rPr>
            </w:pPr>
            <w:r>
              <w:rPr>
                <w:rFonts w:ascii="Arial" w:cs="Arial" w:eastAsia="Arial" w:hAnsi="Arial"/>
                <w:sz w:val="15"/>
                <w:szCs w:val="15"/>
                <w:b w:val="1"/>
                <w:bCs w:val="1"/>
                <w:color w:val="auto"/>
                <w:w w:val="88"/>
              </w:rPr>
              <w:t>2017 v 2018</w:t>
            </w:r>
          </w:p>
        </w:tc>
        <w:tc>
          <w:tcPr>
            <w:tcW w:w="200" w:type="dxa"/>
            <w:vAlign w:val="bottom"/>
            <w:gridSpan w:val="2"/>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center"/>
              <w:ind w:left="415"/>
              <w:spacing w:after="0"/>
              <w:rPr>
                <w:sz w:val="20"/>
                <w:szCs w:val="20"/>
                <w:color w:val="auto"/>
              </w:rPr>
            </w:pPr>
            <w:r>
              <w:rPr>
                <w:rFonts w:ascii="Arial" w:cs="Arial" w:eastAsia="Arial" w:hAnsi="Arial"/>
                <w:sz w:val="15"/>
                <w:szCs w:val="15"/>
                <w:i w:val="1"/>
                <w:iCs w:val="1"/>
                <w:color w:val="auto"/>
                <w:w w:val="90"/>
              </w:rPr>
              <w:t>(in thousands)</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18"/>
                <w:szCs w:val="18"/>
                <w:color w:val="auto"/>
              </w:rPr>
            </w:pPr>
          </w:p>
        </w:tc>
      </w:tr>
    </w:tbl>
    <w:p>
      <w:pPr>
        <w:spacing w:after="0" w:line="140"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increase in revenue of $12.1 million in the three months ended June 30, 2018 as compared to the same period in 2017 reflected increases in revenue from existing customers of $11.9 million from single-wafer cleaning equipment and $190,000 from service and parts. The revenue increase reflected an increased volume of tools shipped, coupled with higher selling prices associated with the equipment sold.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5"/>
                <w:szCs w:val="15"/>
                <w:b w:val="1"/>
                <w:bCs w:val="1"/>
                <w:color w:val="auto"/>
                <w:w w:val="91"/>
              </w:rPr>
              <w:t>Three Months Ended</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5"/>
                <w:szCs w:val="15"/>
                <w:b w:val="1"/>
                <w:bCs w:val="1"/>
                <w:color w:val="auto"/>
                <w:w w:val="86"/>
              </w:rPr>
              <w:t>June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169"/>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0"/>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98"/>
              <w:spacing w:after="0" w:line="162" w:lineRule="exact"/>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4"/>
                <w:szCs w:val="14"/>
                <w:color w:val="auto"/>
              </w:rPr>
            </w:pPr>
          </w:p>
        </w:tc>
      </w:tr>
      <w:tr>
        <w:trPr>
          <w:trHeight w:val="243"/>
        </w:trPr>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5"/>
                <w:szCs w:val="15"/>
                <w:i w:val="1"/>
                <w:iCs w:val="1"/>
                <w:color w:val="auto"/>
                <w:w w:val="92"/>
              </w:rPr>
              <w:t>(dollars in thousands)</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3,451</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Cost of revenue increased $6.8 million and gross profit increased $5.3 million from the three months ended June 30, 2018 to the comparable period in 2017, primarily due to better absorption of fixed costs due to higher product sales. Gross margin increased 2.4%, primarily due to a sales mix that included a greater number and percentage of the higher-margin SAPS tools and to improved manufacturing efficiency.</w:t>
      </w: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557" w:right="179" w:bottom="1440" w:gutter="0" w:footer="0" w:header="0"/>
        </w:sectPr>
      </w:pPr>
    </w:p>
    <w:bookmarkStart w:id="29" w:name="page30"/>
    <w:bookmarkEnd w:id="29"/>
    <w:p>
      <w:pPr>
        <w:jc w:val="both"/>
        <w:ind w:firstLine="324"/>
        <w:spacing w:after="0" w:line="259"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80" w:type="dxa"/>
            <w:vAlign w:val="bottom"/>
            <w:gridSpan w:val="4"/>
          </w:tcPr>
          <w:p>
            <w:pPr>
              <w:jc w:val="center"/>
              <w:ind w:left="319"/>
              <w:spacing w:after="0"/>
              <w:rPr>
                <w:sz w:val="20"/>
                <w:szCs w:val="20"/>
                <w:color w:val="auto"/>
              </w:rPr>
            </w:pPr>
            <w:r>
              <w:rPr>
                <w:rFonts w:ascii="Arial" w:cs="Arial" w:eastAsia="Arial" w:hAnsi="Arial"/>
                <w:sz w:val="15"/>
                <w:szCs w:val="15"/>
                <w:b w:val="1"/>
                <w:bCs w:val="1"/>
                <w:color w:val="auto"/>
                <w:w w:val="91"/>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46"/>
              <w:spacing w:after="0"/>
              <w:rPr>
                <w:sz w:val="20"/>
                <w:szCs w:val="20"/>
                <w:color w:val="auto"/>
              </w:rPr>
            </w:pPr>
            <w:r>
              <w:rPr>
                <w:rFonts w:ascii="Arial" w:cs="Arial" w:eastAsia="Arial" w:hAnsi="Arial"/>
                <w:sz w:val="15"/>
                <w:szCs w:val="15"/>
                <w:b w:val="1"/>
                <w:bCs w:val="1"/>
                <w:color w:val="auto"/>
                <w:w w:val="86"/>
              </w:rPr>
              <w:t>June 30,</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right="20"/>
              <w:spacing w:after="0" w:line="162" w:lineRule="exact"/>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gridSpan w:val="3"/>
          </w:tcPr>
          <w:p>
            <w:pPr>
              <w:jc w:val="center"/>
              <w:ind w:right="226"/>
              <w:spacing w:after="0"/>
              <w:rPr>
                <w:sz w:val="20"/>
                <w:szCs w:val="20"/>
                <w:color w:val="auto"/>
              </w:rPr>
            </w:pPr>
            <w:r>
              <w:rPr>
                <w:rFonts w:ascii="Arial" w:cs="Arial" w:eastAsia="Arial" w:hAnsi="Arial"/>
                <w:sz w:val="15"/>
                <w:szCs w:val="15"/>
                <w:i w:val="1"/>
                <w:iCs w:val="1"/>
                <w:color w:val="auto"/>
                <w:w w:val="90"/>
              </w:rPr>
              <w:t>(in thousands)</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2,682</w:t>
            </w:r>
          </w:p>
        </w:tc>
        <w:tc>
          <w:tcPr>
            <w:tcW w:w="960" w:type="dxa"/>
            <w:vAlign w:val="bottom"/>
            <w:gridSpan w:val="2"/>
            <w:shd w:val="clear" w:color="auto" w:fill="CCEEFF"/>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1,420</w:t>
            </w:r>
          </w:p>
        </w:tc>
        <w:tc>
          <w:tcPr>
            <w:tcW w:w="150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w w:val="82"/>
              </w:rPr>
              <w:t>88.9%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2,419</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1,292</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1,294</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6,393</w:t>
            </w:r>
          </w:p>
        </w:tc>
        <w:tc>
          <w:tcPr>
            <w:tcW w:w="9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3,653</w:t>
            </w:r>
          </w:p>
        </w:tc>
        <w:tc>
          <w:tcPr>
            <w:tcW w:w="1360" w:type="dxa"/>
            <w:vAlign w:val="bottom"/>
            <w:gridSpan w:val="3"/>
          </w:tcPr>
          <w:p>
            <w:pPr>
              <w:ind w:left="1060"/>
              <w:spacing w:after="0"/>
              <w:rPr>
                <w:sz w:val="20"/>
                <w:szCs w:val="20"/>
                <w:color w:val="auto"/>
              </w:rPr>
            </w:pPr>
            <w:r>
              <w:rPr>
                <w:rFonts w:ascii="Arial" w:cs="Arial" w:eastAsia="Arial" w:hAnsi="Arial"/>
                <w:sz w:val="18"/>
                <w:szCs w:val="18"/>
                <w:color w:val="auto"/>
                <w:w w:val="79"/>
              </w:rPr>
              <w:t>75.0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$1.3 million in the three months ended June 30, 2018, as compared to the corresponding period in 2017,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increases in personnel costs and sales commissions. Sales and marketing expense consists primarily of:</w:t>
      </w:r>
    </w:p>
    <w:p>
      <w:pPr>
        <w:spacing w:after="0" w:line="86" w:lineRule="exact"/>
        <w:rPr>
          <w:sz w:val="20"/>
          <w:szCs w:val="20"/>
          <w:color w:val="auto"/>
        </w:rPr>
      </w:pPr>
    </w:p>
    <w:p>
      <w:pPr>
        <w:ind w:left="660" w:hanging="328"/>
        <w:spacing w:after="0" w:line="184" w:lineRule="exact"/>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compensation of personnel associated with pre and aftersales support and other sales and marketing activities, including stock based compensation; </w:t>
      </w:r>
      <w:r>
        <w:rPr>
          <w:rFonts w:ascii="MS PGothic" w:cs="MS PGothic" w:eastAsia="MS PGothic" w:hAnsi="MS PGothic"/>
          <w:sz w:val="16"/>
          <w:szCs w:val="16"/>
          <w:color w:val="auto"/>
        </w:rPr>
        <w:t> </w:t>
      </w:r>
    </w:p>
    <w:p>
      <w:pPr>
        <w:spacing w:after="0" w:line="180" w:lineRule="exact"/>
        <w:rPr>
          <w:rFonts w:ascii="Arial" w:cs="Arial" w:eastAsia="Arial" w:hAnsi="Arial"/>
          <w:sz w:val="16"/>
          <w:szCs w:val="16"/>
          <w:color w:val="auto"/>
        </w:rPr>
      </w:pPr>
    </w:p>
    <w:p>
      <w:pPr>
        <w:ind w:left="660" w:hanging="328"/>
        <w:spacing w:after="0" w:line="207" w:lineRule="exact"/>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sales commissions paid to independent sales representatives;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fees paid to sales consultants;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shipping and handling costs for transportation of products to customers;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cost of trade shows;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travel and entertainment; and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allocated overhead for rent and utilities. </w:t>
      </w:r>
      <w:r>
        <w:rPr>
          <w:rFonts w:ascii="MS PGothic" w:cs="MS PGothic" w:eastAsia="MS PGothic" w:hAnsi="MS PGothic"/>
          <w:sz w:val="18"/>
          <w:szCs w:val="18"/>
          <w:color w:val="auto"/>
        </w:rPr>
        <w:t> </w:t>
      </w:r>
    </w:p>
    <w:p>
      <w:pPr>
        <w:spacing w:after="0" w:line="5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increased $1.5 million in the three months ended June 30, 2018 as compared to the corresponding period in 2017,</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as a result of increases in testing fees and personnel costs. Research and development expense represented 11.6% and 10.7% of our revenue in the three months ended June 30, 2018 and 2017, respectively. Without reduction by grant amounts received from PRC governmental authorities (see “—Key Components of Results of Operations—PRC Government Research and Development Funding”), gross research and development expense totaled $2.6 million, or 12.5% of revenue, in the three months ended June 30, 2018 and $2.1 million, or 23.61% of revenue, in the three months ended June 30, 2017. Research and development expense relates to the development of new products and processes and encompasses our research, development and customer support activities. Research and development expense consists primarily of:</w:t>
      </w:r>
    </w:p>
    <w:p>
      <w:pPr>
        <w:spacing w:after="0" w:line="10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General and administrative expense de</w:t>
      </w:r>
      <w:r>
        <w:rPr>
          <w:rFonts w:ascii="Arial" w:cs="Arial" w:eastAsia="Arial" w:hAnsi="Arial"/>
          <w:sz w:val="18"/>
          <w:szCs w:val="18"/>
          <w:color w:val="auto"/>
        </w:rPr>
        <w:t>creased insignificantly in the three months ended June 30, 2018 as compared to the corresponding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resulting from a $0.3 million decrease in stock based compensation expenses offset by the increase of expenses in the second quarter of 2017 we incurred as a result of the IPO. General and administrative expense consists primarily of:</w:t>
      </w:r>
    </w:p>
    <w:p>
      <w:pPr>
        <w:spacing w:after="0" w:line="127" w:lineRule="exact"/>
        <w:rPr>
          <w:sz w:val="20"/>
          <w:szCs w:val="20"/>
          <w:color w:val="auto"/>
        </w:rPr>
      </w:pPr>
    </w:p>
    <w:p>
      <w:pPr>
        <w:ind w:left="660" w:right="20" w:hanging="328"/>
        <w:spacing w:after="0" w:line="229" w:lineRule="exact"/>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compensation of executive, accounting and finance, human resources, information technology, and other administrative personnel, including stockbased compensation; </w:t>
      </w:r>
      <w:r>
        <w:rPr>
          <w:rFonts w:ascii="MS PGothic" w:cs="MS PGothic" w:eastAsia="MS PGothic" w:hAnsi="MS PGothic"/>
          <w:sz w:val="18"/>
          <w:szCs w:val="18"/>
          <w:color w:val="auto"/>
        </w:rPr>
        <w:t> </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ind w:left="660" w:hanging="328"/>
        <w:spacing w:after="0" w:line="207" w:lineRule="exact"/>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professional fees, including accounting and legal fees;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other corporate expenses; and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allocated overhead for rent and utilities. </w:t>
      </w:r>
      <w:r>
        <w:rPr>
          <w:rFonts w:ascii="MS PGothic" w:cs="MS PGothic" w:eastAsia="MS PGothic" w:hAnsi="MS PGothic"/>
          <w:sz w:val="18"/>
          <w:szCs w:val="18"/>
          <w:color w:val="auto"/>
        </w:rPr>
        <w:t> </w:t>
      </w:r>
    </w:p>
    <w:p>
      <w:pPr>
        <w:spacing w:after="0" w:line="19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expect that, for the foreseeable future, general and administrative expenses will increase in absolute dollars, as we incur additional costs associated with growing our business and operating as a public company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and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120" w:type="dxa"/>
            <w:vAlign w:val="bottom"/>
            <w:gridSpan w:val="4"/>
          </w:tcPr>
          <w:p>
            <w:pPr>
              <w:jc w:val="center"/>
              <w:ind w:left="281"/>
              <w:spacing w:after="0"/>
              <w:rPr>
                <w:sz w:val="20"/>
                <w:szCs w:val="20"/>
                <w:color w:val="auto"/>
              </w:rPr>
            </w:pPr>
            <w:r>
              <w:rPr>
                <w:rFonts w:ascii="Arial" w:cs="Arial" w:eastAsia="Arial" w:hAnsi="Arial"/>
                <w:sz w:val="15"/>
                <w:szCs w:val="15"/>
                <w:b w:val="1"/>
                <w:bCs w:val="1"/>
                <w:color w:val="auto"/>
                <w:w w:val="91"/>
              </w:rPr>
              <w:t>Three Months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5"/>
                <w:szCs w:val="15"/>
                <w:b w:val="1"/>
                <w:bCs w:val="1"/>
                <w:color w:val="auto"/>
                <w:w w:val="86"/>
              </w:rPr>
              <w:t>June 30,</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74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4"/>
                <w:szCs w:val="14"/>
                <w:color w:val="auto"/>
              </w:rPr>
            </w:pPr>
          </w:p>
        </w:tc>
      </w:tr>
      <w:tr>
        <w:trPr>
          <w:trHeight w:val="243"/>
        </w:trPr>
        <w:tc>
          <w:tcPr>
            <w:tcW w:w="7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gridSpan w:val="3"/>
          </w:tcPr>
          <w:p>
            <w:pPr>
              <w:jc w:val="center"/>
              <w:ind w:right="259"/>
              <w:spacing w:after="0"/>
              <w:rPr>
                <w:sz w:val="20"/>
                <w:szCs w:val="20"/>
                <w:color w:val="auto"/>
              </w:rPr>
            </w:pPr>
            <w:r>
              <w:rPr>
                <w:rFonts w:ascii="Arial" w:cs="Arial" w:eastAsia="Arial" w:hAnsi="Arial"/>
                <w:sz w:val="15"/>
                <w:szCs w:val="15"/>
                <w:i w:val="1"/>
                <w:iCs w:val="1"/>
                <w:color w:val="auto"/>
                <w:w w:val="90"/>
              </w:rPr>
              <w:t>(in thousands)</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1,066</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(228)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(567.5)</w:t>
            </w:r>
          </w:p>
        </w:tc>
      </w:tr>
    </w:tbl>
    <w:p>
      <w:pPr>
        <w:spacing w:after="0" w:line="13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Interest expense consists of interest incurred from outstanding short-term borrowings. Interest expense increased by $52,000 in the three months ended June 30, 2018 from $83,000 in the three months ended June 30, 2017, principally as a result of increased borrowings under short-term bank loans. We earn interest income from depositary accounts. Interest income was nominal in the three months ended June 30, 2018 and 2017.</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Non-operating income (expense), net primarily reflects (a) gains or losses recognized from the effect of exchange rates on our foreign currency-denominated asset and liability balances and (b) depreciation of assets acquired with government subsidies, as described under “—Key Components of Results of Operations— PRC Government Research and Development Funding” above.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153"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Three Months Ended</w:t>
      </w:r>
    </w:p>
    <w:p>
      <w:pPr>
        <w:jc w:val="center"/>
        <w:ind w:left="8700"/>
        <w:spacing w:after="0" w:line="229" w:lineRule="auto"/>
        <w:rPr>
          <w:sz w:val="20"/>
          <w:szCs w:val="20"/>
          <w:color w:val="auto"/>
        </w:rPr>
      </w:pPr>
      <w:r>
        <w:rPr>
          <w:rFonts w:ascii="Arial" w:cs="Arial" w:eastAsia="Arial" w:hAnsi="Arial"/>
          <w:sz w:val="15"/>
          <w:szCs w:val="15"/>
          <w:b w:val="1"/>
          <w:bCs w:val="1"/>
          <w:color w:val="auto"/>
        </w:rPr>
        <w:t>June 30,</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2018</w:t>
            </w:r>
          </w:p>
        </w:tc>
        <w:tc>
          <w:tcPr>
            <w:tcW w:w="3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14"/>
              <w:spacing w:after="0" w:line="169" w:lineRule="exact"/>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5"/>
                <w:szCs w:val="15"/>
                <w:i w:val="1"/>
                <w:iCs w:val="1"/>
                <w:color w:val="auto"/>
                <w:w w:val="94"/>
              </w:rPr>
              <w:t>(in 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income tax benefit (expense)</w:t>
            </w: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(164)</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state</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Total deferred income benefit (expense)</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income tax benefit (expense)</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(164)</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December 22, 2017, the 2017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the first six months of 2018. The accounting for the tax effects of the Tax Act will be completed later in 2018.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1" w:name="page32"/>
    <w:bookmarkEnd w:id="31"/>
    <w:p>
      <w:pPr>
        <w:jc w:val="both"/>
        <w:ind w:firstLine="324"/>
        <w:spacing w:after="0" w:line="29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10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Six Months Ended June 30, 2018 and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159"/>
              <w:spacing w:after="0"/>
              <w:rPr>
                <w:sz w:val="20"/>
                <w:szCs w:val="20"/>
                <w:color w:val="auto"/>
              </w:rPr>
            </w:pPr>
            <w:r>
              <w:rPr>
                <w:rFonts w:ascii="Arial" w:cs="Arial" w:eastAsia="Arial" w:hAnsi="Arial"/>
                <w:sz w:val="15"/>
                <w:szCs w:val="15"/>
                <w:b w:val="1"/>
                <w:bCs w:val="1"/>
                <w:color w:val="auto"/>
                <w:w w:val="90"/>
              </w:rPr>
              <w:t>Six Months Ended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23"/>
              <w:spacing w:after="0"/>
              <w:rPr>
                <w:sz w:val="20"/>
                <w:szCs w:val="20"/>
                <w:color w:val="auto"/>
              </w:rPr>
            </w:pPr>
            <w:r>
              <w:rPr>
                <w:rFonts w:ascii="Arial" w:cs="Arial" w:eastAsia="Arial" w:hAnsi="Arial"/>
                <w:sz w:val="15"/>
                <w:szCs w:val="15"/>
                <w:b w:val="1"/>
                <w:bCs w:val="1"/>
                <w:color w:val="auto"/>
                <w:w w:val="86"/>
              </w:rPr>
              <w:t>June 30,</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3"/>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9"/>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4"/>
                <w:szCs w:val="14"/>
                <w:color w:val="auto"/>
              </w:rPr>
            </w:pPr>
          </w:p>
        </w:tc>
      </w:tr>
      <w:tr>
        <w:trPr>
          <w:trHeight w:val="243"/>
        </w:trPr>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center"/>
              <w:ind w:left="443"/>
              <w:spacing w:after="0"/>
              <w:rPr>
                <w:sz w:val="20"/>
                <w:szCs w:val="20"/>
                <w:color w:val="auto"/>
              </w:rPr>
            </w:pPr>
            <w:r>
              <w:rPr>
                <w:rFonts w:ascii="Arial" w:cs="Arial" w:eastAsia="Arial" w:hAnsi="Arial"/>
                <w:sz w:val="15"/>
                <w:szCs w:val="15"/>
                <w:i w:val="1"/>
                <w:iCs w:val="1"/>
                <w:color w:val="auto"/>
                <w:w w:val="90"/>
              </w:rPr>
              <w:t>(in thousands)</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112.3%</w:t>
            </w:r>
          </w:p>
        </w:tc>
      </w:tr>
    </w:tbl>
    <w:p>
      <w:pPr>
        <w:spacing w:after="0" w:line="14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increase in revenue of $16.2 million in the six months ended June 30, 2018 reflected increases in revenue from single-wafer cleaning equipment of $15.8 million and $0.4 million from service and parts. We recognized revenue from sales of single-wafer wet cleaning equipment totaling $30.0 million, or 98.0% of total revenue, for the first six months of 2018 and $14.2 million, or 98.5% of total revenue, for the first six months of 2017. The increases are from our existing customers.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Please see “Item 1A.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 of our Annual Report.</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of our sales in 2017 and the first six months of 2018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center"/>
              <w:ind w:right="520"/>
              <w:spacing w:after="0"/>
              <w:rPr>
                <w:sz w:val="20"/>
                <w:szCs w:val="20"/>
                <w:color w:val="auto"/>
              </w:rPr>
            </w:pPr>
            <w:r>
              <w:rPr>
                <w:rFonts w:ascii="Arial" w:cs="Arial" w:eastAsia="Arial" w:hAnsi="Arial"/>
                <w:sz w:val="15"/>
                <w:szCs w:val="15"/>
                <w:b w:val="1"/>
                <w:bCs w:val="1"/>
                <w:color w:val="auto"/>
                <w:w w:val="90"/>
              </w:rPr>
              <w:t>Six Months Ended</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5"/>
                <w:szCs w:val="15"/>
                <w:b w:val="1"/>
                <w:bCs w:val="1"/>
                <w:color w:val="auto"/>
                <w:w w:val="86"/>
              </w:rPr>
              <w:t>June 30,</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223"/>
        </w:trPr>
        <w:tc>
          <w:tcPr>
            <w:tcW w:w="7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9"/>
                <w:szCs w:val="19"/>
                <w:color w:val="auto"/>
              </w:rPr>
            </w:pPr>
          </w:p>
        </w:tc>
      </w:tr>
      <w:tr>
        <w:trPr>
          <w:trHeight w:val="243"/>
        </w:trPr>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center"/>
              <w:ind w:left="440"/>
              <w:spacing w:after="0"/>
              <w:rPr>
                <w:sz w:val="20"/>
                <w:szCs w:val="20"/>
                <w:color w:val="auto"/>
              </w:rPr>
            </w:pPr>
            <w:r>
              <w:rPr>
                <w:rFonts w:ascii="Arial" w:cs="Arial" w:eastAsia="Arial" w:hAnsi="Arial"/>
                <w:sz w:val="15"/>
                <w:szCs w:val="15"/>
                <w:i w:val="1"/>
                <w:iCs w:val="1"/>
                <w:color w:val="auto"/>
                <w:w w:val="90"/>
              </w:rPr>
              <w:t>(in thousands)</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13,846</w:t>
            </w:r>
          </w:p>
        </w:tc>
        <w:tc>
          <w:tcPr>
            <w:tcW w:w="26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136.6</w:t>
            </w:r>
          </w:p>
        </w:tc>
        <w:tc>
          <w:tcPr>
            <w:tcW w:w="14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of revenue increased $8.2 million, and gross profit increased $8 million, from the six months ended June 30, 2018 to the comparable period in 2017.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increased 5%, primarily due to the sale of higher-margin SAPS tools and manufacturing efficiency compared to the corresponding period in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155"/>
              <w:spacing w:after="0"/>
              <w:rPr>
                <w:sz w:val="20"/>
                <w:szCs w:val="20"/>
                <w:color w:val="auto"/>
              </w:rPr>
            </w:pPr>
            <w:r>
              <w:rPr>
                <w:rFonts w:ascii="Arial" w:cs="Arial" w:eastAsia="Arial" w:hAnsi="Arial"/>
                <w:sz w:val="15"/>
                <w:szCs w:val="15"/>
                <w:b w:val="1"/>
                <w:bCs w:val="1"/>
                <w:color w:val="auto"/>
                <w:w w:val="90"/>
              </w:rPr>
              <w:t>Six Months Ended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5"/>
                <w:szCs w:val="15"/>
                <w:b w:val="1"/>
                <w:bCs w:val="1"/>
                <w:color w:val="auto"/>
                <w:w w:val="86"/>
              </w:rPr>
              <w:t>June 30,</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 Change</w:t>
            </w:r>
          </w:p>
        </w:tc>
      </w:tr>
      <w:tr>
        <w:trPr>
          <w:trHeight w:val="169"/>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9"/>
              <w:spacing w:after="0" w:line="162" w:lineRule="exact"/>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line="162"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106"/>
              <w:spacing w:after="0" w:line="162" w:lineRule="exact"/>
              <w:rPr>
                <w:sz w:val="20"/>
                <w:szCs w:val="20"/>
                <w:color w:val="auto"/>
              </w:rPr>
            </w:pPr>
            <w:r>
              <w:rPr>
                <w:rFonts w:ascii="Arial" w:cs="Arial" w:eastAsia="Arial" w:hAnsi="Arial"/>
                <w:sz w:val="15"/>
                <w:szCs w:val="15"/>
                <w:b w:val="1"/>
                <w:bCs w:val="1"/>
                <w:color w:val="auto"/>
              </w:rPr>
              <w:t>2017 v 2018</w:t>
            </w:r>
          </w:p>
        </w:tc>
        <w:tc>
          <w:tcPr>
            <w:tcW w:w="14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center"/>
              <w:ind w:left="439"/>
              <w:spacing w:after="0"/>
              <w:rPr>
                <w:sz w:val="20"/>
                <w:szCs w:val="20"/>
                <w:color w:val="auto"/>
              </w:rPr>
            </w:pPr>
            <w:r>
              <w:rPr>
                <w:rFonts w:ascii="Arial" w:cs="Arial" w:eastAsia="Arial" w:hAnsi="Arial"/>
                <w:sz w:val="15"/>
                <w:szCs w:val="15"/>
                <w:i w:val="1"/>
                <w:iCs w:val="1"/>
                <w:color w:val="auto"/>
                <w:w w:val="90"/>
              </w:rPr>
              <w:t>(in thousands)</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13,419</w:t>
            </w:r>
          </w:p>
        </w:tc>
        <w:tc>
          <w:tcPr>
            <w:tcW w:w="6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7,608</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$2 million the six months ended June 30, 2018 as compared to the corresponding period in 2017,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service expenses, personnel costs and sales commissions. Sales and marketing expense consists primarily of:</w:t>
      </w:r>
    </w:p>
    <w:p>
      <w:pPr>
        <w:spacing w:after="0" w:line="86" w:lineRule="exact"/>
        <w:rPr>
          <w:sz w:val="20"/>
          <w:szCs w:val="20"/>
          <w:color w:val="auto"/>
        </w:rPr>
      </w:pPr>
    </w:p>
    <w:p>
      <w:pPr>
        <w:ind w:left="660" w:hanging="328"/>
        <w:spacing w:after="0" w:line="184" w:lineRule="exact"/>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compensation of personnel associated with pre and aftersales support and other sales and marketing activities, including stock based compensation; </w:t>
      </w:r>
      <w:r>
        <w:rPr>
          <w:rFonts w:ascii="MS PGothic" w:cs="MS PGothic" w:eastAsia="MS PGothic" w:hAnsi="MS PGothic"/>
          <w:sz w:val="16"/>
          <w:szCs w:val="16"/>
          <w:color w:val="auto"/>
        </w:rPr>
        <w:t> </w:t>
      </w:r>
    </w:p>
    <w:p>
      <w:pPr>
        <w:spacing w:after="0" w:line="180" w:lineRule="exact"/>
        <w:rPr>
          <w:rFonts w:ascii="Arial" w:cs="Arial" w:eastAsia="Arial" w:hAnsi="Arial"/>
          <w:sz w:val="16"/>
          <w:szCs w:val="16"/>
          <w:color w:val="auto"/>
        </w:rPr>
      </w:pPr>
    </w:p>
    <w:p>
      <w:pPr>
        <w:ind w:left="660" w:hanging="328"/>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sales commissions paid to independent sales representatives;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fees paid to sales consultants;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shipping and handling costs for transportation of products to customers;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cost of trade shows;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travel and entertainment; and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allocated overhead for rent and utilities. </w:t>
      </w:r>
      <w:r>
        <w:rPr>
          <w:rFonts w:ascii="MS PGothic" w:cs="MS PGothic" w:eastAsia="MS PGothic" w:hAnsi="MS PGothic"/>
          <w:sz w:val="18"/>
          <w:szCs w:val="18"/>
          <w:color w:val="auto"/>
        </w:rPr>
        <w:t> </w:t>
      </w:r>
    </w:p>
    <w:p>
      <w:pPr>
        <w:spacing w:after="0" w:line="5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increased $2.1 million in the six months ended June 30, 2018 as compared to the corresponding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as a result of increases in testing fees and personnel costs. Research and development expense represented 12.9% of our revenue in the first half of each of 2018 and 2017. Without reduction by grant amounts received from PRC governmental authorities (see “—Key Components of Results of Operations— PRC Government Research and Development Funding”), gross research and development expense totaled $4.4 million, or 14.2% of revenue, in the six months ended June 30, 2018 and $3.9 million, or 27.38% of revenue, in the six months ended June 30, 2017. Research and development expense relates to the development of new products and processes and encompasses our research, development and customer support activities. Research and development expense consists primarily of:</w:t>
      </w:r>
    </w:p>
    <w:p>
      <w:pPr>
        <w:spacing w:after="0" w:line="13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37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increased $1.8 million in the six months ended June 30, 2018 as compared to the corresponding period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resulting from a $1.0 million increase in stock based compensation expenses and from expenses associated with being a publicly traded company. General and administrative expense consists primarily of:</w:t>
      </w:r>
    </w:p>
    <w:p>
      <w:pPr>
        <w:spacing w:after="0" w:line="127" w:lineRule="exact"/>
        <w:rPr>
          <w:sz w:val="20"/>
          <w:szCs w:val="20"/>
          <w:color w:val="auto"/>
        </w:rPr>
      </w:pPr>
    </w:p>
    <w:p>
      <w:pPr>
        <w:ind w:left="660" w:right="20" w:hanging="328"/>
        <w:spacing w:after="0" w:line="229" w:lineRule="exact"/>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compensation of executive, accounting and finance, human resources, information technology, and other administrative personnel, including stockbased compensation; </w:t>
      </w:r>
      <w:r>
        <w:rPr>
          <w:rFonts w:ascii="MS PGothic" w:cs="MS PGothic" w:eastAsia="MS PGothic" w:hAnsi="MS PGothic"/>
          <w:sz w:val="18"/>
          <w:szCs w:val="18"/>
          <w:color w:val="auto"/>
        </w:rPr>
        <w:t> </w:t>
      </w:r>
    </w:p>
    <w:p>
      <w:pPr>
        <w:spacing w:after="0" w:line="91"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professional fees, including accounting and legal fees;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other corporate expenses; and </w:t>
      </w:r>
      <w:r>
        <w:rPr>
          <w:rFonts w:ascii="MS PGothic" w:cs="MS PGothic" w:eastAsia="MS PGothic" w:hAnsi="MS PGothic"/>
          <w:sz w:val="18"/>
          <w:szCs w:val="18"/>
          <w:color w:val="auto"/>
        </w:rPr>
        <w:t> </w:t>
      </w:r>
    </w:p>
    <w:p>
      <w:pPr>
        <w:spacing w:after="0" w:line="157"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allocated overhead for rent and utilities. </w:t>
      </w:r>
      <w:r>
        <w:rPr>
          <w:rFonts w:ascii="MS PGothic" w:cs="MS PGothic" w:eastAsia="MS PGothic" w:hAnsi="MS PGothic"/>
          <w:sz w:val="18"/>
          <w:szCs w:val="18"/>
          <w:color w:val="auto"/>
        </w:rPr>
        <w:t> </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i w:val="1"/>
          <w:iCs w:val="1"/>
          <w:color w:val="auto"/>
        </w:rPr>
        <w:t>Other Income and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2120" w:type="dxa"/>
            <w:vAlign w:val="bottom"/>
            <w:gridSpan w:val="4"/>
          </w:tcPr>
          <w:p>
            <w:pPr>
              <w:jc w:val="center"/>
              <w:ind w:left="301"/>
              <w:spacing w:after="0"/>
              <w:rPr>
                <w:sz w:val="20"/>
                <w:szCs w:val="20"/>
                <w:color w:val="auto"/>
              </w:rPr>
            </w:pPr>
            <w:r>
              <w:rPr>
                <w:rFonts w:ascii="Arial" w:cs="Arial" w:eastAsia="Arial" w:hAnsi="Arial"/>
                <w:sz w:val="15"/>
                <w:szCs w:val="15"/>
                <w:b w:val="1"/>
                <w:bCs w:val="1"/>
                <w:color w:val="auto"/>
                <w:w w:val="90"/>
              </w:rPr>
              <w:t>Six Months Ended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74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5"/>
                <w:szCs w:val="15"/>
                <w:b w:val="1"/>
                <w:bCs w:val="1"/>
                <w:color w:val="auto"/>
                <w:w w:val="86"/>
              </w:rPr>
              <w:t>June 30,</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 Change</w:t>
            </w:r>
          </w:p>
        </w:tc>
      </w:tr>
      <w:tr>
        <w:trPr>
          <w:trHeight w:val="169"/>
        </w:trPr>
        <w:tc>
          <w:tcPr>
            <w:tcW w:w="744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2018</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2017 v 2018</w:t>
            </w:r>
          </w:p>
        </w:tc>
        <w:tc>
          <w:tcPr>
            <w:tcW w:w="140" w:type="dxa"/>
            <w:vAlign w:val="bottom"/>
          </w:tcPr>
          <w:p>
            <w:pPr>
              <w:spacing w:after="0"/>
              <w:rPr>
                <w:sz w:val="14"/>
                <w:szCs w:val="14"/>
                <w:color w:val="auto"/>
              </w:rPr>
            </w:pPr>
          </w:p>
        </w:tc>
      </w:tr>
      <w:tr>
        <w:trPr>
          <w:trHeight w:val="162"/>
        </w:trPr>
        <w:tc>
          <w:tcPr>
            <w:tcW w:w="7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jc w:val="right"/>
              <w:ind w:right="59"/>
              <w:spacing w:after="0" w:line="162" w:lineRule="exact"/>
              <w:rPr>
                <w:sz w:val="20"/>
                <w:szCs w:val="20"/>
                <w:color w:val="auto"/>
              </w:rPr>
            </w:pPr>
            <w:r>
              <w:rPr>
                <w:rFonts w:ascii="Arial" w:cs="Arial" w:eastAsia="Arial" w:hAnsi="Arial"/>
                <w:sz w:val="15"/>
                <w:szCs w:val="15"/>
                <w:i w:val="1"/>
                <w:iCs w:val="1"/>
                <w:color w:val="auto"/>
              </w:rPr>
              <w:t>(in</w:t>
            </w:r>
          </w:p>
        </w:tc>
        <w:tc>
          <w:tcPr>
            <w:tcW w:w="1000" w:type="dxa"/>
            <w:vAlign w:val="bottom"/>
            <w:gridSpan w:val="2"/>
          </w:tcPr>
          <w:p>
            <w:pPr>
              <w:jc w:val="right"/>
              <w:ind w:right="359"/>
              <w:spacing w:after="0" w:line="162" w:lineRule="exact"/>
              <w:rPr>
                <w:sz w:val="20"/>
                <w:szCs w:val="20"/>
                <w:color w:val="auto"/>
              </w:rPr>
            </w:pPr>
            <w:r>
              <w:rPr>
                <w:rFonts w:ascii="Arial" w:cs="Arial" w:eastAsia="Arial" w:hAnsi="Arial"/>
                <w:sz w:val="15"/>
                <w:szCs w:val="15"/>
                <w:i w:val="1"/>
                <w:iCs w:val="1"/>
                <w:color w:val="auto"/>
                <w:w w:val="72"/>
              </w:rPr>
              <w:t>thousands)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w w:val="95"/>
              </w:rPr>
              <w:t>(235)</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(292)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(206.5)</w:t>
            </w:r>
          </w:p>
        </w:tc>
      </w:tr>
    </w:tbl>
    <w:p>
      <w:pPr>
        <w:spacing w:after="0" w:line="13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Interest expense consists of interest incurred from outstanding short-term borrowings. Interest expense increased by $76,000 in the six months ended June 30, 2018 from $159,000 in the six months ended June 30, 2017, principally as a result of increased borrowings under short-term bank loans. We earn interest income from depositary accounts. Interest income was nominal in the six months ended June 30, 2018 and 2017.</w:t>
      </w:r>
    </w:p>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Non-operating income (expense), net primarily reflects (a) gains or losses recognized from the effect of exchange rates on our foreign currency-denominated asset and liability balances and (b) depreciation of assets acquired with government subsidies, as described under “—Key Components of Results of Operations— PRC Government Research and Development Funding” above.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153" w:lineRule="exact"/>
        <w:rPr>
          <w:sz w:val="20"/>
          <w:szCs w:val="20"/>
          <w:color w:val="auto"/>
        </w:rPr>
      </w:pPr>
    </w:p>
    <w:p>
      <w:pPr>
        <w:jc w:val="center"/>
        <w:ind w:left="8700"/>
        <w:spacing w:after="0"/>
        <w:rPr>
          <w:sz w:val="20"/>
          <w:szCs w:val="20"/>
          <w:color w:val="auto"/>
        </w:rPr>
      </w:pPr>
      <w:r>
        <w:rPr>
          <w:rFonts w:ascii="Arial" w:cs="Arial" w:eastAsia="Arial" w:hAnsi="Arial"/>
          <w:sz w:val="15"/>
          <w:szCs w:val="15"/>
          <w:b w:val="1"/>
          <w:bCs w:val="1"/>
          <w:color w:val="auto"/>
        </w:rPr>
        <w:t>Six Months Ended</w:t>
      </w:r>
    </w:p>
    <w:p>
      <w:pPr>
        <w:jc w:val="center"/>
        <w:ind w:left="8700"/>
        <w:spacing w:after="0" w:line="229" w:lineRule="auto"/>
        <w:rPr>
          <w:sz w:val="20"/>
          <w:szCs w:val="20"/>
          <w:color w:val="auto"/>
        </w:rPr>
      </w:pPr>
      <w:r>
        <w:rPr>
          <w:rFonts w:ascii="Arial" w:cs="Arial" w:eastAsia="Arial" w:hAnsi="Arial"/>
          <w:sz w:val="15"/>
          <w:szCs w:val="15"/>
          <w:b w:val="1"/>
          <w:bCs w:val="1"/>
          <w:color w:val="auto"/>
        </w:rPr>
        <w:t>June 30,</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2018</w:t>
            </w:r>
          </w:p>
        </w:tc>
        <w:tc>
          <w:tcPr>
            <w:tcW w:w="3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14"/>
              <w:spacing w:after="0" w:line="169" w:lineRule="exact"/>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jc w:val="right"/>
              <w:ind w:right="34"/>
              <w:spacing w:after="0" w:line="162" w:lineRule="exact"/>
              <w:rPr>
                <w:sz w:val="20"/>
                <w:szCs w:val="20"/>
                <w:color w:val="auto"/>
              </w:rPr>
            </w:pPr>
            <w:r>
              <w:rPr>
                <w:rFonts w:ascii="Arial" w:cs="Arial" w:eastAsia="Arial" w:hAnsi="Arial"/>
                <w:sz w:val="15"/>
                <w:szCs w:val="15"/>
                <w:i w:val="1"/>
                <w:iCs w:val="1"/>
                <w:color w:val="auto"/>
              </w:rPr>
              <w:t>(in</w:t>
            </w: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i w:val="1"/>
                <w:iCs w:val="1"/>
                <w:color w:val="auto"/>
                <w:w w:val="72"/>
              </w:rPr>
              <w:t>thousands)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8"/>
                <w:szCs w:val="18"/>
                <w:color w:val="auto"/>
              </w:rPr>
            </w:pPr>
          </w:p>
        </w:tc>
        <w:tc>
          <w:tcPr>
            <w:tcW w:w="640" w:type="dxa"/>
            <w:vAlign w:val="bottom"/>
            <w:gridSpan w:val="2"/>
          </w:tcPr>
          <w:p>
            <w:pPr>
              <w:jc w:val="right"/>
              <w:ind w:right="146"/>
              <w:spacing w:after="0"/>
              <w:rPr>
                <w:sz w:val="20"/>
                <w:szCs w:val="20"/>
                <w:color w:val="auto"/>
              </w:rPr>
            </w:pPr>
            <w:r>
              <w:rPr>
                <w:rFonts w:ascii="Arial" w:cs="Arial" w:eastAsia="Arial" w:hAnsi="Arial"/>
                <w:sz w:val="18"/>
                <w:szCs w:val="18"/>
                <w:color w:val="auto"/>
                <w:w w:val="95"/>
              </w:rPr>
              <w:t>(186)</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income tax benefit (expense)</w:t>
            </w:r>
          </w:p>
        </w:tc>
        <w:tc>
          <w:tcPr>
            <w:tcW w:w="7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w w:val="95"/>
              </w:rPr>
              <w:t>(186)</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7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state</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Total deferred income benefit (expense)</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(749)</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income tax benefit (expense)</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w w:val="95"/>
              </w:rPr>
              <w:t>(186)</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w:t>
            </w: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On December 22, 2017, the 2017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the first six months of 2018. The accounting for the tax effects of the Tax Act will be completed later in 2018.</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jc w:val="both"/>
        <w:ind w:firstLine="324"/>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first six months of 2018, we funded our technology development and operations principally through application of proceeds from the IPO and concurrent private placements in November 2017 and, to a lesser extent, from short-term borrowings by ACM Shanghai from local financial institutions. During the six month period, our operations used cash flow of $4.1 million and we did not receive any research and development grants from local and central PRC governmental authorities.</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our existing cash and cash equivalents (including our net proceeds of the IPO and the concurrent private placements),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Equity and Equity-Related Securities. </w:t>
      </w:r>
      <w:r>
        <w:rPr>
          <w:rFonts w:ascii="Arial" w:cs="Arial" w:eastAsia="Arial" w:hAnsi="Arial"/>
          <w:sz w:val="18"/>
          <w:szCs w:val="18"/>
          <w:color w:val="auto"/>
        </w:rPr>
        <w:t>During the first six months of 2018, we received proceeds of $62,000 from sales of common stock pursuant to option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ACM Shanghai is a party to lines of credit with four banks,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Arial" w:cs="Arial" w:eastAsia="Arial" w:hAnsi="Arial"/>
                <w:sz w:val="15"/>
                <w:szCs w:val="15"/>
                <w:b w:val="1"/>
                <w:bCs w:val="1"/>
                <w:color w:val="auto"/>
              </w:rPr>
              <w:t>Maximum</w:t>
            </w:r>
          </w:p>
        </w:tc>
        <w:tc>
          <w:tcPr>
            <w:tcW w:w="136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ind w:left="160"/>
              <w:spacing w:after="0" w:line="162" w:lineRule="exact"/>
              <w:rPr>
                <w:sz w:val="20"/>
                <w:szCs w:val="20"/>
                <w:color w:val="auto"/>
              </w:rPr>
            </w:pPr>
            <w:r>
              <w:rPr>
                <w:rFonts w:ascii="Arial" w:cs="Arial" w:eastAsia="Arial" w:hAnsi="Arial"/>
                <w:sz w:val="15"/>
                <w:szCs w:val="15"/>
                <w:b w:val="1"/>
                <w:bCs w:val="1"/>
                <w:color w:val="auto"/>
              </w:rPr>
              <w:t>Annual Interest</w:t>
            </w:r>
          </w:p>
        </w:tc>
        <w:tc>
          <w:tcPr>
            <w:tcW w:w="1660" w:type="dxa"/>
            <w:vAlign w:val="bottom"/>
            <w:gridSpan w:val="2"/>
          </w:tcPr>
          <w:p>
            <w:pPr>
              <w:ind w:left="340"/>
              <w:spacing w:after="0" w:line="162" w:lineRule="exact"/>
              <w:rPr>
                <w:sz w:val="20"/>
                <w:szCs w:val="20"/>
                <w:color w:val="auto"/>
              </w:rPr>
            </w:pPr>
            <w:r>
              <w:rPr>
                <w:rFonts w:ascii="Arial" w:cs="Arial" w:eastAsia="Arial" w:hAnsi="Arial"/>
                <w:sz w:val="15"/>
                <w:szCs w:val="15"/>
                <w:b w:val="1"/>
                <w:bCs w:val="1"/>
                <w:color w:val="auto"/>
              </w:rPr>
              <w:t>Borrowing</w:t>
            </w:r>
          </w:p>
        </w:tc>
        <w:tc>
          <w:tcPr>
            <w:tcW w:w="13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89"/>
              </w:rPr>
              <w:t>Amount Outstanding</w:t>
            </w:r>
          </w:p>
        </w:tc>
      </w:tr>
      <w:tr>
        <w:trPr>
          <w:trHeight w:val="182"/>
        </w:trPr>
        <w:tc>
          <w:tcPr>
            <w:tcW w:w="3280" w:type="dxa"/>
            <w:vAlign w:val="bottom"/>
            <w:tcBorders>
              <w:bottom w:val="single" w:sz="8" w:color="auto"/>
            </w:tcBorders>
          </w:tcPr>
          <w:p>
            <w:pPr>
              <w:ind w:left="1420"/>
              <w:spacing w:after="0"/>
              <w:rPr>
                <w:sz w:val="20"/>
                <w:szCs w:val="20"/>
                <w:color w:val="auto"/>
              </w:rPr>
            </w:pPr>
            <w:r>
              <w:rPr>
                <w:rFonts w:ascii="Arial" w:cs="Arial" w:eastAsia="Arial" w:hAnsi="Arial"/>
                <w:sz w:val="15"/>
                <w:szCs w:val="15"/>
                <w:b w:val="1"/>
                <w:bCs w:val="1"/>
                <w:color w:val="auto"/>
              </w:rPr>
              <w:t>Lender</w:t>
            </w:r>
          </w:p>
        </w:tc>
        <w:tc>
          <w:tcPr>
            <w:tcW w:w="3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Agreement Date</w:t>
            </w:r>
          </w:p>
        </w:tc>
        <w:tc>
          <w:tcPr>
            <w:tcW w:w="2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Maturity Date</w:t>
            </w:r>
          </w:p>
        </w:tc>
        <w:tc>
          <w:tcPr>
            <w:tcW w:w="320" w:type="dxa"/>
            <w:vAlign w:val="bottom"/>
          </w:tcPr>
          <w:p>
            <w:pPr>
              <w:spacing w:after="0"/>
              <w:rPr>
                <w:sz w:val="15"/>
                <w:szCs w:val="15"/>
                <w:color w:val="auto"/>
              </w:rPr>
            </w:pPr>
          </w:p>
        </w:tc>
        <w:tc>
          <w:tcPr>
            <w:tcW w:w="132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b w:val="1"/>
                <w:bCs w:val="1"/>
                <w:color w:val="auto"/>
              </w:rPr>
              <w:t>Rate</w:t>
            </w:r>
          </w:p>
        </w:tc>
        <w:tc>
          <w:tcPr>
            <w:tcW w:w="300" w:type="dxa"/>
            <w:vAlign w:val="bottom"/>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Amount(1)</w:t>
            </w:r>
          </w:p>
        </w:tc>
        <w:tc>
          <w:tcPr>
            <w:tcW w:w="300" w:type="dxa"/>
            <w:vAlign w:val="bottom"/>
          </w:tcPr>
          <w:p>
            <w:pPr>
              <w:spacing w:after="0"/>
              <w:rPr>
                <w:sz w:val="15"/>
                <w:szCs w:val="15"/>
                <w:color w:val="auto"/>
              </w:rPr>
            </w:pPr>
          </w:p>
        </w:tc>
        <w:tc>
          <w:tcPr>
            <w:tcW w:w="13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at June 30,2018</w:t>
            </w:r>
          </w:p>
        </w:tc>
      </w:tr>
      <w:tr>
        <w:trPr>
          <w:trHeight w:val="162"/>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26"/>
              <w:spacing w:after="0" w:line="162" w:lineRule="exact"/>
              <w:rPr>
                <w:sz w:val="20"/>
                <w:szCs w:val="20"/>
                <w:color w:val="auto"/>
              </w:rPr>
            </w:pPr>
            <w:r>
              <w:rPr>
                <w:rFonts w:ascii="Arial" w:cs="Arial" w:eastAsia="Arial" w:hAnsi="Arial"/>
                <w:sz w:val="15"/>
                <w:szCs w:val="15"/>
                <w:i w:val="1"/>
                <w:iCs w:val="1"/>
                <w:color w:val="auto"/>
              </w:rPr>
              <w:t>(in</w:t>
            </w:r>
          </w:p>
        </w:tc>
        <w:tc>
          <w:tcPr>
            <w:tcW w:w="1660" w:type="dxa"/>
            <w:vAlign w:val="bottom"/>
            <w:gridSpan w:val="2"/>
          </w:tcPr>
          <w:p>
            <w:pPr>
              <w:jc w:val="right"/>
              <w:ind w:right="1006"/>
              <w:spacing w:after="0" w:line="162" w:lineRule="exact"/>
              <w:rPr>
                <w:sz w:val="20"/>
                <w:szCs w:val="20"/>
                <w:color w:val="auto"/>
              </w:rPr>
            </w:pPr>
            <w:r>
              <w:rPr>
                <w:rFonts w:ascii="Arial" w:cs="Arial" w:eastAsia="Arial" w:hAnsi="Arial"/>
                <w:sz w:val="15"/>
                <w:szCs w:val="15"/>
                <w:i w:val="1"/>
                <w:iCs w:val="1"/>
                <w:color w:val="auto"/>
                <w:w w:val="75"/>
              </w:rPr>
              <w:t>thousands)</w:t>
            </w:r>
          </w:p>
        </w:tc>
      </w:tr>
      <w:tr>
        <w:trPr>
          <w:trHeight w:val="162"/>
        </w:trPr>
        <w:tc>
          <w:tcPr>
            <w:tcW w:w="3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Bank of China Pudong Branch</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2"/>
              </w:rPr>
              <w:t>August 2017</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6"/>
              </w:rPr>
              <w:t>September 2018</w:t>
            </w:r>
          </w:p>
        </w:tc>
        <w:tc>
          <w:tcPr>
            <w:tcW w:w="1940" w:type="dxa"/>
            <w:vAlign w:val="bottom"/>
            <w:gridSpan w:val="3"/>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5.69%</w:t>
            </w:r>
          </w:p>
        </w:tc>
        <w:tc>
          <w:tcPr>
            <w:tcW w:w="1660" w:type="dxa"/>
            <w:vAlign w:val="bottom"/>
            <w:gridSpan w:val="2"/>
            <w:shd w:val="clear" w:color="auto" w:fill="CCEEFF"/>
          </w:tcPr>
          <w:p>
            <w:pPr>
              <w:jc w:val="right"/>
              <w:ind w:right="226"/>
              <w:spacing w:after="0" w:line="162" w:lineRule="exact"/>
              <w:rPr>
                <w:sz w:val="20"/>
                <w:szCs w:val="20"/>
                <w:color w:val="auto"/>
              </w:rPr>
            </w:pPr>
            <w:r>
              <w:rPr>
                <w:rFonts w:ascii="Arial" w:cs="Arial" w:eastAsia="Arial" w:hAnsi="Arial"/>
                <w:sz w:val="15"/>
                <w:szCs w:val="15"/>
                <w:color w:val="auto"/>
              </w:rPr>
              <w:t>RMB30,000</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RMB20,000</w:t>
            </w:r>
          </w:p>
        </w:tc>
      </w:tr>
      <w:tr>
        <w:trPr>
          <w:trHeight w:val="162"/>
        </w:trPr>
        <w:tc>
          <w:tcPr>
            <w:tcW w:w="3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$4,533</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$3,022</w:t>
            </w:r>
          </w:p>
        </w:tc>
      </w:tr>
      <w:tr>
        <w:trPr>
          <w:trHeight w:val="153"/>
        </w:trPr>
        <w:tc>
          <w:tcPr>
            <w:tcW w:w="3280" w:type="dxa"/>
            <w:vAlign w:val="bottom"/>
          </w:tcPr>
          <w:p>
            <w:pPr>
              <w:spacing w:after="0" w:line="153" w:lineRule="exact"/>
              <w:rPr>
                <w:sz w:val="20"/>
                <w:szCs w:val="20"/>
                <w:color w:val="auto"/>
              </w:rPr>
            </w:pPr>
            <w:r>
              <w:rPr>
                <w:rFonts w:ascii="Arial" w:cs="Arial" w:eastAsia="Arial" w:hAnsi="Arial"/>
                <w:sz w:val="15"/>
                <w:szCs w:val="15"/>
                <w:color w:val="auto"/>
              </w:rPr>
              <w:t>Bank of Shanghai Pudong Branch</w:t>
            </w:r>
          </w:p>
        </w:tc>
        <w:tc>
          <w:tcPr>
            <w:tcW w:w="3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2"/>
              </w:rPr>
              <w:t>August 2017</w:t>
            </w:r>
          </w:p>
        </w:tc>
        <w:tc>
          <w:tcPr>
            <w:tcW w:w="2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86"/>
              </w:rPr>
              <w:t>September 2018</w:t>
            </w:r>
          </w:p>
        </w:tc>
        <w:tc>
          <w:tcPr>
            <w:tcW w:w="164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5.66</w:t>
            </w:r>
          </w:p>
        </w:tc>
        <w:tc>
          <w:tcPr>
            <w:tcW w:w="300" w:type="dxa"/>
            <w:vAlign w:val="bottom"/>
          </w:tcPr>
          <w:p>
            <w:pPr>
              <w:spacing w:after="0"/>
              <w:rPr>
                <w:sz w:val="13"/>
                <w:szCs w:val="13"/>
                <w:color w:val="auto"/>
              </w:rPr>
            </w:pPr>
          </w:p>
        </w:tc>
        <w:tc>
          <w:tcPr>
            <w:tcW w:w="1660" w:type="dxa"/>
            <w:vAlign w:val="bottom"/>
            <w:gridSpan w:val="2"/>
          </w:tcPr>
          <w:p>
            <w:pPr>
              <w:jc w:val="right"/>
              <w:ind w:right="226"/>
              <w:spacing w:after="0" w:line="153" w:lineRule="exact"/>
              <w:rPr>
                <w:sz w:val="20"/>
                <w:szCs w:val="20"/>
                <w:color w:val="auto"/>
              </w:rPr>
            </w:pPr>
            <w:r>
              <w:rPr>
                <w:rFonts w:ascii="Arial" w:cs="Arial" w:eastAsia="Arial" w:hAnsi="Arial"/>
                <w:sz w:val="15"/>
                <w:szCs w:val="15"/>
                <w:color w:val="auto"/>
              </w:rPr>
              <w:t>RMB50,000</w:t>
            </w:r>
          </w:p>
        </w:tc>
        <w:tc>
          <w:tcPr>
            <w:tcW w:w="1360" w:type="dxa"/>
            <w:vAlign w:val="bottom"/>
          </w:tcPr>
          <w:p>
            <w:pPr>
              <w:jc w:val="right"/>
              <w:spacing w:after="0" w:line="153" w:lineRule="exact"/>
              <w:rPr>
                <w:sz w:val="20"/>
                <w:szCs w:val="20"/>
                <w:color w:val="auto"/>
              </w:rPr>
            </w:pPr>
            <w:r>
              <w:rPr>
                <w:rFonts w:ascii="Arial" w:cs="Arial" w:eastAsia="Arial" w:hAnsi="Arial"/>
                <w:sz w:val="15"/>
                <w:szCs w:val="15"/>
                <w:color w:val="auto"/>
              </w:rPr>
              <w:t>RM20,773</w:t>
            </w:r>
          </w:p>
        </w:tc>
      </w:tr>
      <w:tr>
        <w:trPr>
          <w:trHeight w:val="171"/>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spacing w:after="0" w:line="172" w:lineRule="exact"/>
              <w:rPr>
                <w:sz w:val="20"/>
                <w:szCs w:val="20"/>
                <w:color w:val="auto"/>
              </w:rPr>
            </w:pPr>
            <w:r>
              <w:rPr>
                <w:rFonts w:ascii="Arial" w:cs="Arial" w:eastAsia="Arial" w:hAnsi="Arial"/>
                <w:sz w:val="15"/>
                <w:szCs w:val="15"/>
                <w:color w:val="auto"/>
              </w:rPr>
              <w:t>$7,800</w:t>
            </w:r>
          </w:p>
        </w:tc>
        <w:tc>
          <w:tcPr>
            <w:tcW w:w="300" w:type="dxa"/>
            <w:vAlign w:val="bottom"/>
          </w:tcPr>
          <w:p>
            <w:pPr>
              <w:spacing w:after="0"/>
              <w:rPr>
                <w:sz w:val="14"/>
                <w:szCs w:val="14"/>
                <w:color w:val="auto"/>
              </w:rPr>
            </w:pPr>
          </w:p>
        </w:tc>
        <w:tc>
          <w:tcPr>
            <w:tcW w:w="1360" w:type="dxa"/>
            <w:vAlign w:val="bottom"/>
          </w:tcPr>
          <w:p>
            <w:pPr>
              <w:jc w:val="right"/>
              <w:spacing w:after="0" w:line="172" w:lineRule="exact"/>
              <w:rPr>
                <w:sz w:val="20"/>
                <w:szCs w:val="20"/>
                <w:color w:val="auto"/>
              </w:rPr>
            </w:pPr>
            <w:r>
              <w:rPr>
                <w:rFonts w:ascii="Arial" w:cs="Arial" w:eastAsia="Arial" w:hAnsi="Arial"/>
                <w:sz w:val="15"/>
                <w:szCs w:val="15"/>
                <w:color w:val="auto"/>
              </w:rPr>
              <w:t>$3,133</w:t>
            </w:r>
          </w:p>
        </w:tc>
      </w:tr>
      <w:tr>
        <w:trPr>
          <w:trHeight w:val="162"/>
        </w:trPr>
        <w:tc>
          <w:tcPr>
            <w:tcW w:w="32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Shanghai Rural Commercial Bank</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November 2017</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November 2018</w:t>
            </w:r>
          </w:p>
        </w:tc>
        <w:tc>
          <w:tcPr>
            <w:tcW w:w="16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5.44</w:t>
            </w:r>
          </w:p>
        </w:tc>
        <w:tc>
          <w:tcPr>
            <w:tcW w:w="3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26"/>
              <w:spacing w:after="0" w:line="162" w:lineRule="exact"/>
              <w:rPr>
                <w:sz w:val="20"/>
                <w:szCs w:val="20"/>
                <w:color w:val="auto"/>
              </w:rPr>
            </w:pPr>
            <w:r>
              <w:rPr>
                <w:rFonts w:ascii="Arial" w:cs="Arial" w:eastAsia="Arial" w:hAnsi="Arial"/>
                <w:sz w:val="15"/>
                <w:szCs w:val="15"/>
                <w:color w:val="auto"/>
              </w:rPr>
              <w:t>RMB15,000</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RM15,000</w:t>
            </w:r>
          </w:p>
        </w:tc>
      </w:tr>
      <w:tr>
        <w:trPr>
          <w:trHeight w:val="162"/>
        </w:trPr>
        <w:tc>
          <w:tcPr>
            <w:tcW w:w="3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87"/>
              </w:rPr>
              <w:t>-January 2019</w:t>
            </w: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$2,266</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$2,266</w:t>
            </w:r>
          </w:p>
        </w:tc>
      </w:tr>
      <w:tr>
        <w:trPr>
          <w:trHeight w:val="153"/>
        </w:trPr>
        <w:tc>
          <w:tcPr>
            <w:tcW w:w="3280" w:type="dxa"/>
            <w:vAlign w:val="bottom"/>
          </w:tcPr>
          <w:p>
            <w:pPr>
              <w:spacing w:after="0" w:line="153" w:lineRule="exact"/>
              <w:rPr>
                <w:sz w:val="20"/>
                <w:szCs w:val="20"/>
                <w:color w:val="auto"/>
              </w:rPr>
            </w:pPr>
            <w:r>
              <w:rPr>
                <w:rFonts w:ascii="Arial" w:cs="Arial" w:eastAsia="Arial" w:hAnsi="Arial"/>
                <w:sz w:val="15"/>
                <w:szCs w:val="15"/>
                <w:color w:val="auto"/>
              </w:rPr>
              <w:t>Bank of Communications</w:t>
            </w:r>
          </w:p>
        </w:tc>
        <w:tc>
          <w:tcPr>
            <w:tcW w:w="3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89"/>
              </w:rPr>
              <w:t>November 2017</w:t>
            </w:r>
          </w:p>
        </w:tc>
        <w:tc>
          <w:tcPr>
            <w:tcW w:w="2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88"/>
              </w:rPr>
              <w:t>December 2018</w:t>
            </w:r>
          </w:p>
        </w:tc>
        <w:tc>
          <w:tcPr>
            <w:tcW w:w="1640" w:type="dxa"/>
            <w:vAlign w:val="bottom"/>
            <w:gridSpan w:val="2"/>
          </w:tcPr>
          <w:p>
            <w:pPr>
              <w:jc w:val="right"/>
              <w:spacing w:after="0" w:line="153" w:lineRule="exact"/>
              <w:rPr>
                <w:sz w:val="20"/>
                <w:szCs w:val="20"/>
                <w:color w:val="auto"/>
              </w:rPr>
            </w:pPr>
            <w:r>
              <w:rPr>
                <w:rFonts w:ascii="Arial" w:cs="Arial" w:eastAsia="Arial" w:hAnsi="Arial"/>
                <w:sz w:val="15"/>
                <w:szCs w:val="15"/>
                <w:color w:val="auto"/>
              </w:rPr>
              <w:t>5.66</w:t>
            </w:r>
          </w:p>
        </w:tc>
        <w:tc>
          <w:tcPr>
            <w:tcW w:w="300" w:type="dxa"/>
            <w:vAlign w:val="bottom"/>
          </w:tcPr>
          <w:p>
            <w:pPr>
              <w:spacing w:after="0"/>
              <w:rPr>
                <w:sz w:val="13"/>
                <w:szCs w:val="13"/>
                <w:color w:val="auto"/>
              </w:rPr>
            </w:pPr>
          </w:p>
        </w:tc>
        <w:tc>
          <w:tcPr>
            <w:tcW w:w="1660" w:type="dxa"/>
            <w:vAlign w:val="bottom"/>
            <w:gridSpan w:val="2"/>
          </w:tcPr>
          <w:p>
            <w:pPr>
              <w:jc w:val="right"/>
              <w:ind w:right="226"/>
              <w:spacing w:after="0" w:line="153" w:lineRule="exact"/>
              <w:rPr>
                <w:sz w:val="20"/>
                <w:szCs w:val="20"/>
                <w:color w:val="auto"/>
              </w:rPr>
            </w:pPr>
            <w:r>
              <w:rPr>
                <w:rFonts w:ascii="Arial" w:cs="Arial" w:eastAsia="Arial" w:hAnsi="Arial"/>
                <w:sz w:val="15"/>
                <w:szCs w:val="15"/>
                <w:color w:val="auto"/>
              </w:rPr>
              <w:t>RMB10,000</w:t>
            </w:r>
          </w:p>
        </w:tc>
        <w:tc>
          <w:tcPr>
            <w:tcW w:w="1360" w:type="dxa"/>
            <w:vAlign w:val="bottom"/>
          </w:tcPr>
          <w:p>
            <w:pPr>
              <w:jc w:val="right"/>
              <w:spacing w:after="0" w:line="153" w:lineRule="exact"/>
              <w:rPr>
                <w:sz w:val="20"/>
                <w:szCs w:val="20"/>
                <w:color w:val="auto"/>
              </w:rPr>
            </w:pPr>
            <w:r>
              <w:rPr>
                <w:rFonts w:ascii="Arial" w:cs="Arial" w:eastAsia="Arial" w:hAnsi="Arial"/>
                <w:sz w:val="15"/>
                <w:szCs w:val="15"/>
                <w:color w:val="auto"/>
              </w:rPr>
              <w:t>RMB10,000</w:t>
            </w:r>
          </w:p>
        </w:tc>
      </w:tr>
      <w:tr>
        <w:trPr>
          <w:trHeight w:val="171"/>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226"/>
              <w:spacing w:after="0" w:line="172" w:lineRule="exact"/>
              <w:rPr>
                <w:sz w:val="20"/>
                <w:szCs w:val="20"/>
                <w:color w:val="auto"/>
              </w:rPr>
            </w:pPr>
            <w:r>
              <w:rPr>
                <w:rFonts w:ascii="Arial" w:cs="Arial" w:eastAsia="Arial" w:hAnsi="Arial"/>
                <w:sz w:val="15"/>
                <w:szCs w:val="15"/>
                <w:color w:val="auto"/>
              </w:rPr>
              <w:t>$1,511</w:t>
            </w:r>
          </w:p>
        </w:tc>
        <w:tc>
          <w:tcPr>
            <w:tcW w:w="1360" w:type="dxa"/>
            <w:vAlign w:val="bottom"/>
          </w:tcPr>
          <w:p>
            <w:pPr>
              <w:jc w:val="right"/>
              <w:spacing w:after="0" w:line="172" w:lineRule="exact"/>
              <w:rPr>
                <w:sz w:val="20"/>
                <w:szCs w:val="20"/>
                <w:color w:val="auto"/>
              </w:rPr>
            </w:pPr>
            <w:r>
              <w:rPr>
                <w:rFonts w:ascii="Arial" w:cs="Arial" w:eastAsia="Arial" w:hAnsi="Arial"/>
                <w:sz w:val="15"/>
                <w:szCs w:val="15"/>
                <w:color w:val="auto"/>
              </w:rPr>
              <w:t>$1,511</w:t>
            </w:r>
          </w:p>
        </w:tc>
      </w:tr>
      <w:tr>
        <w:trPr>
          <w:trHeight w:val="162"/>
        </w:trPr>
        <w:tc>
          <w:tcPr>
            <w:tcW w:w="3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26"/>
              <w:spacing w:after="0" w:line="162" w:lineRule="exact"/>
              <w:rPr>
                <w:sz w:val="20"/>
                <w:szCs w:val="20"/>
                <w:color w:val="auto"/>
              </w:rPr>
            </w:pPr>
            <w:r>
              <w:rPr>
                <w:rFonts w:ascii="Arial" w:cs="Arial" w:eastAsia="Arial" w:hAnsi="Arial"/>
                <w:sz w:val="15"/>
                <w:szCs w:val="15"/>
                <w:color w:val="auto"/>
              </w:rPr>
              <w:t>RMB105,000</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RMB65,733</w:t>
            </w:r>
          </w:p>
        </w:tc>
      </w:tr>
      <w:tr>
        <w:trPr>
          <w:trHeight w:val="162"/>
        </w:trPr>
        <w:tc>
          <w:tcPr>
            <w:tcW w:w="3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26"/>
              <w:spacing w:after="0" w:line="162" w:lineRule="exact"/>
              <w:rPr>
                <w:sz w:val="20"/>
                <w:szCs w:val="20"/>
                <w:color w:val="auto"/>
              </w:rPr>
            </w:pPr>
            <w:r>
              <w:rPr>
                <w:rFonts w:ascii="Arial" w:cs="Arial" w:eastAsia="Arial" w:hAnsi="Arial"/>
                <w:sz w:val="15"/>
                <w:szCs w:val="15"/>
                <w:color w:val="auto"/>
              </w:rPr>
              <w:t>$16,110</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$9,932</w:t>
            </w:r>
          </w:p>
        </w:tc>
      </w:tr>
    </w:tbl>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Converted from RMB to dollars as of June 30, 2018.</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and guaranteed by David Wang, our Chair of the Board, Chief Executive Officer and President. All of the amounts owing under the lines of credit with Bank of Shanghai Pudong Branch are guaranteed by Dr. Wang. All of the amounts owing under the line of credit with Shanghai Rural Commercial Bank are secured by accounts receivable and guaranteed by Dr. Wang.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working capital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Total selected working capital</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at June 30, 2018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Uses of Funds</w:t>
      </w:r>
    </w:p>
    <w:p>
      <w:pPr>
        <w:spacing w:after="0" w:line="15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i w:val="1"/>
          <w:iCs w:val="1"/>
          <w:color w:val="auto"/>
        </w:rPr>
        <w:t xml:space="preserve">Cash Flow for Operating Activities. </w:t>
      </w:r>
      <w:r>
        <w:rPr>
          <w:rFonts w:ascii="Arial" w:cs="Arial" w:eastAsia="Arial" w:hAnsi="Arial"/>
          <w:sz w:val="16"/>
          <w:szCs w:val="16"/>
          <w:color w:val="auto"/>
        </w:rPr>
        <w:t>Our operations used cash flow of $4.1 million in the first six months of 2018. Our cash flow from operating activities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influenced by (a) 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estimate that our capital expenditures in 2018 will total $2.5 million. We entered certain capital purchase contracts related to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During the six months ended June 30, 2018, we incurred $1.0 million of capital expenditures and had unpaid capital commitment of $759,000 as of June 30, 2018.</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Contractual Obligations and Requirements</w:t>
      </w:r>
      <w:r>
        <w:rPr>
          <w:rFonts w:ascii="Arial" w:cs="Arial" w:eastAsia="Arial" w:hAnsi="Arial"/>
          <w:sz w:val="16"/>
          <w:szCs w:val="16"/>
          <w:color w:val="auto"/>
        </w:rPr>
        <w:t>. Our contractual obligations and other commercial commitments are summarized in the section captioned “Item</w:t>
      </w:r>
    </w:p>
    <w:p>
      <w:pPr>
        <w:spacing w:after="0" w:line="38" w:lineRule="exact"/>
        <w:rPr>
          <w:sz w:val="20"/>
          <w:szCs w:val="20"/>
          <w:color w:val="auto"/>
        </w:rPr>
      </w:pPr>
    </w:p>
    <w:p>
      <w:pPr>
        <w:jc w:val="both"/>
        <w:ind w:firstLine="8"/>
        <w:spacing w:after="0" w:line="254" w:lineRule="auto"/>
        <w:tabs>
          <w:tab w:leader="none" w:pos="1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Operations—Liquidity and Capital Resources—Contractual Obligations and Requirements” in our Annual Report. Other than changes that occurred in the ordinary course of business, we had no material changes to our contractual obligations reported in our Annual Report during the first six months of 2018. For additional discussion, see note 16 to our condensed consolidated financial statements included elsewhere in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As of June 30, 2018, we did not have any significant off-balance sheet arrangements, as defined in Item 303(a)(4)(ii) of Regulation S-K of the Securities and Exchange Commission, except the operating lease commitment disclosed in the unaudited condensed consolidated financial statements.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 To date, we have not entered into any hedging transactions in an effort to reduce our exposure to foreign currency exchange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2018, we had unrestricted cash and cash equivalents totaling $17.4 million. These amounts were held for working capital purposes and were held primarily in checking accounts of various banks. We believe we do not have any material exposure to changes in our cash balance as a result of changes in interest rates. Declines in interest rates, however, would reduce future interest income.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management, with the participation of our chief executive officer and interim chief financial officer, evaluated the effectiveness of our disclosure controls and procedures as of June 30, 2018.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2018, and due to the material weakness in our internal control over financial reporting described in “Item 1A. Risk Factors—Our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 in our Annual Report, our chief executive officer and interim chief financial officer concluded that, as of such date, our disclosure controls and procedures over financial reporting were not effective during the six months ended June 30, 2018, as discussed below.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 and Remediation Efforts</w:t>
      </w:r>
    </w:p>
    <w:p>
      <w:pPr>
        <w:spacing w:after="0" w:line="16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During the six months ended June 30, 2018, no changes, other than those in conjunction with certain remediation efforts described below, were identified to our internal control over financial reporting that materially affected, or were reasonably likely to materially affect, our internal control over financial reporting.</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its audits of our consolidated financial statements as of, and for the year ended, December 31, 2017, BDO China Shu Lun Pan Certified Public Accountants LLP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GAAP and to prepare and review our consolidated financial statements and related disclosures to fulfill GAAP and Securities and Exchange Commission financial reporting requirements.</w:t>
      </w:r>
    </w:p>
    <w:p>
      <w:pPr>
        <w:spacing w:after="0" w:line="129"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the six months ended June 30, 2018, we hired additional accounting and finance personnel and engaged outside consulting firms in order to improve our internal control over the financial reporting process. We will continue to monitor the effectiveness of our internal control over financial reporting and will seek to employ any additional tools and resources deemed necessary to enhance our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Investing in Class A common stock involves a high degree of risk. You should consider and read carefully all of the information contained in this report, including the consolidated financial statements and related notes set forth in “Item 1. Financial Statements” of Part I above, before making an investment decision. You should also review carefully the risk factors discussed in “Item 1A. Risk Factors” in our Annual Report. There have been no material changes to those risk factors since the filing of our Annual Report with the Securities and Exchange Commission on March 23, 2018. The occurrence of any of the risks described in our Annual Report,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IPO Proceeds</w:t>
      </w:r>
    </w:p>
    <w:p>
      <w:pPr>
        <w:spacing w:after="0" w:line="15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Registration Statement on Form S-1 (File No. 333- 220451) for the IPO was declared effective by the SEC on November 2, 2017. Shares of Class A common stock began trading on the Nasdaq Global Market on November 3, 2017. The underwriters of the IPO were Roth Capital Partners, LLC, Craig-Hallum Capital Group LLC and The Benchmark Company, LLC. The offering commenced on November 2, 2017 and did not terminate until the sale of all of the shares offered. We paid to the underwriters of the IPO underwriting discounts and commissions totaling $841,036 in connection with the sale of 2,233,000 shares of Class A common stock. In addition, we incurred expenses of $1.9 million which, when added to the underwriting discounts and commissions, amounted to total expenses of $2.7 million. As a result, the IPO net proceeds, after deducting underwriting discounts and commissions and offering expenses, were $17.3 million. No offering expenses were paid directly or indirectly to any of our directors or officers (or their associates) or persons owning 10.0% or more of any class of our equity securities or to any other affiliates. There has been no material change in the planned use of IPO proceeds from that described in the final prospectus filed with the Securities and Exchange Commission pursuant to Rule 424(b)(4) under the Securities Act of 1933 on November 3, 2017.</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applied $10 million of the IPO proceeds to purchase inventory and an additional $2.5 million in the ordinary course of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79"/>
              </w:rPr>
              <w:t>10.01</w:t>
            </w:r>
          </w:p>
        </w:tc>
        <w:tc>
          <w:tcPr>
            <w:tcW w:w="620" w:type="dxa"/>
            <w:vAlign w:val="bottom"/>
            <w:shd w:val="clear" w:color="auto" w:fill="CCEEFF"/>
          </w:tcPr>
          <w:p>
            <w:pPr>
              <w:spacing w:after="0"/>
              <w:rPr>
                <w:sz w:val="18"/>
                <w:szCs w:val="18"/>
                <w:color w:val="auto"/>
              </w:rPr>
            </w:pP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Agreement dated April 26, 2018, between ACM Research (Shanghai), Inc. and Zhangjiang Group,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620" w:type="dxa"/>
            <w:vAlign w:val="bottom"/>
          </w:tcPr>
          <w:p>
            <w:pPr>
              <w:spacing w:after="0"/>
              <w:rPr>
                <w:sz w:val="15"/>
                <w:szCs w:val="15"/>
                <w:color w:val="auto"/>
              </w:rPr>
            </w:pPr>
          </w:p>
        </w:tc>
        <w:tc>
          <w:tcPr>
            <w:tcW w:w="10400" w:type="dxa"/>
            <w:vAlign w:val="bottom"/>
          </w:tcPr>
          <w:p>
            <w:pPr>
              <w:ind w:left="36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620" w:type="dxa"/>
            <w:vAlign w:val="bottom"/>
            <w:tcBorders>
              <w:bottom w:val="single" w:sz="8" w:color="CCEEFF"/>
            </w:tcBorders>
            <w:shd w:val="clear" w:color="auto" w:fill="CCEEFF"/>
          </w:tcPr>
          <w:p>
            <w:pPr>
              <w:spacing w:after="0"/>
              <w:rPr>
                <w:sz w:val="17"/>
                <w:szCs w:val="17"/>
                <w:color w:val="auto"/>
              </w:rPr>
            </w:pPr>
          </w:p>
        </w:tc>
        <w:tc>
          <w:tcPr>
            <w:tcW w:w="10400" w:type="dxa"/>
            <w:vAlign w:val="bottom"/>
            <w:tcBorders>
              <w:bottom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01</w:t>
              </w:r>
            </w:hyperlink>
          </w:p>
        </w:tc>
        <w:tc>
          <w:tcPr>
            <w:tcW w:w="620" w:type="dxa"/>
            <w:vAlign w:val="bottom"/>
            <w:tcBorders>
              <w:top w:val="single" w:sz="8" w:color="CCEEFF"/>
            </w:tcBorders>
          </w:tcPr>
          <w:p>
            <w:pPr>
              <w:spacing w:after="0"/>
              <w:rPr>
                <w:sz w:val="15"/>
                <w:szCs w:val="15"/>
                <w:color w:val="auto"/>
              </w:rPr>
            </w:pPr>
          </w:p>
        </w:tc>
        <w:tc>
          <w:tcPr>
            <w:tcW w:w="10400" w:type="dxa"/>
            <w:vAlign w:val="bottom"/>
            <w:tcBorders>
              <w:top w:val="single" w:sz="8" w:color="CCEEFF"/>
            </w:tcBorders>
          </w:tcPr>
          <w:p>
            <w:pPr>
              <w:ind w:left="360"/>
              <w:spacing w:after="0" w:line="176" w:lineRule="exact"/>
              <w:rPr>
                <w:sz w:val="20"/>
                <w:szCs w:val="20"/>
                <w:color w:val="auto"/>
              </w:rPr>
            </w:pPr>
            <w:r>
              <w:rPr>
                <w:rFonts w:ascii="Arial" w:cs="Arial" w:eastAsia="Arial" w:hAnsi="Arial"/>
                <w:sz w:val="18"/>
                <w:szCs w:val="18"/>
                <w:color w:val="auto"/>
                <w:w w:val="95"/>
              </w:rPr>
              <w:t>Certification of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6"/>
          <w:szCs w:val="16"/>
          <w:color w:val="auto"/>
        </w:rPr>
        <w:t>By: /s/ L</w:t>
      </w:r>
      <w:r>
        <w:rPr>
          <w:rFonts w:ascii="Arial" w:cs="Arial" w:eastAsia="Arial" w:hAnsi="Arial"/>
          <w:sz w:val="11"/>
          <w:szCs w:val="11"/>
          <w:color w:val="auto"/>
        </w:rPr>
        <w:t>ISA</w:t>
      </w:r>
      <w:r>
        <w:rPr>
          <w:rFonts w:ascii="Arial" w:cs="Arial" w:eastAsia="Arial" w:hAnsi="Arial"/>
          <w:sz w:val="16"/>
          <w:szCs w:val="16"/>
          <w:color w:val="auto"/>
        </w:rPr>
        <w:t xml:space="preserve"> F</w:t>
      </w:r>
      <w:r>
        <w:rPr>
          <w:rFonts w:ascii="Arial" w:cs="Arial" w:eastAsia="Arial" w:hAnsi="Arial"/>
          <w:sz w:val="11"/>
          <w:szCs w:val="11"/>
          <w:color w:val="auto"/>
        </w:rPr>
        <w: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Accounting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15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w:t>
      </w:r>
      <w:r>
        <w:rPr>
          <w:rFonts w:ascii="Arial" w:cs="Arial" w:eastAsia="Arial" w:hAnsi="Arial"/>
          <w:sz w:val="11"/>
          <w:szCs w:val="11"/>
          <w:color w:val="auto"/>
        </w:rPr>
        <w:t>AVID</w:t>
      </w:r>
      <w:r>
        <w:rPr>
          <w:rFonts w:ascii="Arial" w:cs="Arial" w:eastAsia="Arial" w:hAnsi="Arial"/>
          <w:sz w:val="16"/>
          <w:szCs w:val="16"/>
          <w:color w:val="auto"/>
        </w:rPr>
        <w:t xml:space="preserve"> H. W</w:t>
      </w:r>
      <w:r>
        <w:rPr>
          <w:rFonts w:ascii="Arial" w:cs="Arial" w:eastAsia="Arial" w:hAnsi="Arial"/>
          <w:sz w:val="11"/>
          <w:szCs w:val="11"/>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15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157" w:lineRule="exact"/>
        <w:rPr>
          <w:rFonts w:ascii="Arial" w:cs="Arial" w:eastAsia="Arial" w:hAnsi="Arial"/>
          <w:sz w:val="18"/>
          <w:szCs w:val="18"/>
          <w:color w:val="auto"/>
        </w:rPr>
      </w:pPr>
    </w:p>
    <w:p>
      <w:pPr>
        <w:ind w:left="340" w:hanging="332"/>
        <w:spacing w:after="0" w:line="370"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left="34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328"/>
        <w:spacing w:after="0" w:line="332"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600" w:val="left"/>
          <w:tab w:leader="none" w:pos="684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w:t>
      </w:r>
      <w:r>
        <w:rPr>
          <w:rFonts w:ascii="Arial" w:cs="Arial" w:eastAsia="Arial" w:hAnsi="Arial"/>
          <w:sz w:val="11"/>
          <w:szCs w:val="11"/>
          <w:color w:val="auto"/>
        </w:rPr>
        <w:t>ISA</w:t>
      </w:r>
      <w:r>
        <w:rPr>
          <w:rFonts w:ascii="Arial" w:cs="Arial" w:eastAsia="Arial" w:hAnsi="Arial"/>
          <w:sz w:val="16"/>
          <w:szCs w:val="16"/>
          <w:color w:val="auto"/>
        </w:rPr>
        <w:t xml:space="preserve"> F</w:t>
      </w:r>
      <w:r>
        <w:rPr>
          <w:rFonts w:ascii="Arial" w:cs="Arial" w:eastAsia="Arial" w:hAnsi="Arial"/>
          <w:sz w:val="11"/>
          <w:szCs w:val="11"/>
          <w:color w:val="auto"/>
        </w:rPr>
        <w: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Accounting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32.01</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 SECTION 906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June 30, 2018, as filed with the Securities and Exchange Commission on the date hereof (the “Report”), each of the undersigned certifies, pursuant to 18 U.S.C. 1350, as adopted pursuant to Section 906 of the Sarbanes-Oxley Act of 2002, that, to his or her knowledge:</w:t>
      </w:r>
    </w:p>
    <w:p>
      <w:pPr>
        <w:spacing w:after="0" w:line="12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ACM Research, Inc.</w:t>
      </w:r>
    </w:p>
    <w:p>
      <w:pPr>
        <w:spacing w:after="0" w:line="181"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w:t>
      </w:r>
      <w:r>
        <w:rPr>
          <w:rFonts w:ascii="Arial" w:cs="Arial" w:eastAsia="Arial" w:hAnsi="Arial"/>
          <w:sz w:val="11"/>
          <w:szCs w:val="11"/>
          <w:color w:val="auto"/>
        </w:rPr>
        <w:t>AVID</w:t>
      </w:r>
      <w:r>
        <w:rPr>
          <w:rFonts w:ascii="Arial" w:cs="Arial" w:eastAsia="Arial" w:hAnsi="Arial"/>
          <w:sz w:val="16"/>
          <w:szCs w:val="16"/>
          <w:color w:val="auto"/>
        </w:rPr>
        <w:t xml:space="preserve"> H. W</w:t>
      </w:r>
      <w:r>
        <w:rPr>
          <w:rFonts w:ascii="Arial" w:cs="Arial" w:eastAsia="Arial" w:hAnsi="Arial"/>
          <w:sz w:val="11"/>
          <w:szCs w:val="11"/>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Dated: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w:t>
      </w:r>
      <w:r>
        <w:rPr>
          <w:rFonts w:ascii="Arial" w:cs="Arial" w:eastAsia="Arial" w:hAnsi="Arial"/>
          <w:sz w:val="11"/>
          <w:szCs w:val="11"/>
          <w:color w:val="auto"/>
        </w:rPr>
        <w:t>ISA</w:t>
      </w:r>
      <w:r>
        <w:rPr>
          <w:rFonts w:ascii="Arial" w:cs="Arial" w:eastAsia="Arial" w:hAnsi="Arial"/>
          <w:sz w:val="16"/>
          <w:szCs w:val="16"/>
          <w:color w:val="auto"/>
        </w:rPr>
        <w:t xml:space="preserve"> F</w:t>
      </w:r>
      <w:r>
        <w:rPr>
          <w:rFonts w:ascii="Arial" w:cs="Arial" w:eastAsia="Arial" w:hAnsi="Arial"/>
          <w:sz w:val="11"/>
          <w:szCs w:val="11"/>
          <w:color w:val="auto"/>
        </w:rPr>
        <w: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Accounting Officer and Treasurer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lvl w:ilvl="1">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7"/>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2019-12-28T19:55:20Z</dcterms:created>
  <dcterms:modified xsi:type="dcterms:W3CDTF">2019-12-28T19:55:20Z</dcterms:modified>
</cp:coreProperties>
</file>