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360680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381000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35" w:lineRule="exact"/>
        <w:rPr>
          <w:sz w:val="24"/>
          <w:szCs w:val="24"/>
          <w:color w:val="auto"/>
        </w:rPr>
      </w:pPr>
    </w:p>
    <w:p>
      <w:pPr>
        <w:ind w:left="380" w:hanging="361"/>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4" w:lineRule="exact"/>
        <w:rPr>
          <w:sz w:val="24"/>
          <w:szCs w:val="24"/>
          <w:color w:val="auto"/>
        </w:rPr>
      </w:pPr>
    </w:p>
    <w:p>
      <w:pPr>
        <w:ind w:left="260"/>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37" w:lineRule="exact"/>
        <w:rPr>
          <w:sz w:val="24"/>
          <w:szCs w:val="24"/>
          <w:color w:val="auto"/>
        </w:rPr>
      </w:pPr>
    </w:p>
    <w:p>
      <w:pPr>
        <w:ind w:left="260" w:right="3740" w:hanging="241"/>
        <w:spacing w:after="0" w:line="387" w:lineRule="auto"/>
        <w:tabs>
          <w:tab w:leader="none" w:pos="372"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 to 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3378200</wp:posOffset>
            </wp:positionH>
            <wp:positionV relativeFrom="paragraph">
              <wp:posOffset>68580</wp:posOffset>
            </wp:positionV>
            <wp:extent cx="410845" cy="255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845" cy="255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ACM Research,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jc w:val="center"/>
              <w:ind w:left="1869"/>
              <w:spacing w:after="0"/>
              <w:rPr>
                <w:sz w:val="20"/>
                <w:szCs w:val="20"/>
                <w:color w:val="auto"/>
              </w:rPr>
            </w:pPr>
            <w:r>
              <w:rPr>
                <w:rFonts w:ascii="Arial" w:cs="Arial" w:eastAsia="Arial" w:hAnsi="Arial"/>
                <w:sz w:val="14"/>
                <w:szCs w:val="14"/>
                <w:b w:val="1"/>
                <w:bCs w:val="1"/>
                <w:color w:val="auto"/>
                <w:w w:val="91"/>
              </w:rPr>
              <w:t>Delaware</w:t>
            </w: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900" w:type="dxa"/>
            <w:vAlign w:val="bottom"/>
            <w:gridSpan w:val="3"/>
          </w:tcPr>
          <w:p>
            <w:pPr>
              <w:jc w:val="right"/>
              <w:ind w:right="2389"/>
              <w:spacing w:after="0"/>
              <w:rPr>
                <w:sz w:val="20"/>
                <w:szCs w:val="20"/>
                <w:color w:val="auto"/>
              </w:rPr>
            </w:pPr>
            <w:r>
              <w:rPr>
                <w:rFonts w:ascii="Arial" w:cs="Arial" w:eastAsia="Arial" w:hAnsi="Arial"/>
                <w:sz w:val="14"/>
                <w:szCs w:val="14"/>
                <w:b w:val="1"/>
                <w:bCs w:val="1"/>
                <w:color w:val="auto"/>
              </w:rPr>
              <w:t>94-3290283</w:t>
            </w:r>
          </w:p>
        </w:tc>
      </w:tr>
      <w:tr>
        <w:trPr>
          <w:trHeight w:val="212"/>
        </w:trPr>
        <w:tc>
          <w:tcPr>
            <w:tcW w:w="7360" w:type="dxa"/>
            <w:vAlign w:val="bottom"/>
            <w:gridSpan w:val="3"/>
          </w:tcPr>
          <w:p>
            <w:pPr>
              <w:jc w:val="center"/>
              <w:ind w:right="1629"/>
              <w:spacing w:after="0"/>
              <w:rPr>
                <w:sz w:val="20"/>
                <w:szCs w:val="20"/>
                <w:color w:val="auto"/>
              </w:rPr>
            </w:pPr>
            <w:r>
              <w:rPr>
                <w:rFonts w:ascii="Arial" w:cs="Arial" w:eastAsia="Arial" w:hAnsi="Arial"/>
                <w:sz w:val="14"/>
                <w:szCs w:val="14"/>
                <w:i w:val="1"/>
                <w:iCs w:val="1"/>
                <w:color w:val="auto"/>
                <w:w w:val="95"/>
              </w:rPr>
              <w:t>(State or Other Jurisdiction of Incorporation or Organization)</w:t>
            </w:r>
          </w:p>
        </w:tc>
        <w:tc>
          <w:tcPr>
            <w:tcW w:w="3900" w:type="dxa"/>
            <w:vAlign w:val="bottom"/>
            <w:gridSpan w:val="3"/>
          </w:tcPr>
          <w:p>
            <w:pPr>
              <w:jc w:val="center"/>
              <w:ind w:right="1609"/>
              <w:spacing w:after="0"/>
              <w:rPr>
                <w:sz w:val="20"/>
                <w:szCs w:val="20"/>
                <w:color w:val="auto"/>
              </w:rPr>
            </w:pPr>
            <w:r>
              <w:rPr>
                <w:rFonts w:ascii="Arial" w:cs="Arial" w:eastAsia="Arial" w:hAnsi="Arial"/>
                <w:sz w:val="14"/>
                <w:szCs w:val="14"/>
                <w:i w:val="1"/>
                <w:iCs w:val="1"/>
                <w:color w:val="auto"/>
                <w:w w:val="93"/>
              </w:rPr>
              <w:t>(I.R.S. Employer Identification No.)</w:t>
            </w:r>
          </w:p>
        </w:tc>
      </w:tr>
      <w:tr>
        <w:trPr>
          <w:trHeight w:val="410"/>
        </w:trPr>
        <w:tc>
          <w:tcPr>
            <w:tcW w:w="3700" w:type="dxa"/>
            <w:vAlign w:val="bottom"/>
          </w:tcPr>
          <w:p>
            <w:pPr>
              <w:jc w:val="center"/>
              <w:ind w:left="1869"/>
              <w:spacing w:after="0"/>
              <w:rPr>
                <w:sz w:val="20"/>
                <w:szCs w:val="20"/>
                <w:color w:val="auto"/>
              </w:rPr>
            </w:pPr>
            <w:r>
              <w:rPr>
                <w:rFonts w:ascii="Arial" w:cs="Arial" w:eastAsia="Arial" w:hAnsi="Arial"/>
                <w:sz w:val="14"/>
                <w:szCs w:val="14"/>
                <w:b w:val="1"/>
                <w:bCs w:val="1"/>
                <w:color w:val="auto"/>
                <w:w w:val="91"/>
              </w:rPr>
              <w:t>42307 Osgood Road, Suite I</w:t>
            </w: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4"/>
        </w:trPr>
        <w:tc>
          <w:tcPr>
            <w:tcW w:w="3700" w:type="dxa"/>
            <w:vAlign w:val="bottom"/>
          </w:tcPr>
          <w:p>
            <w:pPr>
              <w:jc w:val="center"/>
              <w:ind w:left="1889"/>
              <w:spacing w:after="0"/>
              <w:rPr>
                <w:sz w:val="20"/>
                <w:szCs w:val="20"/>
                <w:color w:val="auto"/>
              </w:rPr>
            </w:pPr>
            <w:r>
              <w:rPr>
                <w:rFonts w:ascii="Arial" w:cs="Arial" w:eastAsia="Arial" w:hAnsi="Arial"/>
                <w:sz w:val="14"/>
                <w:szCs w:val="14"/>
                <w:b w:val="1"/>
                <w:bCs w:val="1"/>
                <w:color w:val="auto"/>
                <w:w w:val="95"/>
              </w:rPr>
              <w:t>Fremont, California</w:t>
            </w: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900" w:type="dxa"/>
            <w:vAlign w:val="bottom"/>
            <w:gridSpan w:val="3"/>
          </w:tcPr>
          <w:p>
            <w:pPr>
              <w:jc w:val="right"/>
              <w:ind w:right="2549"/>
              <w:spacing w:after="0"/>
              <w:rPr>
                <w:sz w:val="20"/>
                <w:szCs w:val="20"/>
                <w:color w:val="auto"/>
              </w:rPr>
            </w:pPr>
            <w:r>
              <w:rPr>
                <w:rFonts w:ascii="Arial" w:cs="Arial" w:eastAsia="Arial" w:hAnsi="Arial"/>
                <w:sz w:val="14"/>
                <w:szCs w:val="14"/>
                <w:b w:val="1"/>
                <w:bCs w:val="1"/>
                <w:color w:val="auto"/>
              </w:rPr>
              <w:t>94539</w:t>
            </w:r>
          </w:p>
        </w:tc>
      </w:tr>
      <w:tr>
        <w:trPr>
          <w:trHeight w:val="212"/>
        </w:trPr>
        <w:tc>
          <w:tcPr>
            <w:tcW w:w="7360" w:type="dxa"/>
            <w:vAlign w:val="bottom"/>
            <w:gridSpan w:val="3"/>
          </w:tcPr>
          <w:p>
            <w:pPr>
              <w:jc w:val="center"/>
              <w:ind w:right="1649"/>
              <w:spacing w:after="0"/>
              <w:rPr>
                <w:sz w:val="20"/>
                <w:szCs w:val="20"/>
                <w:color w:val="auto"/>
              </w:rPr>
            </w:pPr>
            <w:r>
              <w:rPr>
                <w:rFonts w:ascii="Arial" w:cs="Arial" w:eastAsia="Arial" w:hAnsi="Arial"/>
                <w:sz w:val="14"/>
                <w:szCs w:val="14"/>
                <w:i w:val="1"/>
                <w:iCs w:val="1"/>
                <w:color w:val="auto"/>
                <w:w w:val="92"/>
              </w:rPr>
              <w:t>(Address of Principal Executive Offices)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ind w:right="1809"/>
              <w:spacing w:after="0"/>
              <w:rPr>
                <w:sz w:val="20"/>
                <w:szCs w:val="20"/>
                <w:color w:val="auto"/>
              </w:rPr>
            </w:pPr>
            <w:r>
              <w:rPr>
                <w:rFonts w:ascii="Arial" w:cs="Arial" w:eastAsia="Arial" w:hAnsi="Arial"/>
                <w:sz w:val="14"/>
                <w:szCs w:val="14"/>
                <w:i w:val="1"/>
                <w:iCs w:val="1"/>
                <w:color w:val="auto"/>
                <w:w w:val="93"/>
              </w:rPr>
              <w:t>(Zip Code)</w:t>
            </w:r>
          </w:p>
        </w:tc>
      </w:tr>
      <w:tr>
        <w:trPr>
          <w:trHeight w:val="350"/>
        </w:trPr>
        <w:tc>
          <w:tcPr>
            <w:tcW w:w="3700" w:type="dxa"/>
            <w:vAlign w:val="bottom"/>
          </w:tcPr>
          <w:p>
            <w:pPr>
              <w:spacing w:after="0"/>
              <w:rPr>
                <w:sz w:val="24"/>
                <w:szCs w:val="24"/>
                <w:color w:val="auto"/>
              </w:rPr>
            </w:pPr>
          </w:p>
        </w:tc>
        <w:tc>
          <w:tcPr>
            <w:tcW w:w="7560" w:type="dxa"/>
            <w:vAlign w:val="bottom"/>
            <w:gridSpan w:val="5"/>
          </w:tcPr>
          <w:p>
            <w:pPr>
              <w:jc w:val="center"/>
              <w:ind w:right="3609"/>
              <w:spacing w:after="0"/>
              <w:rPr>
                <w:sz w:val="20"/>
                <w:szCs w:val="20"/>
                <w:color w:val="auto"/>
              </w:rPr>
            </w:pPr>
            <w:r>
              <w:rPr>
                <w:rFonts w:ascii="Arial" w:cs="Arial" w:eastAsia="Arial" w:hAnsi="Arial"/>
                <w:sz w:val="14"/>
                <w:szCs w:val="14"/>
                <w:i w:val="1"/>
                <w:iCs w:val="1"/>
                <w:color w:val="auto"/>
                <w:w w:val="91"/>
              </w:rPr>
              <w:t xml:space="preserve">Registrant’s telephone number, including area code: </w:t>
            </w:r>
            <w:r>
              <w:rPr>
                <w:rFonts w:ascii="Arial" w:cs="Arial" w:eastAsia="Arial" w:hAnsi="Arial"/>
                <w:sz w:val="14"/>
                <w:szCs w:val="14"/>
                <w:b w:val="1"/>
                <w:bCs w:val="1"/>
                <w:color w:val="auto"/>
                <w:w w:val="91"/>
              </w:rPr>
              <w:t>(510) 445-3700</w:t>
            </w:r>
          </w:p>
        </w:tc>
      </w:tr>
      <w:tr>
        <w:trPr>
          <w:trHeight w:val="255"/>
        </w:trPr>
        <w:tc>
          <w:tcPr>
            <w:tcW w:w="3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60" w:type="dxa"/>
            <w:vAlign w:val="bottom"/>
          </w:tcPr>
          <w:p>
            <w:pPr>
              <w:jc w:val="center"/>
              <w:ind w:left="49"/>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97"/>
        </w:trPr>
        <w:tc>
          <w:tcPr>
            <w:tcW w:w="3700" w:type="dxa"/>
            <w:vAlign w:val="bottom"/>
          </w:tcPr>
          <w:p>
            <w:pPr>
              <w:jc w:val="center"/>
              <w:spacing w:after="0"/>
              <w:rPr>
                <w:sz w:val="20"/>
                <w:szCs w:val="20"/>
                <w:color w:val="auto"/>
              </w:rPr>
            </w:pPr>
            <w:r>
              <w:rPr>
                <w:rFonts w:ascii="Arial" w:cs="Arial" w:eastAsia="Arial" w:hAnsi="Arial"/>
                <w:sz w:val="14"/>
                <w:szCs w:val="14"/>
                <w:color w:val="auto"/>
                <w:w w:val="90"/>
              </w:rPr>
              <w:t>Title of Each Class</w:t>
            </w:r>
          </w:p>
        </w:tc>
        <w:tc>
          <w:tcPr>
            <w:tcW w:w="100" w:type="dxa"/>
            <w:vAlign w:val="bottom"/>
          </w:tcPr>
          <w:p>
            <w:pPr>
              <w:spacing w:after="0"/>
              <w:rPr>
                <w:sz w:val="24"/>
                <w:szCs w:val="24"/>
                <w:color w:val="auto"/>
              </w:rPr>
            </w:pPr>
          </w:p>
        </w:tc>
        <w:tc>
          <w:tcPr>
            <w:tcW w:w="3560" w:type="dxa"/>
            <w:vAlign w:val="bottom"/>
          </w:tcPr>
          <w:p>
            <w:pPr>
              <w:jc w:val="center"/>
              <w:ind w:left="49"/>
              <w:spacing w:after="0"/>
              <w:rPr>
                <w:sz w:val="20"/>
                <w:szCs w:val="20"/>
                <w:color w:val="auto"/>
              </w:rPr>
            </w:pPr>
            <w:r>
              <w:rPr>
                <w:rFonts w:ascii="Arial" w:cs="Arial" w:eastAsia="Arial" w:hAnsi="Arial"/>
                <w:sz w:val="14"/>
                <w:szCs w:val="14"/>
                <w:color w:val="auto"/>
                <w:w w:val="93"/>
              </w:rPr>
              <w:t>Trading Symbol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2"/>
        </w:trPr>
        <w:tc>
          <w:tcPr>
            <w:tcW w:w="3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81"/>
        </w:trPr>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0"/>
              </w:rPr>
              <w:t>Class A Common Stock, $0.0001 par value</w:t>
            </w:r>
          </w:p>
        </w:tc>
        <w:tc>
          <w:tcPr>
            <w:tcW w:w="100" w:type="dxa"/>
            <w:vAlign w:val="bottom"/>
          </w:tcPr>
          <w:p>
            <w:pPr>
              <w:spacing w:after="0"/>
              <w:rPr>
                <w:sz w:val="15"/>
                <w:szCs w:val="15"/>
                <w:color w:val="auto"/>
              </w:rPr>
            </w:pPr>
          </w:p>
        </w:tc>
        <w:tc>
          <w:tcPr>
            <w:tcW w:w="3560" w:type="dxa"/>
            <w:vAlign w:val="bottom"/>
          </w:tcPr>
          <w:p>
            <w:pPr>
              <w:jc w:val="center"/>
              <w:ind w:left="49"/>
              <w:spacing w:after="0"/>
              <w:rPr>
                <w:sz w:val="20"/>
                <w:szCs w:val="20"/>
                <w:color w:val="auto"/>
              </w:rPr>
            </w:pPr>
            <w:r>
              <w:rPr>
                <w:rFonts w:ascii="Arial" w:cs="Arial" w:eastAsia="Arial" w:hAnsi="Arial"/>
                <w:sz w:val="14"/>
                <w:szCs w:val="14"/>
                <w:b w:val="1"/>
                <w:bCs w:val="1"/>
                <w:color w:val="auto"/>
              </w:rPr>
              <w:t>ACMR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160"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3"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3" w:lineRule="exact"/>
        <w:rPr>
          <w:sz w:val="24"/>
          <w:szCs w:val="24"/>
          <w:color w:val="auto"/>
        </w:rPr>
      </w:pPr>
    </w:p>
    <w:p>
      <w:pPr>
        <w:jc w:val="both"/>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920" w:type="dxa"/>
        <w:tblCellMar>
          <w:top w:w="0" w:type="dxa"/>
          <w:left w:w="0" w:type="dxa"/>
          <w:bottom w:w="0" w:type="dxa"/>
          <w:right w:w="0" w:type="dxa"/>
        </w:tblCellMar>
      </w:tblPr>
      <w:tr>
        <w:trPr>
          <w:trHeight w:val="237"/>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1140" w:type="dxa"/>
            <w:vAlign w:val="bottom"/>
          </w:tcPr>
          <w:p>
            <w:pPr>
              <w:ind w:left="1080"/>
              <w:spacing w:after="0"/>
              <w:rPr>
                <w:sz w:val="20"/>
                <w:szCs w:val="20"/>
                <w:color w:val="auto"/>
              </w:rPr>
            </w:pPr>
            <w:r>
              <w:rPr>
                <w:rFonts w:ascii="Arial" w:cs="Arial" w:eastAsia="Arial" w:hAnsi="Arial"/>
                <w:sz w:val="10"/>
                <w:szCs w:val="10"/>
                <w:color w:val="auto"/>
                <w:w w:val="71"/>
              </w:rPr>
              <w:t>o</w:t>
            </w:r>
          </w:p>
        </w:tc>
      </w:tr>
      <w:tr>
        <w:trPr>
          <w:trHeight w:val="19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500"/>
              <w:spacing w:after="0"/>
              <w:rPr>
                <w:sz w:val="20"/>
                <w:szCs w:val="20"/>
                <w:color w:val="auto"/>
              </w:rPr>
            </w:pPr>
            <w:r>
              <w:rPr>
                <w:rFonts w:ascii="Arial" w:cs="Arial" w:eastAsia="Arial" w:hAnsi="Arial"/>
                <w:sz w:val="14"/>
                <w:szCs w:val="14"/>
                <w:color w:val="auto"/>
              </w:rPr>
              <w:t>o</w:t>
            </w:r>
          </w:p>
        </w:tc>
        <w:tc>
          <w:tcPr>
            <w:tcW w:w="460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1080"/>
              <w:spacing w:after="0"/>
              <w:rPr>
                <w:sz w:val="20"/>
                <w:szCs w:val="20"/>
                <w:color w:val="auto"/>
              </w:rPr>
            </w:pPr>
            <w:r>
              <w:rPr>
                <w:rFonts w:ascii="Arial" w:cs="Arial" w:eastAsia="Arial" w:hAnsi="Arial"/>
                <w:sz w:val="10"/>
                <w:szCs w:val="10"/>
                <w:color w:val="auto"/>
                <w:w w:val="71"/>
              </w:rPr>
              <w:t>o</w:t>
            </w:r>
          </w:p>
        </w:tc>
      </w:tr>
      <w:tr>
        <w:trPr>
          <w:trHeight w:val="212"/>
        </w:trPr>
        <w:tc>
          <w:tcPr>
            <w:tcW w:w="17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1140" w:type="dxa"/>
            <w:vAlign w:val="bottom"/>
          </w:tcPr>
          <w:p>
            <w:pPr>
              <w:ind w:left="1080"/>
              <w:spacing w:after="0"/>
              <w:rPr>
                <w:sz w:val="20"/>
                <w:szCs w:val="20"/>
                <w:color w:val="auto"/>
              </w:rPr>
            </w:pPr>
            <w:r>
              <w:rPr>
                <w:rFonts w:ascii="Arial" w:cs="Arial" w:eastAsia="Arial" w:hAnsi="Arial"/>
                <w:sz w:val="10"/>
                <w:szCs w:val="10"/>
                <w:color w:val="auto"/>
                <w:w w:val="71"/>
              </w:rPr>
              <w:t>o</w:t>
            </w:r>
          </w:p>
        </w:tc>
      </w:tr>
    </w:tbl>
    <w:p>
      <w:pPr>
        <w:spacing w:after="0" w:line="170"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100" w:type="dxa"/>
            <w:vAlign w:val="bottom"/>
          </w:tcPr>
          <w:p>
            <w:pPr>
              <w:spacing w:after="0"/>
              <w:rPr>
                <w:sz w:val="16"/>
                <w:szCs w:val="16"/>
                <w:color w:val="auto"/>
              </w:rPr>
            </w:pP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 Outstanding</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tcPr>
          <w:p>
            <w:pPr>
              <w:jc w:val="center"/>
              <w:spacing w:after="0"/>
              <w:rPr>
                <w:sz w:val="20"/>
                <w:szCs w:val="20"/>
                <w:color w:val="auto"/>
              </w:rPr>
            </w:pPr>
            <w:r>
              <w:rPr>
                <w:rFonts w:ascii="Arial" w:cs="Arial" w:eastAsia="Arial" w:hAnsi="Arial"/>
                <w:sz w:val="14"/>
                <w:szCs w:val="14"/>
                <w:color w:val="auto"/>
                <w:w w:val="91"/>
              </w:rPr>
              <w:t>Class A Common Stock, $0.0001 par value</w:t>
            </w:r>
          </w:p>
        </w:tc>
        <w:tc>
          <w:tcPr>
            <w:tcW w:w="100" w:type="dxa"/>
            <w:vAlign w:val="bottom"/>
          </w:tcPr>
          <w:p>
            <w:pPr>
              <w:spacing w:after="0"/>
              <w:rPr>
                <w:sz w:val="15"/>
                <w:szCs w:val="15"/>
                <w:color w:val="auto"/>
              </w:rPr>
            </w:pPr>
          </w:p>
        </w:tc>
        <w:tc>
          <w:tcPr>
            <w:tcW w:w="5580" w:type="dxa"/>
            <w:vAlign w:val="bottom"/>
          </w:tcPr>
          <w:p>
            <w:pPr>
              <w:jc w:val="center"/>
              <w:spacing w:after="0"/>
              <w:rPr>
                <w:sz w:val="20"/>
                <w:szCs w:val="20"/>
                <w:color w:val="auto"/>
              </w:rPr>
            </w:pPr>
            <w:r>
              <w:rPr>
                <w:rFonts w:ascii="Arial" w:cs="Arial" w:eastAsia="Arial" w:hAnsi="Arial"/>
                <w:sz w:val="14"/>
                <w:szCs w:val="14"/>
                <w:color w:val="auto"/>
                <w:w w:val="89"/>
              </w:rPr>
              <w:t>55,000,705 shares outstanding as of August 4, 2023</w:t>
            </w:r>
          </w:p>
        </w:tc>
      </w:tr>
      <w:tr>
        <w:trPr>
          <w:trHeight w:val="212"/>
        </w:trPr>
        <w:tc>
          <w:tcPr>
            <w:tcW w:w="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4"/>
                <w:szCs w:val="14"/>
                <w:color w:val="auto"/>
                <w:w w:val="91"/>
              </w:rPr>
              <w:t>Class B Common Stock, $0.0001 par value</w:t>
            </w:r>
          </w:p>
        </w:tc>
        <w:tc>
          <w:tcPr>
            <w:tcW w:w="10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4"/>
                <w:szCs w:val="14"/>
                <w:color w:val="auto"/>
                <w:w w:val="89"/>
              </w:rPr>
              <w:t>5,021,811 shares outstanding as of August 4, 2023</w:t>
            </w:r>
          </w:p>
        </w:tc>
      </w:tr>
      <w:tr>
        <w:trPr>
          <w:trHeight w:val="138"/>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790"/>
        </w:trPr>
        <w:tc>
          <w:tcPr>
            <w:tcW w:w="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1" w:name="page2"/>
    <w:bookmarkEnd w:id="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gridSpan w:val="5"/>
          </w:tcPr>
          <w:p>
            <w:pPr>
              <w:ind w:left="120"/>
              <w:spacing w:after="0"/>
              <w:rPr>
                <w:sz w:val="20"/>
                <w:szCs w:val="20"/>
                <w:color w:val="auto"/>
              </w:rPr>
            </w:pPr>
            <w:r>
              <w:rPr>
                <w:rFonts w:ascii="Arial" w:cs="Arial" w:eastAsia="Arial" w:hAnsi="Arial"/>
                <w:sz w:val="14"/>
                <w:szCs w:val="14"/>
                <w:b w:val="1"/>
                <w:bCs w:val="1"/>
                <w:color w:val="auto"/>
              </w:rPr>
              <w:t>TABLE OF CONTENTS</w:t>
            </w:r>
          </w:p>
        </w:tc>
        <w:tc>
          <w:tcPr>
            <w:tcW w:w="15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59"/>
        </w:trPr>
        <w:tc>
          <w:tcPr>
            <w:tcW w:w="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PART I.</w:t>
            </w: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FINANCIAL INFORMATION</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Item 1.</w:t>
            </w: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Financial Statements (unaudited)</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Condensed Consolidated Balance Sheets as of June 30, 2023 and December 31, 2022</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w w:val="90"/>
              </w:rPr>
              <w:t>Condensed Consolidated Statements of Operations and Comprehensive Income (Loss) for the Three and Six Months Ended June 30, 2023 and 2022</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Condensed Consolidated Statements of Changes in Equity for the Three and Six Months Ended June 30, 2023 and 2022</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Condensed Consolidated Statements of Cash Flows for the Three and Six Months Ended June 30, 2023 and 2022</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Notes to the Condensed Consolidated Financial Statements</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Item 2.</w:t>
            </w: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38</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Item 3.</w:t>
            </w: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Quantitative and Qualitative Disclosures about Market Risks</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Item 4.</w:t>
            </w: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Controls and Procedures</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61</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PART II.</w:t>
            </w: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OTHER INFORMATION</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Item 1.</w:t>
            </w: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Legal Proceedings</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Item 1A.</w:t>
            </w: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0000FF"/>
              </w:rPr>
              <w:t>Risk Factors</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Item 2.</w:t>
            </w: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Unregistered Sales of Equity Securities and Use of Proceeds</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65</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Item 5.</w:t>
            </w:r>
          </w:p>
        </w:tc>
        <w:tc>
          <w:tcPr>
            <w:tcW w:w="8600" w:type="dxa"/>
            <w:vAlign w:val="bottom"/>
            <w:gridSpan w:val="17"/>
            <w:shd w:val="clear" w:color="auto" w:fill="CCEEFF"/>
          </w:tcPr>
          <w:p>
            <w:pPr>
              <w:ind w:left="220"/>
              <w:spacing w:after="0" w:line="159" w:lineRule="exact"/>
              <w:rPr>
                <w:sz w:val="20"/>
                <w:szCs w:val="20"/>
                <w:color w:val="auto"/>
              </w:rPr>
            </w:pPr>
            <w:r>
              <w:rPr>
                <w:rFonts w:ascii="Arial" w:cs="Arial" w:eastAsia="Arial" w:hAnsi="Arial"/>
                <w:sz w:val="14"/>
                <w:szCs w:val="14"/>
                <w:color w:val="661DE8"/>
              </w:rPr>
              <w:t>Other information</w:t>
            </w: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661DE8"/>
            </w:tcBorders>
            <w:shd w:val="clear" w:color="auto" w:fill="CCEEFF"/>
          </w:tcPr>
          <w:p>
            <w:pPr>
              <w:spacing w:after="0"/>
              <w:rPr>
                <w:sz w:val="2"/>
                <w:szCs w:val="2"/>
                <w:color w:val="auto"/>
              </w:rPr>
            </w:pPr>
          </w:p>
        </w:tc>
        <w:tc>
          <w:tcPr>
            <w:tcW w:w="240" w:type="dxa"/>
            <w:vAlign w:val="bottom"/>
            <w:tcBorders>
              <w:top w:val="single" w:sz="8" w:color="661DE8"/>
            </w:tcBorders>
            <w:shd w:val="clear" w:color="auto" w:fill="CCEEFF"/>
          </w:tcPr>
          <w:p>
            <w:pPr>
              <w:spacing w:after="0"/>
              <w:rPr>
                <w:sz w:val="2"/>
                <w:szCs w:val="2"/>
                <w:color w:val="auto"/>
              </w:rPr>
            </w:pPr>
          </w:p>
        </w:tc>
        <w:tc>
          <w:tcPr>
            <w:tcW w:w="300" w:type="dxa"/>
            <w:vAlign w:val="bottom"/>
            <w:tcBorders>
              <w:top w:val="single" w:sz="8" w:color="661DE8"/>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Item 6.</w:t>
            </w:r>
          </w:p>
        </w:tc>
        <w:tc>
          <w:tcPr>
            <w:tcW w:w="8600" w:type="dxa"/>
            <w:vAlign w:val="bottom"/>
            <w:gridSpan w:val="17"/>
          </w:tcPr>
          <w:p>
            <w:pPr>
              <w:ind w:left="220"/>
              <w:spacing w:after="0" w:line="159" w:lineRule="exact"/>
              <w:rPr>
                <w:sz w:val="20"/>
                <w:szCs w:val="20"/>
                <w:color w:val="auto"/>
              </w:rPr>
            </w:pPr>
            <w:r>
              <w:rPr>
                <w:rFonts w:ascii="Arial" w:cs="Arial" w:eastAsia="Arial" w:hAnsi="Arial"/>
                <w:sz w:val="14"/>
                <w:szCs w:val="14"/>
                <w:color w:val="0000FF"/>
              </w:rPr>
              <w:t>Exhibits</w:t>
            </w:r>
          </w:p>
        </w:tc>
        <w:tc>
          <w:tcPr>
            <w:tcW w:w="158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0000FF"/>
              </w:rPr>
              <w:t>Signatures</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r>
    </w:tbl>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199"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We conduct a substantial majority of our product development, manufacturing, support and services in the PRC through ACM Shanghai. We are not a PRC operating company, and we do not conduct our operations in the PRC through the use of a variable interest entity or any other structure designed for the purpose of avoiding PRC legal restrictions on direct foreign investments in PRC-based</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companies. For a description of certain matters relating to our operations in the PRC,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ended December 31, 2022, and the Risk Factors included therein, as updated by the disclosure included in “Part II. Item 1A—Risk Factors” in this report.</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SAPS, TEBO, ULTRA C and ULTRA FURNACE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2" w:name="page3"/>
    <w:bookmarkEnd w:id="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 AND STATISTICAL DATA</w:t>
      </w:r>
    </w:p>
    <w:p>
      <w:pPr>
        <w:spacing w:after="0" w:line="183" w:lineRule="exact"/>
        <w:rPr>
          <w:sz w:val="20"/>
          <w:szCs w:val="20"/>
          <w:color w:val="auto"/>
        </w:rPr>
      </w:pPr>
    </w:p>
    <w:p>
      <w:pPr>
        <w:jc w:val="both"/>
        <w:spacing w:after="0" w:line="171" w:lineRule="exact"/>
        <w:rPr>
          <w:sz w:val="20"/>
          <w:szCs w:val="20"/>
          <w:color w:val="auto"/>
        </w:rPr>
      </w:pPr>
      <w:r>
        <w:rPr>
          <w:rFonts w:ascii="Arial" w:cs="Arial" w:eastAsia="Arial" w:hAnsi="Arial"/>
          <w:sz w:val="14"/>
          <w:szCs w:val="14"/>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uncertainties surrounding the COVID</w:t>
      </w:r>
      <w:r>
        <w:rPr>
          <w:rFonts w:ascii="MS PGothic" w:cs="MS PGothic" w:eastAsia="MS PGothic" w:hAnsi="MS PGothic"/>
          <w:sz w:val="14"/>
          <w:szCs w:val="14"/>
          <w:color w:val="auto"/>
        </w:rPr>
        <w:t>‑</w:t>
      </w:r>
      <w:r>
        <w:rPr>
          <w:rFonts w:ascii="Arial" w:cs="Arial" w:eastAsia="Arial" w:hAnsi="Arial"/>
          <w:sz w:val="14"/>
          <w:szCs w:val="14"/>
          <w:color w:val="auto"/>
        </w:rPr>
        <w:t>19 pandemic (including effects of related PRC restrictions) and other factors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4Q22 Update” (December 2022),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3" w:name="page4"/>
    <w:bookmarkEnd w:id="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2580" w:type="dxa"/>
            <w:vAlign w:val="bottom"/>
          </w:tcPr>
          <w:p>
            <w:pPr>
              <w:ind w:left="100"/>
              <w:spacing w:after="0"/>
              <w:rPr>
                <w:sz w:val="20"/>
                <w:szCs w:val="20"/>
                <w:color w:val="auto"/>
              </w:rPr>
            </w:pPr>
            <w:r>
              <w:rPr>
                <w:rFonts w:ascii="Arial" w:cs="Arial" w:eastAsia="Arial" w:hAnsi="Arial"/>
                <w:sz w:val="14"/>
                <w:szCs w:val="14"/>
                <w:b w:val="1"/>
                <w:bCs w:val="1"/>
                <w:color w:val="auto"/>
              </w:rPr>
              <w:t>FINANCIAL INFORMATION</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4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2580" w:type="dxa"/>
            <w:vAlign w:val="bottom"/>
          </w:tcPr>
          <w:p>
            <w:pPr>
              <w:ind w:left="40"/>
              <w:spacing w:after="0"/>
              <w:rPr>
                <w:sz w:val="20"/>
                <w:szCs w:val="20"/>
                <w:color w:val="auto"/>
              </w:rPr>
            </w:pPr>
            <w:r>
              <w:rPr>
                <w:rFonts w:ascii="Arial" w:cs="Arial" w:eastAsia="Arial" w:hAnsi="Arial"/>
                <w:sz w:val="14"/>
                <w:szCs w:val="14"/>
                <w:b w:val="1"/>
                <w:bCs w:val="1"/>
                <w:color w:val="auto"/>
              </w:rPr>
              <w:t>Financial Statements</w:t>
            </w: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4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rPr>
              <w:t>ACM RESEARCH,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4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w w:val="88"/>
              </w:rPr>
              <w:t>Condensed Consolidated Balance Sheets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40" w:type="dxa"/>
            <w:vAlign w:val="bottom"/>
            <w:gridSpan w:val="2"/>
          </w:tcPr>
          <w:p>
            <w:pPr>
              <w:jc w:val="center"/>
              <w:ind w:left="149"/>
              <w:spacing w:after="0"/>
              <w:rPr>
                <w:sz w:val="20"/>
                <w:szCs w:val="20"/>
                <w:color w:val="auto"/>
              </w:rPr>
            </w:pPr>
            <w:r>
              <w:rPr>
                <w:rFonts w:ascii="Arial" w:cs="Arial" w:eastAsia="Arial" w:hAnsi="Arial"/>
                <w:sz w:val="14"/>
                <w:szCs w:val="14"/>
                <w:i w:val="1"/>
                <w:iCs w:val="1"/>
                <w:color w:val="auto"/>
                <w:w w:val="90"/>
              </w:rPr>
              <w:t>(In thousands, except per share data)</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40" w:type="dxa"/>
            <w:vAlign w:val="bottom"/>
            <w:gridSpan w:val="2"/>
          </w:tcPr>
          <w:p>
            <w:pPr>
              <w:jc w:val="center"/>
              <w:ind w:left="129"/>
              <w:spacing w:after="0"/>
              <w:rPr>
                <w:sz w:val="20"/>
                <w:szCs w:val="20"/>
                <w:color w:val="auto"/>
              </w:rPr>
            </w:pPr>
            <w:r>
              <w:rPr>
                <w:rFonts w:ascii="Arial" w:cs="Arial" w:eastAsia="Arial" w:hAnsi="Arial"/>
                <w:sz w:val="14"/>
                <w:szCs w:val="14"/>
                <w:i w:val="1"/>
                <w:iCs w:val="1"/>
                <w:color w:val="auto"/>
                <w:w w:val="92"/>
              </w:rPr>
              <w:t>(Unaudited)</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46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0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8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4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w w:val="82"/>
              </w:rPr>
              <w:t>Assets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4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257,420</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247,951</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Restricted cash</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Short-term time deposits (note 2)</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70,492</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Trading securities (note 15)</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20,209</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Accounts receivable (note 4)</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200,745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182,936</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Other receivables</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34,491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29,617</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Inventories (note 5)</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471,094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393,172</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Advances to related party (note 16)</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4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15,607</w:t>
            </w:r>
          </w:p>
        </w:tc>
        <w:tc>
          <w:tcPr>
            <w:tcW w:w="0" w:type="dxa"/>
            <w:vAlign w:val="bottom"/>
          </w:tcPr>
          <w:p>
            <w:pPr>
              <w:spacing w:after="0"/>
              <w:rPr>
                <w:sz w:val="1"/>
                <w:szCs w:val="1"/>
                <w:color w:val="auto"/>
              </w:rPr>
            </w:pPr>
          </w:p>
        </w:tc>
      </w:tr>
      <w:tr>
        <w:trPr>
          <w:trHeight w:val="181"/>
        </w:trPr>
        <w:tc>
          <w:tcPr>
            <w:tcW w:w="312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45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996,832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963,806</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 (note 6)</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159,013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82,875</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Land use right, net (note 7)</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8,692</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net (note 11)</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Intangible assets, net</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time deposits (note 2)</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112,104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101,956</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Deferred tax assets (note 19)</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6,703</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investments (note 14)</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17,459</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Other long-term assets (note 8)</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50,265</w:t>
            </w:r>
          </w:p>
        </w:tc>
        <w:tc>
          <w:tcPr>
            <w:tcW w:w="0" w:type="dxa"/>
            <w:vAlign w:val="bottom"/>
          </w:tcPr>
          <w:p>
            <w:pPr>
              <w:spacing w:after="0"/>
              <w:rPr>
                <w:sz w:val="1"/>
                <w:szCs w:val="1"/>
                <w:color w:val="auto"/>
              </w:rPr>
            </w:pPr>
          </w:p>
        </w:tc>
      </w:tr>
      <w:tr>
        <w:trPr>
          <w:trHeight w:val="22"/>
        </w:trPr>
        <w:tc>
          <w:tcPr>
            <w:tcW w:w="3120" w:type="dxa"/>
            <w:vAlign w:val="bottom"/>
            <w:tcBorders>
              <w:bottom w:val="single" w:sz="8" w:color="CCEEFF"/>
            </w:tcBorders>
            <w:gridSpan w:val="2"/>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Total assets</w:t>
            </w:r>
          </w:p>
        </w:tc>
        <w:tc>
          <w:tcPr>
            <w:tcW w:w="4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1,316,914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1,235,500</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center"/>
              <w:ind w:right="3029"/>
              <w:spacing w:after="0"/>
              <w:rPr>
                <w:sz w:val="20"/>
                <w:szCs w:val="20"/>
                <w:color w:val="auto"/>
              </w:rPr>
            </w:pPr>
            <w:r>
              <w:rPr>
                <w:rFonts w:ascii="Arial" w:cs="Arial" w:eastAsia="Arial" w:hAnsi="Arial"/>
                <w:sz w:val="14"/>
                <w:szCs w:val="14"/>
                <w:b w:val="1"/>
                <w:bCs w:val="1"/>
                <w:color w:val="auto"/>
                <w:w w:val="92"/>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5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4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106,861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101,735</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8"/>
              </w:rPr>
              <w:t>Other payables and accrued expenses (note 10)</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52,201</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Advances from customers</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195,485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153,773</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4"/>
              </w:rPr>
              <w:t>Current portion of operating lease liability (note 11)</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Deferred revenue</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Short-term borrowings (note 9)</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53,976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56,004</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w w:val="97"/>
              </w:rPr>
              <w:t>Current portion of long-term borrowings (note 12)</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Income taxes payable (note 19)</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FIN-48 payable (note 19)</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6,686</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Related party accounts payable (note 16)</w:t>
            </w:r>
          </w:p>
        </w:tc>
        <w:tc>
          <w:tcPr>
            <w:tcW w:w="4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14,468</w:t>
            </w:r>
          </w:p>
        </w:tc>
        <w:tc>
          <w:tcPr>
            <w:tcW w:w="0" w:type="dxa"/>
            <w:vAlign w:val="bottom"/>
          </w:tcPr>
          <w:p>
            <w:pPr>
              <w:spacing w:after="0"/>
              <w:rPr>
                <w:sz w:val="1"/>
                <w:szCs w:val="1"/>
                <w:color w:val="auto"/>
              </w:rPr>
            </w:pPr>
          </w:p>
        </w:tc>
      </w:tr>
      <w:tr>
        <w:trPr>
          <w:trHeight w:val="181"/>
        </w:trPr>
        <w:tc>
          <w:tcPr>
            <w:tcW w:w="3120" w:type="dxa"/>
            <w:vAlign w:val="bottom"/>
            <w:gridSpan w:val="2"/>
          </w:tcPr>
          <w:p>
            <w:pPr>
              <w:ind w:left="280"/>
              <w:spacing w:after="0"/>
              <w:rPr>
                <w:sz w:val="20"/>
                <w:szCs w:val="20"/>
                <w:color w:val="auto"/>
              </w:rPr>
            </w:pPr>
            <w:r>
              <w:rPr>
                <w:rFonts w:ascii="Arial" w:cs="Arial" w:eastAsia="Arial" w:hAnsi="Arial"/>
                <w:sz w:val="14"/>
                <w:szCs w:val="14"/>
                <w:color w:val="auto"/>
              </w:rPr>
              <w:t>Total current liabilities</w:t>
            </w:r>
          </w:p>
        </w:tc>
        <w:tc>
          <w:tcPr>
            <w:tcW w:w="45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456,299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396,214</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borrowings (note 12)</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18,687</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Long-term operating lease liability (note 11)</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 (note 13)</w:t>
            </w:r>
          </w:p>
        </w:tc>
        <w:tc>
          <w:tcPr>
            <w:tcW w:w="4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0" w:type="dxa"/>
            <w:vAlign w:val="bottom"/>
          </w:tcPr>
          <w:p>
            <w:pPr>
              <w:spacing w:after="0"/>
              <w:rPr>
                <w:sz w:val="1"/>
                <w:szCs w:val="1"/>
                <w:color w:val="auto"/>
              </w:rPr>
            </w:pPr>
          </w:p>
        </w:tc>
      </w:tr>
      <w:tr>
        <w:trPr>
          <w:trHeight w:val="181"/>
        </w:trPr>
        <w:tc>
          <w:tcPr>
            <w:tcW w:w="312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 liabilities</w:t>
            </w:r>
          </w:p>
        </w:tc>
        <w:tc>
          <w:tcPr>
            <w:tcW w:w="45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483,531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423,329</w:t>
            </w:r>
          </w:p>
        </w:tc>
        <w:tc>
          <w:tcPr>
            <w:tcW w:w="0" w:type="dxa"/>
            <w:vAlign w:val="bottom"/>
          </w:tcPr>
          <w:p>
            <w:pPr>
              <w:spacing w:after="0"/>
              <w:rPr>
                <w:sz w:val="1"/>
                <w:szCs w:val="1"/>
                <w:color w:val="auto"/>
              </w:rPr>
            </w:pPr>
          </w:p>
        </w:tc>
      </w:tr>
      <w:tr>
        <w:trPr>
          <w:trHeight w:val="22"/>
        </w:trPr>
        <w:tc>
          <w:tcPr>
            <w:tcW w:w="3120" w:type="dxa"/>
            <w:vAlign w:val="bottom"/>
            <w:tcBorders>
              <w:bottom w:val="single" w:sz="8" w:color="CCEEFF"/>
            </w:tcBorders>
            <w:gridSpan w:val="2"/>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20)</w:t>
            </w:r>
          </w:p>
        </w:tc>
        <w:tc>
          <w:tcPr>
            <w:tcW w:w="45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Class A Common stock (note 17)</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Class B Common stock (note 17)</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Additional paid-in capital</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612,699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604,089</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4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124,284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94,426</w:t>
            </w:r>
          </w:p>
        </w:tc>
        <w:tc>
          <w:tcPr>
            <w:tcW w:w="0" w:type="dxa"/>
            <w:vAlign w:val="bottom"/>
          </w:tcPr>
          <w:p>
            <w:pPr>
              <w:spacing w:after="0"/>
              <w:rPr>
                <w:sz w:val="1"/>
                <w:szCs w:val="1"/>
                <w:color w:val="auto"/>
              </w:rPr>
            </w:pPr>
          </w:p>
        </w:tc>
      </w:tr>
      <w:tr>
        <w:trPr>
          <w:trHeight w:val="191"/>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Statutory surplus reserve (note 22)</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16,881</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4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(61,916)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(40,546)</w:t>
            </w:r>
          </w:p>
        </w:tc>
        <w:tc>
          <w:tcPr>
            <w:tcW w:w="0" w:type="dxa"/>
            <w:vAlign w:val="bottom"/>
          </w:tcPr>
          <w:p>
            <w:pPr>
              <w:spacing w:after="0"/>
              <w:rPr>
                <w:sz w:val="1"/>
                <w:szCs w:val="1"/>
                <w:color w:val="auto"/>
              </w:rPr>
            </w:pPr>
          </w:p>
        </w:tc>
      </w:tr>
      <w:tr>
        <w:trPr>
          <w:trHeight w:val="187"/>
        </w:trPr>
        <w:tc>
          <w:tcPr>
            <w:tcW w:w="3120" w:type="dxa"/>
            <w:vAlign w:val="bottom"/>
            <w:gridSpan w:val="2"/>
          </w:tcPr>
          <w:p>
            <w:pPr>
              <w:ind w:left="280"/>
              <w:spacing w:after="0"/>
              <w:rPr>
                <w:sz w:val="20"/>
                <w:szCs w:val="20"/>
                <w:color w:val="auto"/>
              </w:rPr>
            </w:pPr>
            <w:r>
              <w:rPr>
                <w:rFonts w:ascii="Arial" w:cs="Arial" w:eastAsia="Arial" w:hAnsi="Arial"/>
                <w:sz w:val="14"/>
                <w:szCs w:val="14"/>
                <w:b w:val="1"/>
                <w:bCs w:val="1"/>
                <w:color w:val="auto"/>
                <w:w w:val="91"/>
              </w:rPr>
              <w:t>Total ACM Research, Inc. stockholders’ equity</w:t>
            </w: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691,954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674,856</w:t>
            </w:r>
          </w:p>
        </w:tc>
        <w:tc>
          <w:tcPr>
            <w:tcW w:w="0" w:type="dxa"/>
            <w:vAlign w:val="bottom"/>
          </w:tcPr>
          <w:p>
            <w:pPr>
              <w:spacing w:after="0"/>
              <w:rPr>
                <w:sz w:val="1"/>
                <w:szCs w:val="1"/>
                <w:color w:val="auto"/>
              </w:rPr>
            </w:pPr>
          </w:p>
        </w:tc>
      </w:tr>
      <w:tr>
        <w:trPr>
          <w:trHeight w:val="22"/>
        </w:trPr>
        <w:tc>
          <w:tcPr>
            <w:tcW w:w="3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4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137,315</w:t>
            </w:r>
          </w:p>
        </w:tc>
        <w:tc>
          <w:tcPr>
            <w:tcW w:w="0" w:type="dxa"/>
            <w:vAlign w:val="bottom"/>
          </w:tcPr>
          <w:p>
            <w:pPr>
              <w:spacing w:after="0"/>
              <w:rPr>
                <w:sz w:val="1"/>
                <w:szCs w:val="1"/>
                <w:color w:val="auto"/>
              </w:rPr>
            </w:pPr>
          </w:p>
        </w:tc>
      </w:tr>
      <w:tr>
        <w:trPr>
          <w:trHeight w:val="203"/>
        </w:trPr>
        <w:tc>
          <w:tcPr>
            <w:tcW w:w="31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 equity</w:t>
            </w:r>
          </w:p>
        </w:tc>
        <w:tc>
          <w:tcPr>
            <w:tcW w:w="4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833,383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812,171</w:t>
            </w:r>
          </w:p>
        </w:tc>
        <w:tc>
          <w:tcPr>
            <w:tcW w:w="0" w:type="dxa"/>
            <w:vAlign w:val="bottom"/>
          </w:tcPr>
          <w:p>
            <w:pPr>
              <w:spacing w:after="0"/>
              <w:rPr>
                <w:sz w:val="1"/>
                <w:szCs w:val="1"/>
                <w:color w:val="auto"/>
              </w:rPr>
            </w:pPr>
          </w:p>
        </w:tc>
      </w:tr>
      <w:tr>
        <w:trPr>
          <w:trHeight w:val="228"/>
        </w:trPr>
        <w:tc>
          <w:tcPr>
            <w:tcW w:w="312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Total liabilities and equity</w:t>
            </w:r>
          </w:p>
        </w:tc>
        <w:tc>
          <w:tcPr>
            <w:tcW w:w="4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1,316,914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1,235,500</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2840"/>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10920"/>
          </w:cols>
          <w:pgMar w:left="300" w:top="262" w:right="679" w:bottom="896"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262" w:right="679" w:bottom="896" w:gutter="0" w:footer="0" w:header="0"/>
          <w:type w:val="continuous"/>
        </w:sectPr>
      </w:pPr>
    </w:p>
    <w:bookmarkStart w:id="4" w:name="page5"/>
    <w:bookmarkEnd w:id="4"/>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58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Six Months Ended June 30, 2023</w:t>
            </w:r>
          </w:p>
        </w:tc>
      </w:tr>
      <w:tr>
        <w:trPr>
          <w:trHeight w:val="22"/>
        </w:trPr>
        <w:tc>
          <w:tcPr>
            <w:tcW w:w="4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47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b w:val="1"/>
                <w:bCs w:val="1"/>
                <w:color w:val="auto"/>
              </w:rPr>
              <w:t>2022</w:t>
            </w:r>
          </w:p>
        </w:tc>
      </w:tr>
      <w:tr>
        <w:trPr>
          <w:trHeight w:val="22"/>
        </w:trPr>
        <w:tc>
          <w:tcPr>
            <w:tcW w:w="4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(note 3)</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144,577</w:t>
            </w:r>
          </w:p>
        </w:tc>
        <w:tc>
          <w:tcPr>
            <w:tcW w:w="1000" w:type="dxa"/>
            <w:vAlign w:val="bottom"/>
            <w:tcBorders>
              <w:bottom w:val="single" w:sz="8" w:color="CCEEFF"/>
            </w:tcBorders>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104,395</w:t>
            </w:r>
          </w:p>
        </w:tc>
        <w:tc>
          <w:tcPr>
            <w:tcW w:w="48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218,833</w:t>
            </w:r>
          </w:p>
        </w:tc>
        <w:tc>
          <w:tcPr>
            <w:tcW w:w="460" w:type="dxa"/>
            <w:vAlign w:val="bottom"/>
            <w:tcBorders>
              <w:bottom w:val="single" w:sz="8" w:color="CCEEFF"/>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146,581</w:t>
            </w:r>
          </w:p>
        </w:tc>
      </w:tr>
      <w:tr>
        <w:trPr>
          <w:trHeight w:val="207"/>
        </w:trPr>
        <w:tc>
          <w:tcPr>
            <w:tcW w:w="47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75,938</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60,238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110,208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82,738</w:t>
            </w:r>
          </w:p>
        </w:tc>
      </w:tr>
      <w:tr>
        <w:trPr>
          <w:trHeight w:val="203"/>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Gross profit</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68,639</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44,157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108,625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63,843</w:t>
            </w:r>
          </w:p>
        </w:tc>
      </w:tr>
      <w:tr>
        <w:trPr>
          <w:trHeight w:val="187"/>
        </w:trPr>
        <w:tc>
          <w:tcPr>
            <w:tcW w:w="4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11,439</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20,776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14,361</w:t>
            </w:r>
          </w:p>
        </w:tc>
      </w:tr>
      <w:tr>
        <w:trPr>
          <w:trHeight w:val="191"/>
        </w:trPr>
        <w:tc>
          <w:tcPr>
            <w:tcW w:w="474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34,093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28,713</w:t>
            </w: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6,706</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10,040</w:t>
            </w:r>
          </w:p>
        </w:tc>
      </w:tr>
      <w:tr>
        <w:trPr>
          <w:trHeight w:val="181"/>
        </w:trPr>
        <w:tc>
          <w:tcPr>
            <w:tcW w:w="4740" w:type="dxa"/>
            <w:vAlign w:val="bottom"/>
          </w:tcPr>
          <w:p>
            <w:pPr>
              <w:ind w:left="280"/>
              <w:spacing w:after="0"/>
              <w:rPr>
                <w:sz w:val="20"/>
                <w:szCs w:val="20"/>
                <w:color w:val="auto"/>
              </w:rPr>
            </w:pPr>
            <w:r>
              <w:rPr>
                <w:rFonts w:ascii="Arial" w:cs="Arial" w:eastAsia="Arial" w:hAnsi="Arial"/>
                <w:sz w:val="14"/>
                <w:szCs w:val="14"/>
                <w:b w:val="1"/>
                <w:bCs w:val="1"/>
                <w:color w:val="auto"/>
              </w:rPr>
              <w:t>Total operating expenses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38,209</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24,122</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69,333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53,114</w:t>
            </w: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Income from operations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30,430</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39,292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10,729</w:t>
            </w:r>
          </w:p>
        </w:tc>
      </w:tr>
      <w:tr>
        <w:trPr>
          <w:trHeight w:val="191"/>
        </w:trPr>
        <w:tc>
          <w:tcPr>
            <w:tcW w:w="47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3,949</w:t>
            </w: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w:t>
            </w:r>
          </w:p>
        </w:tc>
      </w:tr>
      <w:tr>
        <w:trPr>
          <w:trHeight w:val="191"/>
        </w:trPr>
        <w:tc>
          <w:tcPr>
            <w:tcW w:w="4740" w:type="dxa"/>
            <w:vAlign w:val="bottom"/>
          </w:tcPr>
          <w:p>
            <w:pPr>
              <w:ind w:left="20"/>
              <w:spacing w:after="0"/>
              <w:rPr>
                <w:sz w:val="20"/>
                <w:szCs w:val="20"/>
                <w:color w:val="auto"/>
              </w:rPr>
            </w:pPr>
            <w:r>
              <w:rPr>
                <w:rFonts w:ascii="Arial" w:cs="Arial" w:eastAsia="Arial" w:hAnsi="Arial"/>
                <w:sz w:val="14"/>
                <w:szCs w:val="14"/>
                <w:color w:val="auto"/>
              </w:rPr>
              <w:t>Realized gain from sale of trading securities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3,919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on trading securities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(4,281)</w:t>
            </w:r>
          </w:p>
        </w:tc>
      </w:tr>
      <w:tr>
        <w:trPr>
          <w:trHeight w:val="191"/>
        </w:trPr>
        <w:tc>
          <w:tcPr>
            <w:tcW w:w="474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3,724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2,742</w:t>
            </w: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income in net income of affiliates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181"/>
        </w:trPr>
        <w:tc>
          <w:tcPr>
            <w:tcW w:w="4740" w:type="dxa"/>
            <w:vAlign w:val="bottom"/>
          </w:tcPr>
          <w:p>
            <w:pPr>
              <w:ind w:left="280"/>
              <w:spacing w:after="0"/>
              <w:rPr>
                <w:sz w:val="20"/>
                <w:szCs w:val="20"/>
                <w:color w:val="auto"/>
              </w:rPr>
            </w:pPr>
            <w:r>
              <w:rPr>
                <w:rFonts w:ascii="Arial" w:cs="Arial" w:eastAsia="Arial" w:hAnsi="Arial"/>
                <w:sz w:val="14"/>
                <w:szCs w:val="14"/>
                <w:b w:val="1"/>
                <w:bCs w:val="1"/>
                <w:color w:val="auto"/>
              </w:rPr>
              <w:t>Income before income taxes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41,235</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24,427</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53,077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12,973</w:t>
            </w: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(note 19)</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(7,638)</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(7,679)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(3,668)</w:t>
            </w:r>
          </w:p>
        </w:tc>
      </w:tr>
      <w:tr>
        <w:trPr>
          <w:trHeight w:val="181"/>
        </w:trPr>
        <w:tc>
          <w:tcPr>
            <w:tcW w:w="4740" w:type="dxa"/>
            <w:vAlign w:val="bottom"/>
          </w:tcPr>
          <w:p>
            <w:pPr>
              <w:ind w:left="280"/>
              <w:spacing w:after="0"/>
              <w:rPr>
                <w:sz w:val="20"/>
                <w:szCs w:val="20"/>
                <w:color w:val="auto"/>
              </w:rPr>
            </w:pPr>
            <w:r>
              <w:rPr>
                <w:rFonts w:ascii="Arial" w:cs="Arial" w:eastAsia="Arial" w:hAnsi="Arial"/>
                <w:sz w:val="14"/>
                <w:szCs w:val="14"/>
                <w:b w:val="1"/>
                <w:bCs w:val="1"/>
                <w:color w:val="auto"/>
              </w:rPr>
              <w:t>Net income</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33,597</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16,748</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42,560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9,305</w:t>
            </w: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6,772</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2,855</w:t>
            </w:r>
          </w:p>
        </w:tc>
      </w:tr>
      <w:tr>
        <w:trPr>
          <w:trHeight w:val="203"/>
        </w:trPr>
        <w:tc>
          <w:tcPr>
            <w:tcW w:w="4740" w:type="dxa"/>
            <w:vAlign w:val="bottom"/>
          </w:tcPr>
          <w:p>
            <w:pPr>
              <w:ind w:left="280"/>
              <w:spacing w:after="0"/>
              <w:rPr>
                <w:sz w:val="20"/>
                <w:szCs w:val="20"/>
                <w:color w:val="auto"/>
              </w:rPr>
            </w:pPr>
            <w:r>
              <w:rPr>
                <w:rFonts w:ascii="Arial" w:cs="Arial" w:eastAsia="Arial" w:hAnsi="Arial"/>
                <w:sz w:val="14"/>
                <w:szCs w:val="14"/>
                <w:b w:val="1"/>
                <w:bCs w:val="1"/>
                <w:color w:val="auto"/>
              </w:rPr>
              <w:t>Net income attributable to ACM Research, Inc.</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26,825</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33,970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Dilutive effect arising from stock-based awards by ACM Shanghai</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Net income available to common stockholders, diluted</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26,522</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33,575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6,303</w:t>
            </w:r>
          </w:p>
        </w:tc>
      </w:tr>
      <w:tr>
        <w:trPr>
          <w:trHeight w:val="24"/>
        </w:trPr>
        <w:tc>
          <w:tcPr>
            <w:tcW w:w="4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1"/>
        </w:trPr>
        <w:tc>
          <w:tcPr>
            <w:tcW w:w="47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33,597</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16,748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42,560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9,305</w:t>
            </w:r>
          </w:p>
        </w:tc>
      </w:tr>
      <w:tr>
        <w:trPr>
          <w:trHeight w:val="191"/>
        </w:trPr>
        <w:tc>
          <w:tcPr>
            <w:tcW w:w="47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 net of tax</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(35,269)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(40,372)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(25,846)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(37,918)</w:t>
            </w: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Comprehensive income (loss)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(23,624)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(28,613)</w:t>
            </w:r>
          </w:p>
        </w:tc>
      </w:tr>
      <w:tr>
        <w:trPr>
          <w:trHeight w:val="191"/>
        </w:trPr>
        <w:tc>
          <w:tcPr>
            <w:tcW w:w="4740" w:type="dxa"/>
            <w:vAlign w:val="bottom"/>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(3,321)</w:t>
            </w: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Comprehensive income (loss) attributable to ACM Research, Inc.</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0" w:type="dxa"/>
            <w:vAlign w:val="bottom"/>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(21,376)</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12,600</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Net income attributable to ACM Research, Inc. per share of common stock (note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2"/>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212"/>
        </w:trPr>
        <w:tc>
          <w:tcPr>
            <w:tcW w:w="4740" w:type="dxa"/>
            <w:vAlign w:val="bottom"/>
          </w:tcPr>
          <w:p>
            <w:pPr>
              <w:ind w:left="140"/>
              <w:spacing w:after="0"/>
              <w:rPr>
                <w:sz w:val="20"/>
                <w:szCs w:val="20"/>
                <w:color w:val="auto"/>
              </w:rPr>
            </w:pPr>
            <w:r>
              <w:rPr>
                <w:rFonts w:ascii="Arial" w:cs="Arial" w:eastAsia="Arial" w:hAnsi="Arial"/>
                <w:sz w:val="14"/>
                <w:szCs w:val="14"/>
                <w:color w:val="auto"/>
              </w:rPr>
              <w:t>Basic</w:t>
            </w:r>
          </w:p>
        </w:tc>
        <w:tc>
          <w:tcPr>
            <w:tcW w:w="100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0.45</w:t>
            </w:r>
          </w:p>
        </w:tc>
        <w:tc>
          <w:tcPr>
            <w:tcW w:w="1000" w:type="dxa"/>
            <w:vAlign w:val="bottom"/>
            <w:gridSpan w:val="2"/>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0.21</w:t>
            </w:r>
          </w:p>
        </w:tc>
        <w:tc>
          <w:tcPr>
            <w:tcW w:w="4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0.57</w:t>
            </w:r>
          </w:p>
        </w:tc>
        <w:tc>
          <w:tcPr>
            <w:tcW w:w="46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5"/>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0" w:type="dxa"/>
            <w:vAlign w:val="bottom"/>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242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p>
      <w:pPr>
        <w:spacing w:after="0" w:line="117" w:lineRule="exact"/>
        <w:rPr>
          <w:sz w:val="20"/>
          <w:szCs w:val="20"/>
          <w:color w:val="auto"/>
        </w:rPr>
      </w:pPr>
    </w:p>
    <w:p>
      <w:pPr>
        <w:ind w:left="140" w:hanging="126"/>
        <w:spacing w:after="0" w:line="281" w:lineRule="auto"/>
        <w:rPr>
          <w:sz w:val="20"/>
          <w:szCs w:val="20"/>
          <w:color w:val="auto"/>
        </w:rPr>
      </w:pPr>
      <w:r>
        <w:rPr>
          <w:rFonts w:ascii="Arial" w:cs="Arial" w:eastAsia="Arial" w:hAnsi="Arial"/>
          <w:sz w:val="14"/>
          <w:szCs w:val="14"/>
          <w:color w:val="auto"/>
        </w:rPr>
        <w:t>Weighted average shares of common stock outstanding used in computing per share amounts (note 2):</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Basic</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580" w:type="dxa"/>
            <w:vAlign w:val="bottom"/>
          </w:tcPr>
          <w:p>
            <w:pPr>
              <w:jc w:val="right"/>
              <w:spacing w:after="0"/>
              <w:rPr>
                <w:sz w:val="20"/>
                <w:szCs w:val="20"/>
                <w:color w:val="auto"/>
              </w:rPr>
            </w:pPr>
            <w:r>
              <w:rPr>
                <w:rFonts w:ascii="Arial" w:cs="Arial" w:eastAsia="Arial" w:hAnsi="Arial"/>
                <w:sz w:val="14"/>
                <w:szCs w:val="14"/>
                <w:color w:val="auto"/>
              </w:rPr>
              <w:t>59,898,149</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59,177,643</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59,817,903</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59,003,484</w:t>
            </w: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3"/>
        </w:trPr>
        <w:tc>
          <w:tcPr>
            <w:tcW w:w="1580" w:type="dxa"/>
            <w:vAlign w:val="bottom"/>
          </w:tcPr>
          <w:p>
            <w:pPr>
              <w:jc w:val="right"/>
              <w:spacing w:after="0"/>
              <w:rPr>
                <w:sz w:val="20"/>
                <w:szCs w:val="20"/>
                <w:color w:val="auto"/>
              </w:rPr>
            </w:pPr>
            <w:r>
              <w:rPr>
                <w:rFonts w:ascii="Arial" w:cs="Arial" w:eastAsia="Arial" w:hAnsi="Arial"/>
                <w:sz w:val="14"/>
                <w:szCs w:val="14"/>
                <w:color w:val="auto"/>
              </w:rPr>
              <w:t>64,929,638</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65,478,677</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64,968,900</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65,772,973</w:t>
            </w: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-174625</wp:posOffset>
            </wp:positionV>
            <wp:extent cx="7161530"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320"/>
            <w:col w:w="6540"/>
          </w:cols>
          <w:pgMar w:left="300" w:top="262" w:right="319" w:bottom="1440" w:gutter="0" w:footer="0" w:header="0"/>
          <w:type w:val="continuous"/>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4"/>
          </w:tcPr>
          <w:p>
            <w:pPr>
              <w:jc w:val="right"/>
              <w:ind w:right="516"/>
              <w:spacing w:after="0"/>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13"/>
                <w:szCs w:val="13"/>
                <w:color w:val="auto"/>
              </w:rPr>
            </w:pPr>
          </w:p>
        </w:tc>
        <w:tc>
          <w:tcPr>
            <w:tcW w:w="1520" w:type="dxa"/>
            <w:vAlign w:val="bottom"/>
            <w:gridSpan w:val="4"/>
          </w:tcPr>
          <w:p>
            <w:pPr>
              <w:jc w:val="center"/>
              <w:ind w:left="76"/>
              <w:spacing w:after="0"/>
              <w:rPr>
                <w:sz w:val="20"/>
                <w:szCs w:val="20"/>
                <w:color w:val="auto"/>
              </w:rPr>
            </w:pPr>
            <w:r>
              <w:rPr>
                <w:rFonts w:ascii="Arial" w:cs="Arial" w:eastAsia="Arial" w:hAnsi="Arial"/>
                <w:sz w:val="13"/>
                <w:szCs w:val="13"/>
                <w:b w:val="1"/>
                <w:bCs w:val="1"/>
                <w:color w:val="auto"/>
                <w:w w:val="88"/>
              </w:rPr>
              <w:t>Common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3"/>
                <w:szCs w:val="13"/>
                <w:b w:val="1"/>
                <w:bCs w:val="1"/>
                <w:color w:val="auto"/>
              </w:rPr>
              <w:t>Stock Class A</w:t>
            </w:r>
          </w:p>
        </w:tc>
        <w:tc>
          <w:tcPr>
            <w:tcW w:w="60" w:type="dxa"/>
            <w:vAlign w:val="bottom"/>
          </w:tcPr>
          <w:p>
            <w:pPr>
              <w:spacing w:after="0"/>
              <w:rPr>
                <w:sz w:val="14"/>
                <w:szCs w:val="14"/>
                <w:color w:val="auto"/>
              </w:rPr>
            </w:pPr>
          </w:p>
        </w:tc>
        <w:tc>
          <w:tcPr>
            <w:tcW w:w="1520" w:type="dxa"/>
            <w:vAlign w:val="bottom"/>
            <w:tcBorders>
              <w:bottom w:val="single" w:sz="8" w:color="auto"/>
            </w:tcBorders>
            <w:gridSpan w:val="4"/>
          </w:tcPr>
          <w:p>
            <w:pPr>
              <w:jc w:val="center"/>
              <w:ind w:left="116"/>
              <w:spacing w:after="0"/>
              <w:rPr>
                <w:sz w:val="20"/>
                <w:szCs w:val="20"/>
                <w:color w:val="auto"/>
              </w:rPr>
            </w:pPr>
            <w:r>
              <w:rPr>
                <w:rFonts w:ascii="Arial" w:cs="Arial" w:eastAsia="Arial" w:hAnsi="Arial"/>
                <w:sz w:val="13"/>
                <w:szCs w:val="13"/>
                <w:b w:val="1"/>
                <w:bCs w:val="1"/>
                <w:color w:val="auto"/>
                <w:w w:val="85"/>
              </w:rPr>
              <w:t>Stock Class B</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96"/>
              <w:spacing w:after="0"/>
              <w:rPr>
                <w:sz w:val="20"/>
                <w:szCs w:val="20"/>
                <w:color w:val="auto"/>
              </w:rPr>
            </w:pPr>
            <w:r>
              <w:rPr>
                <w:rFonts w:ascii="Arial" w:cs="Arial" w:eastAsia="Arial" w:hAnsi="Arial"/>
                <w:sz w:val="13"/>
                <w:szCs w:val="13"/>
                <w:b w:val="1"/>
                <w:bCs w:val="1"/>
                <w:color w:val="auto"/>
              </w:rPr>
              <w:t>Statutory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left="176"/>
              <w:spacing w:after="0"/>
              <w:rPr>
                <w:sz w:val="20"/>
                <w:szCs w:val="20"/>
                <w:color w:val="auto"/>
              </w:rPr>
            </w:pPr>
            <w:r>
              <w:rPr>
                <w:rFonts w:ascii="Arial" w:cs="Arial" w:eastAsia="Arial" w:hAnsi="Arial"/>
                <w:sz w:val="13"/>
                <w:szCs w:val="13"/>
                <w:b w:val="1"/>
                <w:bCs w:val="1"/>
                <w:color w:val="auto"/>
                <w:w w:val="97"/>
              </w:rPr>
              <w:t>Other</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b w:val="1"/>
                <w:bCs w:val="1"/>
                <w:color w:val="auto"/>
                <w:w w:val="90"/>
              </w:rPr>
              <w:t>Additional Paid-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w w:val="98"/>
              </w:rPr>
              <w:t>Retained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Surplus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88"/>
              </w:rPr>
              <w:t>Comprehensive</w:t>
            </w:r>
          </w:p>
        </w:tc>
        <w:tc>
          <w:tcPr>
            <w:tcW w:w="6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Non-controlling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in 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w w:val="95"/>
              </w:rPr>
              <w:t>earnings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Reserve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left="176"/>
              <w:spacing w:after="0"/>
              <w:rPr>
                <w:sz w:val="20"/>
                <w:szCs w:val="20"/>
                <w:color w:val="auto"/>
              </w:rPr>
            </w:pPr>
            <w:r>
              <w:rPr>
                <w:rFonts w:ascii="Arial" w:cs="Arial" w:eastAsia="Arial" w:hAnsi="Arial"/>
                <w:sz w:val="13"/>
                <w:szCs w:val="13"/>
                <w:b w:val="1"/>
                <w:bCs w:val="1"/>
                <w:color w:val="auto"/>
                <w:w w:val="92"/>
              </w:rPr>
              <w:t>Income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53,608,929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5,087,814</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595,045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63,732</w:t>
            </w:r>
          </w:p>
        </w:tc>
        <w:tc>
          <w:tcPr>
            <w:tcW w:w="54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8,312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79"/>
              </w:rPr>
              <w:t>9,109</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135,461</w:t>
            </w:r>
          </w:p>
        </w:tc>
        <w:tc>
          <w:tcPr>
            <w:tcW w:w="460" w:type="dxa"/>
            <w:vAlign w:val="bottom"/>
            <w:gridSpan w:val="3"/>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0"/>
              </w:rPr>
              <w:t>811,665</w:t>
            </w: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6,450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9,305</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adjustment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(31,742)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(6,176)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(37,918)</w:t>
            </w: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3"/>
                <w:szCs w:val="13"/>
                <w:color w:val="auto"/>
              </w:rPr>
              <w:t>531,874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2"/>
              </w:rPr>
              <w:t>750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3,343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3,343</w:t>
            </w:r>
          </w:p>
        </w:tc>
        <w:tc>
          <w:tcPr>
            <w:tcW w:w="0" w:type="dxa"/>
            <w:vAlign w:val="bottom"/>
          </w:tcPr>
          <w:p>
            <w:pPr>
              <w:spacing w:after="0"/>
              <w:rPr>
                <w:sz w:val="1"/>
                <w:szCs w:val="1"/>
                <w:color w:val="auto"/>
              </w:rPr>
            </w:pPr>
          </w:p>
        </w:tc>
      </w:tr>
      <w:tr>
        <w:trPr>
          <w:trHeight w:val="163"/>
        </w:trPr>
        <w:tc>
          <w:tcPr>
            <w:tcW w:w="2100" w:type="dxa"/>
            <w:vAlign w:val="bottom"/>
            <w:gridSpan w:val="2"/>
          </w:tcPr>
          <w:p>
            <w:pPr>
              <w:ind w:left="20"/>
              <w:spacing w:after="0"/>
              <w:rPr>
                <w:sz w:val="20"/>
                <w:szCs w:val="20"/>
                <w:color w:val="auto"/>
              </w:rPr>
            </w:pPr>
            <w:r>
              <w:rPr>
                <w:rFonts w:ascii="Arial" w:cs="Arial" w:eastAsia="Arial" w:hAnsi="Arial"/>
                <w:sz w:val="13"/>
                <w:szCs w:val="13"/>
                <w:color w:val="auto"/>
                <w:w w:val="95"/>
              </w:rPr>
              <w:t>Conversion of Class B common 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140"/>
              <w:spacing w:after="0"/>
              <w:rPr>
                <w:sz w:val="20"/>
                <w:szCs w:val="20"/>
                <w:color w:val="auto"/>
              </w:rPr>
            </w:pPr>
            <w:r>
              <w:rPr>
                <w:rFonts w:ascii="Arial" w:cs="Arial" w:eastAsia="Arial" w:hAnsi="Arial"/>
                <w:sz w:val="13"/>
                <w:szCs w:val="13"/>
                <w:color w:val="auto"/>
              </w:rPr>
              <w:t>to Class A common stock</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1,002</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(1,002)</w:t>
            </w: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54,141,805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5,086,812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599,138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70,182</w:t>
            </w:r>
          </w:p>
        </w:tc>
        <w:tc>
          <w:tcPr>
            <w:tcW w:w="54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8,312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(22,633)</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132,140</w:t>
            </w:r>
          </w:p>
        </w:tc>
        <w:tc>
          <w:tcPr>
            <w:tcW w:w="460" w:type="dxa"/>
            <w:vAlign w:val="bottom"/>
            <w:gridSpan w:val="3"/>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0"/>
              </w:rPr>
              <w:t>787,145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4"/>
          </w:tcPr>
          <w:p>
            <w:pPr>
              <w:jc w:val="right"/>
              <w:ind w:right="476"/>
              <w:spacing w:after="0"/>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24"/>
                <w:szCs w:val="24"/>
                <w:color w:val="auto"/>
              </w:rPr>
            </w:pPr>
          </w:p>
        </w:tc>
        <w:tc>
          <w:tcPr>
            <w:tcW w:w="1520" w:type="dxa"/>
            <w:vAlign w:val="bottom"/>
            <w:gridSpan w:val="4"/>
          </w:tcPr>
          <w:p>
            <w:pPr>
              <w:jc w:val="right"/>
              <w:ind w:right="436"/>
              <w:spacing w:after="0"/>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4"/>
          </w:tcPr>
          <w:p>
            <w:pPr>
              <w:jc w:val="right"/>
              <w:ind w:right="356"/>
              <w:spacing w:after="0"/>
              <w:rPr>
                <w:sz w:val="20"/>
                <w:szCs w:val="20"/>
                <w:color w:val="auto"/>
              </w:rPr>
            </w:pPr>
            <w:r>
              <w:rPr>
                <w:rFonts w:ascii="Arial" w:cs="Arial" w:eastAsia="Arial" w:hAnsi="Arial"/>
                <w:sz w:val="13"/>
                <w:szCs w:val="13"/>
                <w:b w:val="1"/>
                <w:bCs w:val="1"/>
                <w:color w:val="auto"/>
              </w:rPr>
              <w:t>Stock Class A</w:t>
            </w:r>
          </w:p>
        </w:tc>
        <w:tc>
          <w:tcPr>
            <w:tcW w:w="60" w:type="dxa"/>
            <w:vAlign w:val="bottom"/>
          </w:tcPr>
          <w:p>
            <w:pPr>
              <w:spacing w:after="0"/>
              <w:rPr>
                <w:sz w:val="14"/>
                <w:szCs w:val="14"/>
                <w:color w:val="auto"/>
              </w:rPr>
            </w:pPr>
          </w:p>
        </w:tc>
        <w:tc>
          <w:tcPr>
            <w:tcW w:w="1520" w:type="dxa"/>
            <w:vAlign w:val="bottom"/>
            <w:gridSpan w:val="4"/>
          </w:tcPr>
          <w:p>
            <w:pPr>
              <w:jc w:val="right"/>
              <w:ind w:right="336"/>
              <w:spacing w:after="0"/>
              <w:rPr>
                <w:sz w:val="20"/>
                <w:szCs w:val="20"/>
                <w:color w:val="auto"/>
              </w:rPr>
            </w:pPr>
            <w:r>
              <w:rPr>
                <w:rFonts w:ascii="Arial" w:cs="Arial" w:eastAsia="Arial" w:hAnsi="Arial"/>
                <w:sz w:val="13"/>
                <w:szCs w:val="13"/>
                <w:b w:val="1"/>
                <w:bCs w:val="1"/>
                <w:color w:val="auto"/>
              </w:rPr>
              <w:t>Stock Class B</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76"/>
              <w:spacing w:after="0"/>
              <w:rPr>
                <w:sz w:val="20"/>
                <w:szCs w:val="20"/>
                <w:color w:val="auto"/>
              </w:rPr>
            </w:pPr>
            <w:r>
              <w:rPr>
                <w:rFonts w:ascii="Arial" w:cs="Arial" w:eastAsia="Arial" w:hAnsi="Arial"/>
                <w:sz w:val="13"/>
                <w:szCs w:val="13"/>
                <w:b w:val="1"/>
                <w:bCs w:val="1"/>
                <w:color w:val="auto"/>
                <w:w w:val="97"/>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4"/>
          </w:tcPr>
          <w:p>
            <w:pPr>
              <w:jc w:val="center"/>
              <w:ind w:left="76"/>
              <w:spacing w:after="0"/>
              <w:rPr>
                <w:sz w:val="20"/>
                <w:szCs w:val="20"/>
                <w:color w:val="auto"/>
              </w:rPr>
            </w:pPr>
            <w:r>
              <w:rPr>
                <w:rFonts w:ascii="Arial" w:cs="Arial" w:eastAsia="Arial" w:hAnsi="Arial"/>
                <w:sz w:val="13"/>
                <w:szCs w:val="13"/>
                <w:b w:val="1"/>
                <w:bCs w:val="1"/>
                <w:color w:val="auto"/>
                <w:w w:val="91"/>
              </w:rPr>
              <w:t>Statutory</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56"/>
              <w:spacing w:after="0"/>
              <w:rPr>
                <w:sz w:val="20"/>
                <w:szCs w:val="20"/>
                <w:color w:val="auto"/>
              </w:rPr>
            </w:pPr>
            <w:r>
              <w:rPr>
                <w:rFonts w:ascii="Arial" w:cs="Arial" w:eastAsia="Arial" w:hAnsi="Arial"/>
                <w:sz w:val="13"/>
                <w:szCs w:val="13"/>
                <w:b w:val="1"/>
                <w:bCs w:val="1"/>
                <w:color w:val="auto"/>
                <w:w w:val="92"/>
              </w:rPr>
              <w:t>Other</w:t>
            </w:r>
          </w:p>
        </w:tc>
        <w:tc>
          <w:tcPr>
            <w:tcW w:w="340" w:type="dxa"/>
            <w:vAlign w:val="bottom"/>
          </w:tcPr>
          <w:p>
            <w:pPr>
              <w:spacing w:after="0"/>
              <w:rPr>
                <w:sz w:val="12"/>
                <w:szCs w:val="12"/>
                <w:color w:val="auto"/>
              </w:rPr>
            </w:pPr>
          </w:p>
        </w:tc>
        <w:tc>
          <w:tcPr>
            <w:tcW w:w="560" w:type="dxa"/>
            <w:vAlign w:val="bottom"/>
            <w:gridSpan w:val="3"/>
          </w:tcPr>
          <w:p>
            <w:pPr>
              <w:jc w:val="right"/>
              <w:ind w:right="236"/>
              <w:spacing w:after="0"/>
              <w:rPr>
                <w:sz w:val="20"/>
                <w:szCs w:val="20"/>
                <w:color w:val="auto"/>
              </w:rPr>
            </w:pPr>
            <w:r>
              <w:rPr>
                <w:rFonts w:ascii="Arial" w:cs="Arial" w:eastAsia="Arial" w:hAnsi="Arial"/>
                <w:sz w:val="13"/>
                <w:szCs w:val="13"/>
                <w:b w:val="1"/>
                <w:bCs w:val="1"/>
                <w:color w:val="auto"/>
                <w:w w:val="80"/>
              </w:rPr>
              <w:t>Non-</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16"/>
              <w:spacing w:after="0"/>
              <w:rPr>
                <w:sz w:val="20"/>
                <w:szCs w:val="20"/>
                <w:color w:val="auto"/>
              </w:rPr>
            </w:pPr>
            <w:r>
              <w:rPr>
                <w:rFonts w:ascii="Arial" w:cs="Arial" w:eastAsia="Arial" w:hAnsi="Arial"/>
                <w:sz w:val="13"/>
                <w:szCs w:val="13"/>
                <w:b w:val="1"/>
                <w:bCs w:val="1"/>
                <w:color w:val="auto"/>
                <w:w w:val="94"/>
              </w:rPr>
              <w:t>Paid-</w:t>
            </w:r>
          </w:p>
        </w:tc>
        <w:tc>
          <w:tcPr>
            <w:tcW w:w="860" w:type="dxa"/>
            <w:vAlign w:val="bottom"/>
            <w:gridSpan w:val="4"/>
          </w:tcPr>
          <w:p>
            <w:pPr>
              <w:jc w:val="right"/>
              <w:ind w:right="96"/>
              <w:spacing w:after="0"/>
              <w:rPr>
                <w:sz w:val="20"/>
                <w:szCs w:val="20"/>
                <w:color w:val="auto"/>
              </w:rPr>
            </w:pPr>
            <w:r>
              <w:rPr>
                <w:rFonts w:ascii="Arial" w:cs="Arial" w:eastAsia="Arial" w:hAnsi="Arial"/>
                <w:sz w:val="13"/>
                <w:szCs w:val="13"/>
                <w:b w:val="1"/>
                <w:bCs w:val="1"/>
                <w:color w:val="auto"/>
              </w:rPr>
              <w:t>Retained</w:t>
            </w:r>
          </w:p>
        </w:tc>
        <w:tc>
          <w:tcPr>
            <w:tcW w:w="240" w:type="dxa"/>
            <w:vAlign w:val="bottom"/>
          </w:tcPr>
          <w:p>
            <w:pPr>
              <w:spacing w:after="0"/>
              <w:rPr>
                <w:sz w:val="12"/>
                <w:szCs w:val="12"/>
                <w:color w:val="auto"/>
              </w:rPr>
            </w:pPr>
          </w:p>
        </w:tc>
        <w:tc>
          <w:tcPr>
            <w:tcW w:w="540" w:type="dxa"/>
            <w:vAlign w:val="bottom"/>
            <w:gridSpan w:val="3"/>
          </w:tcPr>
          <w:p>
            <w:pPr>
              <w:jc w:val="center"/>
              <w:ind w:right="16"/>
              <w:spacing w:after="0"/>
              <w:rPr>
                <w:sz w:val="20"/>
                <w:szCs w:val="20"/>
                <w:color w:val="auto"/>
              </w:rPr>
            </w:pPr>
            <w:r>
              <w:rPr>
                <w:rFonts w:ascii="Arial" w:cs="Arial" w:eastAsia="Arial" w:hAnsi="Arial"/>
                <w:sz w:val="13"/>
                <w:szCs w:val="13"/>
                <w:b w:val="1"/>
                <w:bCs w:val="1"/>
                <w:color w:val="auto"/>
                <w:w w:val="86"/>
              </w:rPr>
              <w:t>Surplus</w:t>
            </w:r>
          </w:p>
        </w:tc>
        <w:tc>
          <w:tcPr>
            <w:tcW w:w="120" w:type="dxa"/>
            <w:vAlign w:val="bottom"/>
          </w:tcPr>
          <w:p>
            <w:pPr>
              <w:spacing w:after="0"/>
              <w:rPr>
                <w:sz w:val="12"/>
                <w:szCs w:val="12"/>
                <w:color w:val="auto"/>
              </w:rPr>
            </w:pPr>
          </w:p>
        </w:tc>
        <w:tc>
          <w:tcPr>
            <w:tcW w:w="11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Comprehensive</w:t>
            </w: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controlling</w:t>
            </w:r>
          </w:p>
        </w:tc>
        <w:tc>
          <w:tcPr>
            <w:tcW w:w="840" w:type="dxa"/>
            <w:vAlign w:val="bottom"/>
            <w:gridSpan w:val="4"/>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4"/>
                <w:szCs w:val="14"/>
                <w:color w:val="auto"/>
              </w:rPr>
            </w:pPr>
          </w:p>
        </w:tc>
        <w:tc>
          <w:tcPr>
            <w:tcW w:w="780" w:type="dxa"/>
            <w:vAlign w:val="bottom"/>
          </w:tcPr>
          <w:p>
            <w:pPr>
              <w:jc w:val="right"/>
              <w:ind w:right="15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in Capital</w:t>
            </w:r>
          </w:p>
        </w:tc>
        <w:tc>
          <w:tcPr>
            <w:tcW w:w="860" w:type="dxa"/>
            <w:vAlign w:val="bottom"/>
            <w:gridSpan w:val="4"/>
          </w:tcPr>
          <w:p>
            <w:pPr>
              <w:jc w:val="right"/>
              <w:ind w:right="116"/>
              <w:spacing w:after="0"/>
              <w:rPr>
                <w:sz w:val="20"/>
                <w:szCs w:val="20"/>
                <w:color w:val="auto"/>
              </w:rPr>
            </w:pPr>
            <w:r>
              <w:rPr>
                <w:rFonts w:ascii="Arial" w:cs="Arial" w:eastAsia="Arial" w:hAnsi="Arial"/>
                <w:sz w:val="13"/>
                <w:szCs w:val="13"/>
                <w:b w:val="1"/>
                <w:bCs w:val="1"/>
                <w:color w:val="auto"/>
              </w:rPr>
              <w:t>earnings</w:t>
            </w:r>
          </w:p>
        </w:tc>
        <w:tc>
          <w:tcPr>
            <w:tcW w:w="240" w:type="dxa"/>
            <w:vAlign w:val="bottom"/>
          </w:tcPr>
          <w:p>
            <w:pPr>
              <w:spacing w:after="0"/>
              <w:rPr>
                <w:sz w:val="14"/>
                <w:szCs w:val="14"/>
                <w:color w:val="auto"/>
              </w:rPr>
            </w:pPr>
          </w:p>
        </w:tc>
        <w:tc>
          <w:tcPr>
            <w:tcW w:w="540" w:type="dxa"/>
            <w:vAlign w:val="bottom"/>
            <w:gridSpan w:val="3"/>
          </w:tcPr>
          <w:p>
            <w:pPr>
              <w:jc w:val="center"/>
              <w:ind w:right="36"/>
              <w:spacing w:after="0"/>
              <w:rPr>
                <w:sz w:val="20"/>
                <w:szCs w:val="20"/>
                <w:color w:val="auto"/>
              </w:rPr>
            </w:pPr>
            <w:r>
              <w:rPr>
                <w:rFonts w:ascii="Arial" w:cs="Arial" w:eastAsia="Arial" w:hAnsi="Arial"/>
                <w:sz w:val="13"/>
                <w:szCs w:val="13"/>
                <w:b w:val="1"/>
                <w:bCs w:val="1"/>
                <w:color w:val="auto"/>
                <w:w w:val="86"/>
              </w:rPr>
              <w:t>Reserve</w:t>
            </w:r>
          </w:p>
        </w:tc>
        <w:tc>
          <w:tcPr>
            <w:tcW w:w="12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Income (Loss)</w:t>
            </w: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interests</w:t>
            </w:r>
          </w:p>
        </w:tc>
        <w:tc>
          <w:tcPr>
            <w:tcW w:w="840" w:type="dxa"/>
            <w:vAlign w:val="bottom"/>
            <w:gridSpan w:val="4"/>
          </w:tcPr>
          <w:p>
            <w:pPr>
              <w:jc w:val="right"/>
              <w:ind w:right="156"/>
              <w:spacing w:after="0"/>
              <w:rPr>
                <w:sz w:val="20"/>
                <w:szCs w:val="20"/>
                <w:color w:val="auto"/>
              </w:rPr>
            </w:pPr>
            <w:r>
              <w:rPr>
                <w:rFonts w:ascii="Arial" w:cs="Arial" w:eastAsia="Arial" w:hAnsi="Arial"/>
                <w:sz w:val="13"/>
                <w:szCs w:val="13"/>
                <w:b w:val="1"/>
                <w:bCs w:val="1"/>
                <w:color w:val="auto"/>
              </w:rPr>
              <w:t>Equity</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1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54,655,286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5,021,811</w:t>
            </w: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604,089</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96,034</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16,881</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(40,546)</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137,315</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813,779</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Cumulative effect of change in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(1,769)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(1,769)</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00" w:type="dxa"/>
            <w:vAlign w:val="bottom"/>
            <w:gridSpan w:val="2"/>
          </w:tcPr>
          <w:p>
            <w:pPr>
              <w:ind w:left="140"/>
              <w:spacing w:after="0"/>
              <w:rPr>
                <w:sz w:val="20"/>
                <w:szCs w:val="20"/>
                <w:color w:val="auto"/>
              </w:rPr>
            </w:pPr>
            <w:r>
              <w:rPr>
                <w:rFonts w:ascii="Arial" w:cs="Arial" w:eastAsia="Arial" w:hAnsi="Arial"/>
                <w:sz w:val="13"/>
                <w:szCs w:val="13"/>
                <w:color w:val="auto"/>
              </w:rPr>
              <w:t>accounting principle under ASU</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140"/>
              <w:spacing w:after="0"/>
              <w:rPr>
                <w:sz w:val="20"/>
                <w:szCs w:val="20"/>
                <w:color w:val="auto"/>
              </w:rPr>
            </w:pPr>
            <w:r>
              <w:rPr>
                <w:rFonts w:ascii="Arial" w:cs="Arial" w:eastAsia="Arial" w:hAnsi="Arial"/>
                <w:sz w:val="13"/>
                <w:szCs w:val="13"/>
                <w:color w:val="auto"/>
              </w:rPr>
              <w:t>2016-13</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0"/>
              </w:rPr>
              <w:t>33,970</w:t>
            </w: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8,590</w:t>
            </w:r>
          </w:p>
        </w:tc>
        <w:tc>
          <w:tcPr>
            <w:tcW w:w="3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42,560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3"/>
                <w:szCs w:val="13"/>
                <w:color w:val="auto"/>
                <w:w w:val="90"/>
              </w:rPr>
              <w:t>Foreign currency translation adjustment</w:t>
            </w: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(21,370)</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7"/>
              </w:rPr>
              <w:t>(4,476)</w:t>
            </w:r>
          </w:p>
        </w:tc>
        <w:tc>
          <w:tcPr>
            <w:tcW w:w="3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w w:val="86"/>
              </w:rPr>
              <w:t>(25,846)</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296,204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4,525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Shanghai dividend accrual</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(3,951)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(3,951)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1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4,085</w:t>
            </w: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4,085</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54,951,490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5,021,811</w:t>
            </w:r>
          </w:p>
        </w:tc>
        <w:tc>
          <w:tcPr>
            <w:tcW w:w="1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612,699</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124,284</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16,881</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(61,916)</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141,429</w:t>
            </w: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5"/>
              </w:rPr>
              <w:t>833,383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6" w:name="page7"/>
    <w:bookmarkEnd w:id="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4"/>
            <w:vMerge w:val="restart"/>
          </w:tcPr>
          <w:p>
            <w:pPr>
              <w:jc w:val="right"/>
              <w:ind w:right="476"/>
              <w:spacing w:after="0"/>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rPr>
              <w:t>Statutory</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5"/>
              </w:rPr>
              <w:t>Stock Class A</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4"/>
            <w:vMerge w:val="restart"/>
          </w:tcPr>
          <w:p>
            <w:pPr>
              <w:jc w:val="right"/>
              <w:ind w:right="336"/>
              <w:spacing w:after="0"/>
              <w:rPr>
                <w:sz w:val="20"/>
                <w:szCs w:val="20"/>
                <w:color w:val="auto"/>
              </w:rPr>
            </w:pPr>
            <w:r>
              <w:rPr>
                <w:rFonts w:ascii="Arial" w:cs="Arial" w:eastAsia="Arial" w:hAnsi="Arial"/>
                <w:sz w:val="13"/>
                <w:szCs w:val="13"/>
                <w:b w:val="1"/>
                <w:bCs w:val="1"/>
                <w:color w:val="auto"/>
                <w:w w:val="99"/>
              </w:rPr>
              <w:t>Stock Class B</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5"/>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4"/>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0"/>
              </w:rPr>
              <w:t>Additional Paid-</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restart"/>
          </w:tcPr>
          <w:p>
            <w:pPr>
              <w:jc w:val="right"/>
              <w:ind w:right="136"/>
              <w:spacing w:after="0"/>
              <w:rPr>
                <w:sz w:val="20"/>
                <w:szCs w:val="20"/>
                <w:color w:val="auto"/>
              </w:rPr>
            </w:pPr>
            <w:r>
              <w:rPr>
                <w:rFonts w:ascii="Arial" w:cs="Arial" w:eastAsia="Arial" w:hAnsi="Arial"/>
                <w:sz w:val="13"/>
                <w:szCs w:val="13"/>
                <w:b w:val="1"/>
                <w:bCs w:val="1"/>
                <w:color w:val="auto"/>
              </w:rPr>
              <w:t>Surplus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88"/>
              </w:rPr>
              <w:t>Comprehensive</w:t>
            </w:r>
          </w:p>
        </w:tc>
        <w:tc>
          <w:tcPr>
            <w:tcW w:w="60" w:type="dxa"/>
            <w:vAlign w:val="bottom"/>
          </w:tcPr>
          <w:p>
            <w:pPr>
              <w:spacing w:after="0"/>
              <w:rPr>
                <w:sz w:val="7"/>
                <w:szCs w:val="7"/>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2"/>
        </w:trPr>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620" w:type="dxa"/>
            <w:vAlign w:val="bottom"/>
            <w:gridSpan w:val="3"/>
          </w:tcPr>
          <w:p>
            <w:pPr>
              <w:ind w:left="16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in 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Reserve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auto"/>
                <w:w w:val="92"/>
              </w:rPr>
              <w:t>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56"/>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April 1, 2022</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54,035,280</w:t>
            </w:r>
          </w:p>
        </w:tc>
        <w:tc>
          <w:tcPr>
            <w:tcW w:w="34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5,086,812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460" w:type="dxa"/>
            <w:vAlign w:val="bottom"/>
            <w:gridSpan w:val="3"/>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597,143</w:t>
            </w:r>
          </w:p>
        </w:tc>
        <w:tc>
          <w:tcPr>
            <w:tcW w:w="420" w:type="dxa"/>
            <w:vAlign w:val="bottom"/>
            <w:gridSpan w:val="3"/>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57,946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8,312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10,979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134,388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808,774</w:t>
            </w: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12,236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16,748</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(33,612)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(40,372)</w:t>
            </w: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4"/>
          </w:tcPr>
          <w:p>
            <w:pPr>
              <w:jc w:val="right"/>
              <w:spacing w:after="0"/>
              <w:rPr>
                <w:sz w:val="20"/>
                <w:szCs w:val="20"/>
                <w:color w:val="auto"/>
              </w:rPr>
            </w:pPr>
            <w:r>
              <w:rPr>
                <w:rFonts w:ascii="Arial" w:cs="Arial" w:eastAsia="Arial" w:hAnsi="Arial"/>
                <w:sz w:val="13"/>
                <w:szCs w:val="13"/>
                <w:color w:val="auto"/>
              </w:rPr>
              <w:t>106,525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3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160" w:type="dxa"/>
            <w:vAlign w:val="bottom"/>
            <w:gridSpan w:val="4"/>
          </w:tcPr>
          <w:p>
            <w:pPr>
              <w:jc w:val="right"/>
              <w:spacing w:after="0"/>
              <w:rPr>
                <w:sz w:val="20"/>
                <w:szCs w:val="20"/>
                <w:color w:val="auto"/>
              </w:rPr>
            </w:pPr>
            <w:r>
              <w:rPr>
                <w:rFonts w:ascii="Arial" w:cs="Arial" w:eastAsia="Arial" w:hAnsi="Arial"/>
                <w:sz w:val="13"/>
                <w:szCs w:val="13"/>
                <w:b w:val="1"/>
                <w:bCs w:val="1"/>
                <w:color w:val="auto"/>
              </w:rPr>
              <w:t>54,141,805</w:t>
            </w:r>
          </w:p>
        </w:tc>
        <w:tc>
          <w:tcPr>
            <w:tcW w:w="34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5,086,812</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60" w:type="dxa"/>
            <w:vAlign w:val="bottom"/>
            <w:gridSpan w:val="3"/>
          </w:tcPr>
          <w:p>
            <w:pPr>
              <w:jc w:val="right"/>
              <w:ind w:right="216"/>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599,138</w:t>
            </w:r>
          </w:p>
        </w:tc>
        <w:tc>
          <w:tcPr>
            <w:tcW w:w="42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70,182</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2"/>
              </w:rPr>
              <w:t>8,312</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(22,633)</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132,140</w:t>
            </w:r>
          </w:p>
        </w:tc>
        <w:tc>
          <w:tcPr>
            <w:tcW w:w="2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787,145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3"/>
          </w:tcPr>
          <w:p>
            <w:pPr>
              <w:jc w:val="right"/>
              <w:ind w:right="76"/>
              <w:spacing w:after="0"/>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ind w:right="236"/>
              <w:spacing w:after="0"/>
              <w:rPr>
                <w:sz w:val="20"/>
                <w:szCs w:val="20"/>
                <w:color w:val="auto"/>
              </w:rPr>
            </w:pPr>
            <w:r>
              <w:rPr>
                <w:rFonts w:ascii="Arial" w:cs="Arial" w:eastAsia="Arial" w:hAnsi="Arial"/>
                <w:sz w:val="13"/>
                <w:szCs w:val="13"/>
                <w:b w:val="1"/>
                <w:bCs w:val="1"/>
                <w:color w:val="auto"/>
                <w:w w:val="92"/>
              </w:rPr>
              <w:t>Common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w w:val="89"/>
              </w:rPr>
              <w:t>Stock Class A</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5"/>
          </w:tcPr>
          <w:p>
            <w:pPr>
              <w:jc w:val="right"/>
              <w:ind w:right="136"/>
              <w:spacing w:after="0"/>
              <w:rPr>
                <w:sz w:val="20"/>
                <w:szCs w:val="20"/>
                <w:color w:val="auto"/>
              </w:rPr>
            </w:pPr>
            <w:r>
              <w:rPr>
                <w:rFonts w:ascii="Arial" w:cs="Arial" w:eastAsia="Arial" w:hAnsi="Arial"/>
                <w:sz w:val="13"/>
                <w:szCs w:val="13"/>
                <w:b w:val="1"/>
                <w:bCs w:val="1"/>
                <w:color w:val="auto"/>
                <w:w w:val="94"/>
              </w:rPr>
              <w:t>Stock Class B</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3"/>
            <w:vMerge w:val="restart"/>
          </w:tcPr>
          <w:p>
            <w:pPr>
              <w:jc w:val="center"/>
              <w:ind w:right="256"/>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left="216"/>
              <w:spacing w:after="0"/>
              <w:rPr>
                <w:sz w:val="20"/>
                <w:szCs w:val="20"/>
                <w:color w:val="auto"/>
              </w:rPr>
            </w:pPr>
            <w:r>
              <w:rPr>
                <w:rFonts w:ascii="Arial" w:cs="Arial" w:eastAsia="Arial" w:hAnsi="Arial"/>
                <w:sz w:val="13"/>
                <w:szCs w:val="13"/>
                <w:b w:val="1"/>
                <w:bCs w:val="1"/>
                <w:color w:val="auto"/>
                <w:w w:val="91"/>
              </w:rPr>
              <w:t>Additional</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4"/>
          </w:tcPr>
          <w:p>
            <w:pPr>
              <w:jc w:val="right"/>
              <w:ind w:right="36"/>
              <w:spacing w:after="0"/>
              <w:rPr>
                <w:sz w:val="20"/>
                <w:szCs w:val="20"/>
                <w:color w:val="auto"/>
              </w:rPr>
            </w:pPr>
            <w:r>
              <w:rPr>
                <w:rFonts w:ascii="Arial" w:cs="Arial" w:eastAsia="Arial" w:hAnsi="Arial"/>
                <w:sz w:val="13"/>
                <w:szCs w:val="13"/>
                <w:b w:val="1"/>
                <w:bCs w:val="1"/>
                <w:color w:val="auto"/>
              </w:rPr>
              <w:t>Statutory</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76"/>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16"/>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left="196"/>
              <w:spacing w:after="0"/>
              <w:rPr>
                <w:sz w:val="20"/>
                <w:szCs w:val="20"/>
                <w:color w:val="auto"/>
              </w:rPr>
            </w:pPr>
            <w:r>
              <w:rPr>
                <w:rFonts w:ascii="Arial" w:cs="Arial" w:eastAsia="Arial" w:hAnsi="Arial"/>
                <w:sz w:val="13"/>
                <w:szCs w:val="13"/>
                <w:b w:val="1"/>
                <w:bCs w:val="1"/>
                <w:color w:val="auto"/>
                <w:w w:val="87"/>
              </w:rPr>
              <w:t>Paid-</w:t>
            </w:r>
          </w:p>
        </w:tc>
        <w:tc>
          <w:tcPr>
            <w:tcW w:w="380" w:type="dxa"/>
            <w:vAlign w:val="bottom"/>
          </w:tcPr>
          <w:p>
            <w:pPr>
              <w:spacing w:after="0"/>
              <w:rPr>
                <w:sz w:val="12"/>
                <w:szCs w:val="12"/>
                <w:color w:val="auto"/>
              </w:rPr>
            </w:pPr>
          </w:p>
        </w:tc>
        <w:tc>
          <w:tcPr>
            <w:tcW w:w="64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w w:val="87"/>
              </w:rPr>
              <w:t>Retained</w:t>
            </w:r>
          </w:p>
        </w:tc>
        <w:tc>
          <w:tcPr>
            <w:tcW w:w="1020" w:type="dxa"/>
            <w:vAlign w:val="bottom"/>
            <w:gridSpan w:val="4"/>
          </w:tcPr>
          <w:p>
            <w:pPr>
              <w:jc w:val="right"/>
              <w:ind w:right="96"/>
              <w:spacing w:after="0"/>
              <w:rPr>
                <w:sz w:val="20"/>
                <w:szCs w:val="20"/>
                <w:color w:val="auto"/>
              </w:rPr>
            </w:pPr>
            <w:r>
              <w:rPr>
                <w:rFonts w:ascii="Arial" w:cs="Arial" w:eastAsia="Arial" w:hAnsi="Arial"/>
                <w:sz w:val="13"/>
                <w:szCs w:val="13"/>
                <w:b w:val="1"/>
                <w:bCs w:val="1"/>
                <w:color w:val="auto"/>
              </w:rPr>
              <w:t>Surplus</w:t>
            </w:r>
          </w:p>
        </w:tc>
        <w:tc>
          <w:tcPr>
            <w:tcW w:w="380" w:type="dxa"/>
            <w:vAlign w:val="bottom"/>
          </w:tcPr>
          <w:p>
            <w:pPr>
              <w:spacing w:after="0"/>
              <w:rPr>
                <w:sz w:val="12"/>
                <w:szCs w:val="12"/>
                <w:color w:val="auto"/>
              </w:rPr>
            </w:pPr>
          </w:p>
        </w:tc>
        <w:tc>
          <w:tcPr>
            <w:tcW w:w="1160" w:type="dxa"/>
            <w:vAlign w:val="bottom"/>
            <w:gridSpan w:val="3"/>
          </w:tcPr>
          <w:p>
            <w:pPr>
              <w:jc w:val="center"/>
              <w:ind w:right="256"/>
              <w:spacing w:after="0"/>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6"/>
              <w:spacing w:after="0"/>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76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gridSpan w:val="4"/>
          </w:tcPr>
          <w:p>
            <w:pPr>
              <w:jc w:val="right"/>
              <w:ind w:right="13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4"/>
          </w:tcPr>
          <w:p>
            <w:pPr>
              <w:jc w:val="center"/>
              <w:ind w:left="216"/>
              <w:spacing w:after="0"/>
              <w:rPr>
                <w:sz w:val="20"/>
                <w:szCs w:val="20"/>
                <w:color w:val="auto"/>
              </w:rPr>
            </w:pPr>
            <w:r>
              <w:rPr>
                <w:rFonts w:ascii="Arial" w:cs="Arial" w:eastAsia="Arial" w:hAnsi="Arial"/>
                <w:sz w:val="13"/>
                <w:szCs w:val="13"/>
                <w:b w:val="1"/>
                <w:bCs w:val="1"/>
                <w:color w:val="auto"/>
                <w:w w:val="92"/>
              </w:rPr>
              <w:t>in Capital</w:t>
            </w:r>
          </w:p>
        </w:tc>
        <w:tc>
          <w:tcPr>
            <w:tcW w:w="380" w:type="dxa"/>
            <w:vAlign w:val="bottom"/>
          </w:tcPr>
          <w:p>
            <w:pPr>
              <w:spacing w:after="0"/>
              <w:rPr>
                <w:sz w:val="14"/>
                <w:szCs w:val="14"/>
                <w:color w:val="auto"/>
              </w:rPr>
            </w:pPr>
          </w:p>
        </w:tc>
        <w:tc>
          <w:tcPr>
            <w:tcW w:w="64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w w:val="88"/>
              </w:rPr>
              <w:t>earnings</w:t>
            </w:r>
          </w:p>
        </w:tc>
        <w:tc>
          <w:tcPr>
            <w:tcW w:w="1020" w:type="dxa"/>
            <w:vAlign w:val="bottom"/>
            <w:gridSpan w:val="4"/>
          </w:tcPr>
          <w:p>
            <w:pPr>
              <w:jc w:val="right"/>
              <w:ind w:right="96"/>
              <w:spacing w:after="0"/>
              <w:rPr>
                <w:sz w:val="20"/>
                <w:szCs w:val="20"/>
                <w:color w:val="auto"/>
              </w:rPr>
            </w:pPr>
            <w:r>
              <w:rPr>
                <w:rFonts w:ascii="Arial" w:cs="Arial" w:eastAsia="Arial" w:hAnsi="Arial"/>
                <w:sz w:val="13"/>
                <w:szCs w:val="13"/>
                <w:b w:val="1"/>
                <w:bCs w:val="1"/>
                <w:color w:val="auto"/>
              </w:rPr>
              <w:t>Reserve</w:t>
            </w:r>
          </w:p>
        </w:tc>
        <w:tc>
          <w:tcPr>
            <w:tcW w:w="380" w:type="dxa"/>
            <w:vAlign w:val="bottom"/>
          </w:tcPr>
          <w:p>
            <w:pPr>
              <w:spacing w:after="0"/>
              <w:rPr>
                <w:sz w:val="14"/>
                <w:szCs w:val="14"/>
                <w:color w:val="auto"/>
              </w:rPr>
            </w:pPr>
          </w:p>
        </w:tc>
        <w:tc>
          <w:tcPr>
            <w:tcW w:w="1160" w:type="dxa"/>
            <w:vAlign w:val="bottom"/>
            <w:gridSpan w:val="3"/>
          </w:tcPr>
          <w:p>
            <w:pPr>
              <w:jc w:val="center"/>
              <w:ind w:right="256"/>
              <w:spacing w:after="0"/>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36"/>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April 1, 2023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54,818,355</w:t>
            </w:r>
          </w:p>
        </w:tc>
        <w:tc>
          <w:tcPr>
            <w:tcW w:w="4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5,021,811</w:t>
            </w:r>
          </w:p>
        </w:tc>
        <w:tc>
          <w:tcPr>
            <w:tcW w:w="56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w:t>
            </w:r>
          </w:p>
        </w:tc>
        <w:tc>
          <w:tcPr>
            <w:tcW w:w="6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606,398</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101,410</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16,881</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(32,768)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140,778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832,705</w:t>
            </w: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85"/>
              </w:rPr>
              <w:t>26,825</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6,772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33,597</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(29,148)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(6,121)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(35,269)</w:t>
            </w: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133,135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4,284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4,284</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Shanghai dividend accrual</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2"/>
              </w:rPr>
              <w:t>(3,951)</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0" w:type="dxa"/>
            <w:vAlign w:val="bottom"/>
          </w:tcPr>
          <w:p>
            <w:pPr>
              <w:spacing w:after="0"/>
              <w:rPr>
                <w:sz w:val="1"/>
                <w:szCs w:val="1"/>
                <w:color w:val="auto"/>
              </w:rPr>
            </w:pPr>
          </w:p>
        </w:tc>
      </w:tr>
      <w:tr>
        <w:trPr>
          <w:trHeight w:val="194"/>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2,017</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54,951,490</w:t>
            </w:r>
          </w:p>
        </w:tc>
        <w:tc>
          <w:tcPr>
            <w:tcW w:w="4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5,021,811</w:t>
            </w:r>
          </w:p>
        </w:tc>
        <w:tc>
          <w:tcPr>
            <w:tcW w:w="56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w:t>
            </w:r>
          </w:p>
        </w:tc>
        <w:tc>
          <w:tcPr>
            <w:tcW w:w="6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 $</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612,699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124,284</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16,881</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(61,916) $— $</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141,429 $—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833,383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7" w:name="page8"/>
    <w:bookmarkEnd w:id="7"/>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959"/>
        <w:spacing w:after="0"/>
        <w:rPr>
          <w:sz w:val="20"/>
          <w:szCs w:val="20"/>
          <w:color w:val="auto"/>
        </w:rPr>
      </w:pPr>
      <w:r>
        <w:rPr>
          <w:rFonts w:ascii="Arial" w:cs="Arial" w:eastAsia="Arial" w:hAnsi="Arial"/>
          <w:sz w:val="14"/>
          <w:szCs w:val="14"/>
          <w:b w:val="1"/>
          <w:bCs w:val="1"/>
          <w:color w:val="auto"/>
        </w:rPr>
        <w:t>ACM RESEARCH, INC.</w:t>
      </w:r>
    </w:p>
    <w:p>
      <w:pPr>
        <w:spacing w:after="0" w:line="23" w:lineRule="exact"/>
        <w:rPr>
          <w:sz w:val="20"/>
          <w:szCs w:val="20"/>
          <w:color w:val="auto"/>
        </w:rPr>
      </w:pPr>
    </w:p>
    <w:p>
      <w:pPr>
        <w:jc w:val="center"/>
        <w:ind w:right="-959"/>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4"/>
          <w:szCs w:val="14"/>
          <w:i w:val="1"/>
          <w:iCs w:val="1"/>
          <w:color w:val="auto"/>
        </w:rPr>
        <w:t>(In thousands)</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4"/>
          <w:szCs w:val="14"/>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860" w:type="dxa"/>
            <w:vAlign w:val="bottom"/>
            <w:gridSpan w:val="4"/>
          </w:tcPr>
          <w:p>
            <w:pPr>
              <w:jc w:val="right"/>
              <w:ind w:right="209"/>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6"/>
                <w:szCs w:val="16"/>
                <w:color w:val="auto"/>
              </w:rPr>
            </w:pPr>
          </w:p>
        </w:tc>
      </w:tr>
      <w:tr>
        <w:trPr>
          <w:trHeight w:val="22"/>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68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42,560</w:t>
            </w:r>
          </w:p>
        </w:tc>
        <w:tc>
          <w:tcPr>
            <w:tcW w:w="116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9,305</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from operations to net cash used in operating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91"/>
        </w:trPr>
        <w:tc>
          <w:tcPr>
            <w:tcW w:w="68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3,955</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2,555</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on disposals of property, plant and equipment</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6820" w:type="dxa"/>
            <w:vAlign w:val="bottom"/>
          </w:tcPr>
          <w:p>
            <w:pPr>
              <w:ind w:left="140"/>
              <w:spacing w:after="0"/>
              <w:rPr>
                <w:sz w:val="20"/>
                <w:szCs w:val="20"/>
                <w:color w:val="auto"/>
              </w:rPr>
            </w:pPr>
            <w:r>
              <w:rPr>
                <w:rFonts w:ascii="Arial" w:cs="Arial" w:eastAsia="Arial" w:hAnsi="Arial"/>
                <w:sz w:val="14"/>
                <w:szCs w:val="14"/>
                <w:color w:val="auto"/>
              </w:rPr>
              <w:t>Realized gain on trading securities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(7,913)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 income in net income of affiliates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191"/>
        </w:trPr>
        <w:tc>
          <w:tcPr>
            <w:tcW w:w="6820" w:type="dxa"/>
            <w:vAlign w:val="bottom"/>
          </w:tcPr>
          <w:p>
            <w:pPr>
              <w:ind w:left="140"/>
              <w:spacing w:after="0"/>
              <w:rPr>
                <w:sz w:val="20"/>
                <w:szCs w:val="20"/>
                <w:color w:val="auto"/>
              </w:rPr>
            </w:pPr>
            <w:r>
              <w:rPr>
                <w:rFonts w:ascii="Arial" w:cs="Arial" w:eastAsia="Arial" w:hAnsi="Arial"/>
                <w:sz w:val="14"/>
                <w:szCs w:val="14"/>
                <w:color w:val="auto"/>
              </w:rPr>
              <w:t>Unrealized loss on trading securities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3,109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4,281</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Bad debt expense</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68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(4,711)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1,642</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4,085</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3,343</w:t>
            </w:r>
          </w:p>
        </w:tc>
      </w:tr>
      <w:tr>
        <w:trPr>
          <w:trHeight w:val="191"/>
        </w:trPr>
        <w:tc>
          <w:tcPr>
            <w:tcW w:w="6820" w:type="dxa"/>
            <w:vAlign w:val="bottom"/>
          </w:tcPr>
          <w:p>
            <w:pPr>
              <w:ind w:left="140"/>
              <w:spacing w:after="0"/>
              <w:rPr>
                <w:sz w:val="20"/>
                <w:szCs w:val="20"/>
                <w:color w:val="auto"/>
              </w:rPr>
            </w:pPr>
            <w:r>
              <w:rPr>
                <w:rFonts w:ascii="Arial" w:cs="Arial" w:eastAsia="Arial" w:hAnsi="Arial"/>
                <w:sz w:val="14"/>
                <w:szCs w:val="14"/>
                <w:color w:val="auto"/>
              </w:rPr>
              <w:t>Net changes in operating assets and liabilities: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(28,630)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(55,919)</w:t>
            </w:r>
          </w:p>
        </w:tc>
      </w:tr>
      <w:tr>
        <w:trPr>
          <w:trHeight w:val="191"/>
        </w:trPr>
        <w:tc>
          <w:tcPr>
            <w:tcW w:w="6820" w:type="dxa"/>
            <w:vAlign w:val="bottom"/>
          </w:tcPr>
          <w:p>
            <w:pPr>
              <w:ind w:left="280"/>
              <w:spacing w:after="0"/>
              <w:rPr>
                <w:sz w:val="20"/>
                <w:szCs w:val="20"/>
                <w:color w:val="auto"/>
              </w:rPr>
            </w:pPr>
            <w:r>
              <w:rPr>
                <w:rFonts w:ascii="Arial" w:cs="Arial" w:eastAsia="Arial" w:hAnsi="Arial"/>
                <w:sz w:val="14"/>
                <w:szCs w:val="14"/>
                <w:color w:val="auto"/>
              </w:rPr>
              <w:t>Other receivables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(8,252)</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(676)</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(96,739)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(80,862)</w:t>
            </w:r>
          </w:p>
        </w:tc>
      </w:tr>
      <w:tr>
        <w:trPr>
          <w:trHeight w:val="191"/>
        </w:trPr>
        <w:tc>
          <w:tcPr>
            <w:tcW w:w="6820" w:type="dxa"/>
            <w:vAlign w:val="bottom"/>
          </w:tcPr>
          <w:p>
            <w:pPr>
              <w:ind w:left="280"/>
              <w:spacing w:after="0"/>
              <w:rPr>
                <w:sz w:val="20"/>
                <w:szCs w:val="20"/>
                <w:color w:val="auto"/>
              </w:rPr>
            </w:pPr>
            <w:r>
              <w:rPr>
                <w:rFonts w:ascii="Arial" w:cs="Arial" w:eastAsia="Arial" w:hAnsi="Arial"/>
                <w:sz w:val="14"/>
                <w:szCs w:val="14"/>
                <w:color w:val="auto"/>
              </w:rPr>
              <w:t>Advances to related party (note 16)</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2,167</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(5,996)</w:t>
            </w:r>
          </w:p>
        </w:tc>
      </w:tr>
      <w:tr>
        <w:trPr>
          <w:trHeight w:val="191"/>
        </w:trPr>
        <w:tc>
          <w:tcPr>
            <w:tcW w:w="6820" w:type="dxa"/>
            <w:vAlign w:val="bottom"/>
          </w:tcPr>
          <w:p>
            <w:pPr>
              <w:ind w:left="280"/>
              <w:spacing w:after="0"/>
              <w:rPr>
                <w:sz w:val="20"/>
                <w:szCs w:val="20"/>
                <w:color w:val="auto"/>
              </w:rPr>
            </w:pPr>
            <w:r>
              <w:rPr>
                <w:rFonts w:ascii="Arial" w:cs="Arial" w:eastAsia="Arial" w:hAnsi="Arial"/>
                <w:sz w:val="14"/>
                <w:szCs w:val="14"/>
                <w:color w:val="auto"/>
              </w:rPr>
              <w:t>Other long-term assets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Related party accounts payable (note 16)</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r>
      <w:tr>
        <w:trPr>
          <w:trHeight w:val="191"/>
        </w:trPr>
        <w:tc>
          <w:tcPr>
            <w:tcW w:w="682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9,963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5,950</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Advances from customers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46,611</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44,069</w:t>
            </w:r>
          </w:p>
        </w:tc>
      </w:tr>
      <w:tr>
        <w:trPr>
          <w:trHeight w:val="191"/>
        </w:trPr>
        <w:tc>
          <w:tcPr>
            <w:tcW w:w="6820" w:type="dxa"/>
            <w:vAlign w:val="bottom"/>
          </w:tcPr>
          <w:p>
            <w:pPr>
              <w:ind w:left="280"/>
              <w:spacing w:after="0"/>
              <w:rPr>
                <w:sz w:val="20"/>
                <w:szCs w:val="20"/>
                <w:color w:val="auto"/>
              </w:rPr>
            </w:pPr>
            <w:r>
              <w:rPr>
                <w:rFonts w:ascii="Arial" w:cs="Arial" w:eastAsia="Arial" w:hAnsi="Arial"/>
                <w:sz w:val="14"/>
                <w:szCs w:val="14"/>
                <w:color w:val="auto"/>
              </w:rPr>
              <w:t>Deferred revenue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4,056</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2,950</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1,791</w:t>
            </w:r>
          </w:p>
        </w:tc>
      </w:tr>
      <w:tr>
        <w:trPr>
          <w:trHeight w:val="191"/>
        </w:trPr>
        <w:tc>
          <w:tcPr>
            <w:tcW w:w="6820" w:type="dxa"/>
            <w:vAlign w:val="bottom"/>
          </w:tcPr>
          <w:p>
            <w:pPr>
              <w:ind w:left="280"/>
              <w:spacing w:after="0"/>
              <w:rPr>
                <w:sz w:val="20"/>
                <w:szCs w:val="20"/>
                <w:color w:val="auto"/>
              </w:rPr>
            </w:pPr>
            <w:r>
              <w:rPr>
                <w:rFonts w:ascii="Arial" w:cs="Arial" w:eastAsia="Arial" w:hAnsi="Arial"/>
                <w:sz w:val="14"/>
                <w:szCs w:val="14"/>
                <w:color w:val="auto"/>
              </w:rPr>
              <w:t>FIN-48 payable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payables and accrued expenses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10,004</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6,862</w:t>
            </w:r>
          </w:p>
        </w:tc>
      </w:tr>
      <w:tr>
        <w:trPr>
          <w:trHeight w:val="207"/>
        </w:trPr>
        <w:tc>
          <w:tcPr>
            <w:tcW w:w="6820" w:type="dxa"/>
            <w:vAlign w:val="bottom"/>
          </w:tcPr>
          <w:p>
            <w:pPr>
              <w:ind w:left="280"/>
              <w:spacing w:after="0"/>
              <w:rPr>
                <w:sz w:val="20"/>
                <w:szCs w:val="20"/>
                <w:color w:val="auto"/>
              </w:rPr>
            </w:pPr>
            <w:r>
              <w:rPr>
                <w:rFonts w:ascii="Arial" w:cs="Arial" w:eastAsia="Arial" w:hAnsi="Arial"/>
                <w:sz w:val="14"/>
                <w:szCs w:val="14"/>
                <w:color w:val="auto"/>
              </w:rPr>
              <w:t>Other long-term liabilities</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(2,163)</w:t>
            </w: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r>
      <w:tr>
        <w:trPr>
          <w:trHeight w:val="203"/>
        </w:trPr>
        <w:tc>
          <w:tcPr>
            <w:tcW w:w="6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Net cash flow used in operating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(24,240)</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(61,297)</w:t>
            </w:r>
          </w:p>
        </w:tc>
      </w:tr>
      <w:tr>
        <w:trPr>
          <w:trHeight w:val="208"/>
        </w:trPr>
        <w:tc>
          <w:tcPr>
            <w:tcW w:w="6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rPr>
              <w:t>Purchase of property and equipment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(21,633)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(5,256)</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intangible assets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rPr>
              <w:t>Purchase of long-term investment (Note 14)</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of time deposits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48,208</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(144,530)</w:t>
            </w: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rPr>
              <w:t>Proceeds from selling trading securities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17,709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from unconsolidated affiliates</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820" w:type="dxa"/>
            <w:vAlign w:val="bottom"/>
          </w:tcPr>
          <w:p>
            <w:pPr>
              <w:ind w:left="40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46,641</w:t>
            </w: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(150,239)</w:t>
            </w:r>
          </w:p>
        </w:tc>
      </w:tr>
      <w:tr>
        <w:trPr>
          <w:trHeight w:val="22"/>
        </w:trPr>
        <w:tc>
          <w:tcPr>
            <w:tcW w:w="6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2"/>
        </w:trPr>
        <w:tc>
          <w:tcPr>
            <w:tcW w:w="6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Repayments of short-term borrowings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(4,921)</w:t>
            </w: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rPr>
              <w:t>Repayments of long-term borrowings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203"/>
        </w:trPr>
        <w:tc>
          <w:tcPr>
            <w:tcW w:w="6820" w:type="dxa"/>
            <w:vAlign w:val="bottom"/>
          </w:tcPr>
          <w:p>
            <w:pPr>
              <w:ind w:left="40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3,414</w:t>
            </w: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(4,971)</w:t>
            </w:r>
          </w:p>
        </w:tc>
      </w:tr>
      <w:tr>
        <w:trPr>
          <w:trHeight w:val="208"/>
        </w:trPr>
        <w:tc>
          <w:tcPr>
            <w:tcW w:w="6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2"/>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(16,264)</w:t>
            </w:r>
          </w:p>
        </w:tc>
        <w:tc>
          <w:tcPr>
            <w:tcW w:w="116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(22,216)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9,551</w:t>
            </w:r>
          </w:p>
        </w:tc>
        <w:tc>
          <w:tcPr>
            <w:tcW w:w="1160" w:type="dxa"/>
            <w:vAlign w:val="bottom"/>
            <w:tcBorders>
              <w:bottom w:val="single" w:sz="8" w:color="CCEEFF"/>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(238,723)</w:t>
            </w:r>
          </w:p>
        </w:tc>
      </w:tr>
      <w:tr>
        <w:trPr>
          <w:trHeight w:val="212"/>
        </w:trPr>
        <w:tc>
          <w:tcPr>
            <w:tcW w:w="6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248,451</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563,067</w:t>
            </w:r>
          </w:p>
        </w:tc>
      </w:tr>
      <w:tr>
        <w:trPr>
          <w:trHeight w:val="203"/>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258,002</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324,344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4"/>
        </w:trPr>
        <w:tc>
          <w:tcPr>
            <w:tcW w:w="6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2"/>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Interest paid, net of capitalized interest</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5"/>
        </w:trPr>
        <w:tc>
          <w:tcPr>
            <w:tcW w:w="682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7,243</w:t>
            </w:r>
          </w:p>
        </w:tc>
        <w:tc>
          <w:tcPr>
            <w:tcW w:w="116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6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w w:val="96"/>
              </w:rPr>
              <w:t>Reconciliation of cash, cash equivalents and restricted cash in condensed consolidated statements of cash flows: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257,420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324,344</w:t>
            </w:r>
          </w:p>
        </w:tc>
      </w:tr>
      <w:tr>
        <w:trPr>
          <w:trHeight w:val="191"/>
        </w:trPr>
        <w:tc>
          <w:tcPr>
            <w:tcW w:w="68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6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cash equivalents and restricted cash</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258,002</w:t>
            </w:r>
          </w:p>
        </w:tc>
        <w:tc>
          <w:tcPr>
            <w:tcW w:w="1160" w:type="dxa"/>
            <w:vAlign w:val="bottom"/>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324,344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6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91"/>
        </w:trPr>
        <w:tc>
          <w:tcPr>
            <w:tcW w:w="6820" w:type="dxa"/>
            <w:vAlign w:val="bottom"/>
          </w:tcPr>
          <w:p>
            <w:pPr>
              <w:ind w:left="20"/>
              <w:spacing w:after="0"/>
              <w:rPr>
                <w:sz w:val="20"/>
                <w:szCs w:val="20"/>
                <w:color w:val="auto"/>
              </w:rPr>
            </w:pPr>
            <w:r>
              <w:rPr>
                <w:rFonts w:ascii="Arial" w:cs="Arial" w:eastAsia="Arial" w:hAnsi="Arial"/>
                <w:sz w:val="14"/>
                <w:szCs w:val="14"/>
                <w:color w:val="auto"/>
              </w:rPr>
              <w:t>Conversion of Class B common stock to Class A common stock</w:t>
            </w:r>
          </w:p>
        </w:tc>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1,002</w:t>
            </w:r>
          </w:p>
        </w:tc>
      </w:tr>
      <w:tr>
        <w:trPr>
          <w:trHeight w:val="22"/>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Cashless exercise of stock options</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160" w:type="dxa"/>
            <w:vAlign w:val="bottom"/>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2"/>
        </w:trPr>
        <w:tc>
          <w:tcPr>
            <w:tcW w:w="68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bl>
    <w:p>
      <w:pPr>
        <w:spacing w:after="0" w:line="223" w:lineRule="exact"/>
        <w:rPr>
          <w:sz w:val="20"/>
          <w:szCs w:val="20"/>
          <w:color w:val="auto"/>
        </w:rPr>
      </w:pPr>
    </w:p>
    <w:p>
      <w:pPr>
        <w:ind w:left="2840"/>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10320"/>
          </w:cols>
          <w:pgMar w:left="300" w:top="262" w:right="1279" w:bottom="0" w:gutter="0" w:footer="0" w:header="0"/>
        </w:sectPr>
      </w:pP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20"/>
          </w:cols>
          <w:pgMar w:left="300" w:top="262" w:right="1279" w:bottom="0" w:gutter="0" w:footer="0" w:header="0"/>
          <w:type w:val="continuous"/>
        </w:sectPr>
      </w:pPr>
    </w:p>
    <w:bookmarkStart w:id="8" w:name="page9"/>
    <w:bookmarkEnd w:id="8"/>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DESCRIPTION OF BUSINESS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ACM Research, Inc. (“ACM”) and its subsidiaries (collectively with ACM, the “Company”) develop, manufacture and sell single-wafer wet-cleaning equipment used to improve the manufacturing process and yield for advanced integrated chips. The Company markets and sells its single-wafer wet-cleaning equipment, under the brand name "Ultra C," which are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In 2022, the Company added two major new product categories with the introduction of the Ultra Pmax™ PECVD and Ultra Track tools. The Company also offers a range of custom-made equipment, including cleaners, coaters and developers, to back-end wafer assembly and packaging factories, principally in the PRC.</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In 2011, ACM Shanghai formed a wholly-owned subsidiary in the PRC, ACM Research (Wuxi), Inc. (“ACM Wuxi”), to manage sales and service operations.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November 2016, ACM re-domesticated from California to Delaware pursuant to a merger in which ACM Research, Inc., a California corporation, was merged into a newly formed, wholly-owned Delaware subsidiary, also named ACM Research, Inc.</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June 2017, ACM formed a wholly-owned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4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August 2017, ACM purchased 18.77% of ACM Shanghai’s equity interests held by Shanghai Science and Technology Venture Capital Co., Ltd. On November 8, 2017, ACM purchased the remaining 18.36% of ACM Shanghai’s equity interests held by third parties, Shanghai Pudong High-Tech Investment Co., Ltd. and Shanghai Zhangjiang Science &amp; Technology Venture Capital Co., Ltd. At December 31, 2017, ACM owned all of the outstanding equity interests of ACM Shanghai, and indirectly through ACM Shanghai, owned all of the outstanding equity interests of ACM Wuxi.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9" w:name="page10"/>
    <w:bookmarkEnd w:id="9"/>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December 2017, ACM formed a wholly-owned subsidiary in the Republic of Korea, ACM Research Korea CO., LTD. (“ACM Korea”), to serve customers based in Republic of Korea and perform sales and marketing and research and development (“R&amp;D”) activities for new products and solutions.</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March 2019, ACM Shanghai formed a wholly-owned subsidiary in the PRC, ACM Research (Lingang), Inc. ("ACM Lingang") to manage activities related to the addition of future long-term production capacity. ACM Lingang is the English name referred to by its Chinese language name Shengwei Research (Shanghai), Inc. ("ACM Shengwei") in prior filings. ACM Shengwei and ACM Lingang refer to the same entity.</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June 2019, CleanChip formed a wholly-owned subsidiary in California, ACM Research (CA), Inc. (“ACM California”), to provide procurement services on behalf of ACM Shanghai. In June 2019, ACM Korea was reorganized as a wholly-owned subsidiary of CleanChip.</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June 2019, ACM announced plans to complete a listing (the “STAR Listing”) of shares of ACM Shanghai on the Shanghai Stock Exchange’s Sci-Tech innovAtion boaRd, known as the STAR Market, and a concurrent initial public offering (the “STAR IPO”) of ACM Shanghai shares in the PRC. ACM Shanghai is currently ACM’s primary operating subsidiary, and at the time of announcement, was wholly-owned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August 2021, ACM formed a wholly-owned subsidiary in Singapore, ACM Research (Singapore) PTE, Ltd. (“ACM Singapore”), to perform sales, marketing, and other business development activities.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 However, in May 2023, ACM's ownership declined to 82.1% due to the exercise of 2,150,309 stock options related to ACM Shanghai shares (note 18).</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In February 2022, ACM Shanghai formed a wholly-owned subsidiary in China, ACM Research (Beijing), Inc. (“ACM Beijing”) to perform sales, marketing and other business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 March 2022, ACM formed a wholly-owned subsidiary in South Korea, Hanguk ACM CO., LTD, to perform business development and other related activities.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condensed consolidated financial statements reflect the Stock Split.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In June 2023, ACM Shanghai formed a wholly-owned subsidiary in China, Yusheng Micro Semiconductor (Shanghai), Co., Ltd, ("Yusheng Micro") to perform business development activities.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June 2023, Yusheng Micro together with Wooil Flucon (note 14) and a private investor established ACM-Wooil Microelectronics (Shanghai) Co., Ltd, ("ACM-Wooil"), a joint venture based in China to develop and produce key components for the semiconductor equipment industry.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direct or indirect interests in the following subsidiaries: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940" w:type="dxa"/>
            <w:vAlign w:val="bottom"/>
            <w:gridSpan w:val="3"/>
          </w:tcPr>
          <w:p>
            <w:pPr>
              <w:jc w:val="right"/>
              <w:ind w:right="729"/>
              <w:spacing w:after="0"/>
              <w:rPr>
                <w:sz w:val="20"/>
                <w:szCs w:val="20"/>
                <w:color w:val="auto"/>
              </w:rPr>
            </w:pPr>
            <w:r>
              <w:rPr>
                <w:rFonts w:ascii="Arial" w:cs="Arial" w:eastAsia="Arial" w:hAnsi="Arial"/>
                <w:sz w:val="14"/>
                <w:szCs w:val="14"/>
                <w:b w:val="1"/>
                <w:bCs w:val="1"/>
                <w:color w:val="auto"/>
              </w:rPr>
              <w:t>Effective interest held as at</w:t>
            </w:r>
          </w:p>
        </w:tc>
      </w:tr>
      <w:tr>
        <w:trPr>
          <w:trHeight w:val="198"/>
        </w:trPr>
        <w:tc>
          <w:tcPr>
            <w:tcW w:w="35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20" w:type="dxa"/>
            <w:vAlign w:val="bottom"/>
          </w:tcPr>
          <w:p>
            <w:pPr>
              <w:jc w:val="center"/>
              <w:ind w:left="1169"/>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Pr>
          <w:p>
            <w:pPr>
              <w:spacing w:after="0"/>
              <w:rPr>
                <w:sz w:val="17"/>
                <w:szCs w:val="17"/>
                <w:color w:val="auto"/>
              </w:rPr>
            </w:pP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Name of subsidiaries</w:t>
            </w:r>
          </w:p>
        </w:tc>
        <w:tc>
          <w:tcPr>
            <w:tcW w:w="3800" w:type="dxa"/>
            <w:vAlign w:val="bottom"/>
          </w:tcPr>
          <w:p>
            <w:pPr>
              <w:ind w:left="620"/>
              <w:spacing w:after="0"/>
              <w:rPr>
                <w:sz w:val="20"/>
                <w:szCs w:val="20"/>
                <w:color w:val="auto"/>
              </w:rPr>
            </w:pPr>
            <w:r>
              <w:rPr>
                <w:rFonts w:ascii="Arial" w:cs="Arial" w:eastAsia="Arial" w:hAnsi="Arial"/>
                <w:sz w:val="14"/>
                <w:szCs w:val="14"/>
                <w:b w:val="1"/>
                <w:bCs w:val="1"/>
                <w:color w:val="auto"/>
              </w:rPr>
              <w:t>Place and date of incorporation</w:t>
            </w:r>
          </w:p>
        </w:tc>
        <w:tc>
          <w:tcPr>
            <w:tcW w:w="1820" w:type="dxa"/>
            <w:vAlign w:val="bottom"/>
          </w:tcPr>
          <w:p>
            <w:pPr>
              <w:jc w:val="right"/>
              <w:ind w:right="89"/>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6"/>
                <w:szCs w:val="16"/>
                <w:color w:val="auto"/>
              </w:rPr>
            </w:pPr>
          </w:p>
        </w:tc>
        <w:tc>
          <w:tcPr>
            <w:tcW w:w="1400" w:type="dxa"/>
            <w:vAlign w:val="bottom"/>
          </w:tcPr>
          <w:p>
            <w:pPr>
              <w:jc w:val="right"/>
              <w:ind w:right="569"/>
              <w:spacing w:after="0"/>
              <w:rPr>
                <w:sz w:val="20"/>
                <w:szCs w:val="20"/>
                <w:color w:val="auto"/>
              </w:rPr>
            </w:pPr>
            <w:r>
              <w:rPr>
                <w:rFonts w:ascii="Arial" w:cs="Arial" w:eastAsia="Arial" w:hAnsi="Arial"/>
                <w:sz w:val="14"/>
                <w:szCs w:val="14"/>
                <w:b w:val="1"/>
                <w:bCs w:val="1"/>
                <w:color w:val="auto"/>
              </w:rPr>
              <w:t>2022</w:t>
            </w:r>
          </w:p>
        </w:tc>
      </w:tr>
      <w:tr>
        <w:trPr>
          <w:trHeight w:val="22"/>
        </w:trPr>
        <w:tc>
          <w:tcPr>
            <w:tcW w:w="35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ACM Research (Shanghai), Inc.</w:t>
            </w:r>
          </w:p>
        </w:tc>
        <w:tc>
          <w:tcPr>
            <w:tcW w:w="3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PRC, May 2005</w:t>
            </w:r>
          </w:p>
        </w:tc>
        <w:tc>
          <w:tcPr>
            <w:tcW w:w="18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82.5 %</w:t>
            </w: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ACM Research (Wuxi), Inc.</w:t>
            </w:r>
          </w:p>
        </w:tc>
        <w:tc>
          <w:tcPr>
            <w:tcW w:w="3800" w:type="dxa"/>
            <w:vAlign w:val="bottom"/>
          </w:tcPr>
          <w:p>
            <w:pPr>
              <w:ind w:left="620"/>
              <w:spacing w:after="0"/>
              <w:rPr>
                <w:sz w:val="20"/>
                <w:szCs w:val="20"/>
                <w:color w:val="auto"/>
              </w:rPr>
            </w:pPr>
            <w:r>
              <w:rPr>
                <w:rFonts w:ascii="Arial" w:cs="Arial" w:eastAsia="Arial" w:hAnsi="Arial"/>
                <w:sz w:val="14"/>
                <w:szCs w:val="14"/>
                <w:color w:val="auto"/>
              </w:rPr>
              <w:t>PRC, July 2011</w:t>
            </w:r>
          </w:p>
        </w:tc>
        <w:tc>
          <w:tcPr>
            <w:tcW w:w="182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Pr>
          <w:p>
            <w:pPr>
              <w:jc w:val="right"/>
              <w:spacing w:after="0"/>
              <w:rPr>
                <w:sz w:val="20"/>
                <w:szCs w:val="20"/>
                <w:color w:val="auto"/>
              </w:rPr>
            </w:pPr>
            <w:r>
              <w:rPr>
                <w:rFonts w:ascii="Arial" w:cs="Arial" w:eastAsia="Arial" w:hAnsi="Arial"/>
                <w:sz w:val="14"/>
                <w:szCs w:val="14"/>
                <w:color w:val="auto"/>
              </w:rPr>
              <w:t>82.5 %</w:t>
            </w:r>
          </w:p>
        </w:tc>
      </w:tr>
      <w:tr>
        <w:trPr>
          <w:trHeight w:val="22"/>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CleanChip Technologies Limited</w:t>
            </w:r>
          </w:p>
        </w:tc>
        <w:tc>
          <w:tcPr>
            <w:tcW w:w="3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Hong Kong, June 2017</w:t>
            </w:r>
          </w:p>
        </w:tc>
        <w:tc>
          <w:tcPr>
            <w:tcW w:w="18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82.5 %</w:t>
            </w: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ACM Research Korea CO., LTD.</w:t>
            </w:r>
          </w:p>
        </w:tc>
        <w:tc>
          <w:tcPr>
            <w:tcW w:w="3800" w:type="dxa"/>
            <w:vAlign w:val="bottom"/>
          </w:tcPr>
          <w:p>
            <w:pPr>
              <w:ind w:left="620"/>
              <w:spacing w:after="0"/>
              <w:rPr>
                <w:sz w:val="20"/>
                <w:szCs w:val="20"/>
                <w:color w:val="auto"/>
              </w:rPr>
            </w:pPr>
            <w:r>
              <w:rPr>
                <w:rFonts w:ascii="Arial" w:cs="Arial" w:eastAsia="Arial" w:hAnsi="Arial"/>
                <w:sz w:val="14"/>
                <w:szCs w:val="14"/>
                <w:color w:val="auto"/>
              </w:rPr>
              <w:t>Korea, December 2017</w:t>
            </w:r>
          </w:p>
        </w:tc>
        <w:tc>
          <w:tcPr>
            <w:tcW w:w="182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Pr>
          <w:p>
            <w:pPr>
              <w:jc w:val="right"/>
              <w:spacing w:after="0"/>
              <w:rPr>
                <w:sz w:val="20"/>
                <w:szCs w:val="20"/>
                <w:color w:val="auto"/>
              </w:rPr>
            </w:pPr>
            <w:r>
              <w:rPr>
                <w:rFonts w:ascii="Arial" w:cs="Arial" w:eastAsia="Arial" w:hAnsi="Arial"/>
                <w:sz w:val="14"/>
                <w:szCs w:val="14"/>
                <w:color w:val="auto"/>
              </w:rPr>
              <w:t>82.5 %</w:t>
            </w:r>
          </w:p>
        </w:tc>
      </w:tr>
      <w:tr>
        <w:trPr>
          <w:trHeight w:val="22"/>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ACM Research (Lingang), Inc. (1)</w:t>
            </w:r>
          </w:p>
        </w:tc>
        <w:tc>
          <w:tcPr>
            <w:tcW w:w="3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PRC, March 2019</w:t>
            </w:r>
          </w:p>
        </w:tc>
        <w:tc>
          <w:tcPr>
            <w:tcW w:w="18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82.5 %</w:t>
            </w: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ACM Research (CA), Inc.</w:t>
            </w:r>
          </w:p>
        </w:tc>
        <w:tc>
          <w:tcPr>
            <w:tcW w:w="3800" w:type="dxa"/>
            <w:vAlign w:val="bottom"/>
          </w:tcPr>
          <w:p>
            <w:pPr>
              <w:ind w:left="620"/>
              <w:spacing w:after="0"/>
              <w:rPr>
                <w:sz w:val="20"/>
                <w:szCs w:val="20"/>
                <w:color w:val="auto"/>
              </w:rPr>
            </w:pPr>
            <w:r>
              <w:rPr>
                <w:rFonts w:ascii="Arial" w:cs="Arial" w:eastAsia="Arial" w:hAnsi="Arial"/>
                <w:sz w:val="14"/>
                <w:szCs w:val="14"/>
                <w:color w:val="auto"/>
              </w:rPr>
              <w:t>USA, April 2019</w:t>
            </w:r>
          </w:p>
        </w:tc>
        <w:tc>
          <w:tcPr>
            <w:tcW w:w="182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Pr>
          <w:p>
            <w:pPr>
              <w:jc w:val="right"/>
              <w:spacing w:after="0"/>
              <w:rPr>
                <w:sz w:val="20"/>
                <w:szCs w:val="20"/>
                <w:color w:val="auto"/>
              </w:rPr>
            </w:pPr>
            <w:r>
              <w:rPr>
                <w:rFonts w:ascii="Arial" w:cs="Arial" w:eastAsia="Arial" w:hAnsi="Arial"/>
                <w:sz w:val="14"/>
                <w:szCs w:val="14"/>
                <w:color w:val="auto"/>
              </w:rPr>
              <w:t>82.5 %</w:t>
            </w:r>
          </w:p>
        </w:tc>
      </w:tr>
      <w:tr>
        <w:trPr>
          <w:trHeight w:val="22"/>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ACM Research (Cayman), Inc.</w:t>
            </w:r>
          </w:p>
        </w:tc>
        <w:tc>
          <w:tcPr>
            <w:tcW w:w="3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Cayman Islands, April 2019</w:t>
            </w:r>
          </w:p>
        </w:tc>
        <w:tc>
          <w:tcPr>
            <w:tcW w:w="18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100.0 %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ACM Research (Singapore) PTE. Ltd.</w:t>
            </w:r>
          </w:p>
        </w:tc>
        <w:tc>
          <w:tcPr>
            <w:tcW w:w="3800" w:type="dxa"/>
            <w:vAlign w:val="bottom"/>
          </w:tcPr>
          <w:p>
            <w:pPr>
              <w:ind w:left="620"/>
              <w:spacing w:after="0"/>
              <w:rPr>
                <w:sz w:val="20"/>
                <w:szCs w:val="20"/>
                <w:color w:val="auto"/>
              </w:rPr>
            </w:pPr>
            <w:r>
              <w:rPr>
                <w:rFonts w:ascii="Arial" w:cs="Arial" w:eastAsia="Arial" w:hAnsi="Arial"/>
                <w:sz w:val="14"/>
                <w:szCs w:val="14"/>
                <w:color w:val="auto"/>
              </w:rPr>
              <w:t>Singapore, August 2021</w:t>
            </w:r>
          </w:p>
        </w:tc>
        <w:tc>
          <w:tcPr>
            <w:tcW w:w="182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100.0 %</w:t>
            </w:r>
          </w:p>
        </w:tc>
        <w:tc>
          <w:tcPr>
            <w:tcW w:w="140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2"/>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ACM Research (Beijing), Inc.</w:t>
            </w:r>
          </w:p>
        </w:tc>
        <w:tc>
          <w:tcPr>
            <w:tcW w:w="3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PRC, February 2022</w:t>
            </w:r>
          </w:p>
        </w:tc>
        <w:tc>
          <w:tcPr>
            <w:tcW w:w="18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82.5 %</w:t>
            </w: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Hanguk ACM CO., LTD.</w:t>
            </w:r>
          </w:p>
        </w:tc>
        <w:tc>
          <w:tcPr>
            <w:tcW w:w="3800" w:type="dxa"/>
            <w:vAlign w:val="bottom"/>
          </w:tcPr>
          <w:p>
            <w:pPr>
              <w:ind w:left="620"/>
              <w:spacing w:after="0"/>
              <w:rPr>
                <w:sz w:val="20"/>
                <w:szCs w:val="20"/>
                <w:color w:val="auto"/>
              </w:rPr>
            </w:pPr>
            <w:r>
              <w:rPr>
                <w:rFonts w:ascii="Arial" w:cs="Arial" w:eastAsia="Arial" w:hAnsi="Arial"/>
                <w:sz w:val="14"/>
                <w:szCs w:val="14"/>
                <w:color w:val="auto"/>
              </w:rPr>
              <w:t>Korea, March 2022</w:t>
            </w:r>
          </w:p>
        </w:tc>
        <w:tc>
          <w:tcPr>
            <w:tcW w:w="182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100.0 %</w:t>
            </w:r>
          </w:p>
        </w:tc>
        <w:tc>
          <w:tcPr>
            <w:tcW w:w="140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2"/>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Yusheng Micro Semiconductor (Shanghai) Co., Ltd</w:t>
            </w:r>
          </w:p>
        </w:tc>
        <w:tc>
          <w:tcPr>
            <w:tcW w:w="3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PRC, June 2023</w:t>
            </w:r>
          </w:p>
        </w:tc>
        <w:tc>
          <w:tcPr>
            <w:tcW w:w="18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82.1 %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ACM-Wooil Microelectronics (Shanghai) Co., Ltd</w:t>
            </w:r>
          </w:p>
        </w:tc>
        <w:tc>
          <w:tcPr>
            <w:tcW w:w="3800" w:type="dxa"/>
            <w:vAlign w:val="bottom"/>
          </w:tcPr>
          <w:p>
            <w:pPr>
              <w:ind w:left="620"/>
              <w:spacing w:after="0"/>
              <w:rPr>
                <w:sz w:val="20"/>
                <w:szCs w:val="20"/>
                <w:color w:val="auto"/>
              </w:rPr>
            </w:pPr>
            <w:r>
              <w:rPr>
                <w:rFonts w:ascii="Arial" w:cs="Arial" w:eastAsia="Arial" w:hAnsi="Arial"/>
                <w:sz w:val="14"/>
                <w:szCs w:val="14"/>
                <w:color w:val="auto"/>
              </w:rPr>
              <w:t>PRC, June 2023</w:t>
            </w:r>
          </w:p>
        </w:tc>
        <w:tc>
          <w:tcPr>
            <w:tcW w:w="182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59.4 %</w:t>
            </w: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242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12" w:lineRule="exact"/>
        <w:rPr>
          <w:sz w:val="20"/>
          <w:szCs w:val="20"/>
          <w:color w:val="auto"/>
        </w:rPr>
      </w:pPr>
    </w:p>
    <w:p>
      <w:pPr>
        <w:ind w:left="20" w:right="240" w:hanging="1"/>
        <w:spacing w:after="0" w:line="281" w:lineRule="auto"/>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ACM Research (Lingang) Inc., or ACM Lingang, is the English name referred to by its Chinese language name Shengwei Research (Shanghai), Inc. in prior filings. ACM Research (Lingang), Inc. and Shengwei Research (Shanghai), Inc. refer to the same entity.</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Basis of Presentation and Principles of Consolidation</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2022 included in ACM’s Annual Report on Form 10-K for the fiscal year ended December 31, 2022.</w:t>
      </w:r>
    </w:p>
    <w:p>
      <w:pPr>
        <w:spacing w:after="0" w:line="131"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2023 and the results of operations for the three and six months ended June 30, 2023 are not necessarily indicative of the results to be expected for any future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Common Stock Split</w:t>
      </w:r>
    </w:p>
    <w:p>
      <w:pPr>
        <w:spacing w:after="0" w:line="17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Unless otherwise indicated, all prior period share and per share amounts, common stock, other capital, and retained earnings information presented in the accompanying financial statements and these notes thereto reflect the impact of the Stock Split (Note 1). Proportional adjustments were also made to outstanding awards under the Company’s stock-based compensation plans.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Reclassification</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Certain prior period balances have been reclassified to conform to the current period presentation in the accompanying notes. These reclassifications did not have a material impact on the previously reported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 Restrictions by U.S. Department of Commerce, Japan and Netherlands for PRC-based Semiconductor Producers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Substantially all of ACM Shanghai’s customers and a significant portion of its operations are based in the PRC. In 2022, Shanghai Huali Microelectronics Corporation, together with Huahong Semiconductor Ltd., collectively known as The Shanghai Huahong (Group) Company, Ltd., or The Huali Huahong Group, a leading PRC-based foundry, accounted for 18.2% of our revenue; Semiconductor Manufacturing International Corporation, or SMIC, a leading PRC-based foundry, accounted for 15.6% of our revenue; and Yangtze Memory Technologies Co., Ltd., or YMTC, a leading PRC-based memory chip company, together with one of its subsidiaries, accounted for 10.0% of our revenue. In 2021, The Huali Huahong Group accounted for 28.1% of our revenue; and YMTC, together with one of its subsidiaries, accounted for 20.8% of our revenue.</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early October 2022 the U.S. government enacted new rules aimed at restricting U.S. support for the PRC’s ability to manufacture advanced semiconductors. The rules include new export license requirements for exports, re-exports or transfers to or within the PRC of additional types of semiconductor manufacturing items, items for use in manufacturing designated types of semiconductor manufacturing equipment in the PRC, and semiconductor manufacturing equipment for use at certain IC manufacturing and development facilities in the PRC. In addition, the U.S. government imposed new restrictions by which U.S. persons anywhere in the world are effectively barred from engaging in certain activities related to the development and production of certain semiconductors at PRC fabrication facilities meeting specified criteria, even if no items subject to the U.S. Export Administration Regulations or EAR are involved.</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ACM Shanghai has determined that several of its customers have PRC-based facilities that meet the restricted criteria, and has also determined that several of its products, and/or components for its products,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undertaking measures in connection with their supply chains more broadly to comply with the new regulations.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ACM and ACM Shanghai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for both the three and six months ended June 30, 2023.</w:t>
      </w:r>
    </w:p>
    <w:p>
      <w:pPr>
        <w:spacing w:after="0" w:line="163"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During the three and six months ended June 30, 2023, two prominent exporters of advanced semiconductor manufacturing equipment, the Netherlands and Japan, announced and began to implement plans to join the United States in imposing semiconductor-focused export controls.</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On May 23, 2023, the Japanese government issued the final amendment to an ordinance implementing new export controls to require licensing for export of certain advanced semiconductor manufacturing equipment, effective as of July 23, 2023.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The amendment expands the scope of export controls to prohibit (1) exporting twenty-three additional categories of items relating to semiconductor manufacturing and (2) providing technology</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relating to manufacturing, development or use of these categories of items, in both cases, without an advance license. 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the PRC by a limited general license or specific license, if at all.</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On June 30, 2023, the Government of the Netherlands published additional export control measures for advanced semiconductor manufacturing equipment. The Regulation on Advanced Semiconductor Manufacturing Equipment will enter into force on September 1, 2023. From that point on, the export of certain advanced semiconductor manufacturing equipment, as specified in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Annex to the Regulation</w:t>
      </w:r>
      <w:r>
        <w:rPr>
          <w:rFonts w:ascii="Arial" w:cs="Arial" w:eastAsia="Arial" w:hAnsi="Arial"/>
          <w:sz w:val="16"/>
          <w:szCs w:val="16"/>
          <w:color w:val="auto"/>
        </w:rPr>
        <w:t>,</w:t>
      </w:r>
      <w:r>
        <w:rPr>
          <w:rFonts w:ascii="Arial" w:cs="Arial" w:eastAsia="Arial" w:hAnsi="Arial"/>
          <w:sz w:val="14"/>
          <w:szCs w:val="14"/>
          <w:color w:val="auto"/>
        </w:rPr>
        <w:t xml:space="preserve"> will be subject to a national export license authorization requirement by the Dutch Central Import and Export Service.</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result of the new restrictions imposed by the Japanese and Dutch governments, ACM Shanghai and/or several of its customers in the PRC may be impacted by, and required to reduce their production capabilities due to, the lack of, or reduced, ability to source items relating to semiconductor manufacturing from Japan and the Netherlands.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to the range of controls coming out of other jurisdictions, the United States is also reportedly considering expansions to existing semiconductor manufacturing export controls, any of which could potentially impact ACM and ACM Shanghai. ACM and ACM Shanghai anticipate these factors will continue to have an adverse impact on ACM Shanghai’s shipments and sales in future periods.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“Part II. Item 1A – Risk Factors – Regulatory Risks – Our ability to sell our tools to customers in the PRC has been impacted, and will likely continue to be materially and adversely impacted, by export license requirements, other regulatory changes, or other actions taken by the U.S. or other governmental agencies”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COVID-19 Assessment</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Notwithstanding that the World Health Organization ended the public health emergency of international concern status for COVID-19 in May 2023, 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or related after-effects could continue to result in economic uncertainty and global economic policies that could reduce demand for the Company’s products and its customers’ chips and have a material adverse impact on the Company’s business, operating results and financial condition.</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conducts substantially all of its product development, manufacturing, support and services in the PRC, and those activities have been directly impacted by COVID-19 and related restrictions on transportation and public appearances.</w:t>
      </w:r>
    </w:p>
    <w:p>
      <w:pPr>
        <w:spacing w:after="0" w:line="111" w:lineRule="exact"/>
        <w:rPr>
          <w:sz w:val="20"/>
          <w:szCs w:val="20"/>
          <w:color w:val="auto"/>
        </w:rPr>
      </w:pPr>
    </w:p>
    <w:p>
      <w:pPr>
        <w:jc w:val="both"/>
        <w:ind w:left="520" w:hanging="515"/>
        <w:spacing w:after="0" w:line="278" w:lineRule="auto"/>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Although the facility remained partially operational with a number of personnel staying on-site for a prolonged period, the level of production declined significantly versus more normal levels. Furthermore, a number of the Company’s customers have substantial operations based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operations areas of the PRC, including in the City of Shanghai, subject to full-city restrictions, which began limiting the operations of those customers in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logistical limitations affecting customers other than, or in addition to, ACM Shanghai.</w:t>
      </w:r>
    </w:p>
    <w:p>
      <w:pPr>
        <w:jc w:val="both"/>
        <w:ind w:left="520" w:hanging="515"/>
        <w:spacing w:after="0" w:line="253"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late April 2022, ACM Shanghai began to increase the level of its operations at the Chuansha manufacturing site using the “closed loop method,” in which a limited collection of workers remain together as a group between a single hotel, the ACM Shanghai facility, and a dedicated bus transportation route, also referred to as “two spots and one line,” and had resumed substantially all of its Chuansha manufacturing site operations by the end of the second quarter of 2022. On July 1, 2022, the Company transitioned operations at the Chuansha facility to a more normal production process, in which workers were able to return home following their factory shifts.</w:t>
      </w:r>
    </w:p>
    <w:p>
      <w:pPr>
        <w:ind w:left="520" w:hanging="515"/>
        <w:spacing w:after="0" w:line="253"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mid-June 2022, substantially all of ACM Shanghai’s R&amp;D and administrative employees were allowed to return to work at the ZhangJiang facility following a 6-8 weeks period of restricted access during which many employees had continued to work from home.</w:t>
      </w:r>
    </w:p>
    <w:p>
      <w:pPr>
        <w:sectPr>
          <w:pgSz w:w="11900" w:h="16838" w:orient="portrait"/>
          <w:cols w:equalWidth="0" w:num="1">
            <w:col w:w="11280"/>
          </w:cols>
          <w:pgMar w:left="300" w:top="126" w:right="319" w:bottom="1440" w:gutter="0" w:footer="0" w:header="0"/>
        </w:sect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Arial" w:cs="Arial" w:eastAsia="Arial" w:hAnsi="Arial"/>
          <w:sz w:val="13"/>
          <w:szCs w:val="13"/>
          <w:color w:val="auto"/>
        </w:rPr>
        <w:t>With the relaxation of the PRC’s zero-COVID policies in December 2022, and the subsequent widespread infections of China’s population, during the six months ended June 30, 2023, the Company experienced additional inefficiencies due in part to infections and the resultant absenteeism experienced by its employees and the general population of China.</w:t>
      </w:r>
    </w:p>
    <w:p>
      <w:pPr>
        <w:spacing w:after="0" w:line="119" w:lineRule="exact"/>
        <w:rPr>
          <w:sz w:val="20"/>
          <w:szCs w:val="20"/>
          <w:color w:val="auto"/>
        </w:rPr>
      </w:pPr>
    </w:p>
    <w:p>
      <w:pPr>
        <w:sectPr>
          <w:pgSz w:w="11900" w:h="16838" w:orient="portrait"/>
          <w:cols w:equalWidth="0" w:num="2">
            <w:col w:w="60" w:space="460"/>
            <w:col w:w="10760"/>
          </w:cols>
          <w:pgMar w:left="300" w:top="126" w:right="319" w:bottom="1440" w:gutter="0" w:footer="0" w:header="0"/>
          <w:type w:val="continuous"/>
        </w:sectPr>
      </w:pPr>
    </w:p>
    <w:p>
      <w:pPr>
        <w:spacing w:after="0"/>
        <w:rPr>
          <w:sz w:val="20"/>
          <w:szCs w:val="20"/>
          <w:color w:val="auto"/>
        </w:rPr>
      </w:pPr>
      <w:r>
        <w:rPr>
          <w:rFonts w:ascii="Arial" w:cs="Arial" w:eastAsia="Arial" w:hAnsi="Arial"/>
          <w:sz w:val="14"/>
          <w:szCs w:val="14"/>
          <w:u w:val="single" w:color="auto"/>
          <w:color w:val="auto"/>
        </w:rPr>
        <w:t>Use of Estimates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trading securities, stock-based compensation arrangements, realization of deferred tax assets, assessment for impairment of long-lived assets, allowance for doubtful accounts, inventory valuation, depreciable lives of property, plant and equipment and useful lives of intangible 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Management evaluates these estimates and assumptions on a regular basis. Actual results could differ from those estimates and assumptions.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Correction of Immaterial Error in Prior Year</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six months ended June 30, 2023, the Company became aware of an immaterial error in its previously issued financial statements regarding deferred tax assets and equity income in net income of affiliates, in the net amount of $1.6 million. The change resulted in adjustment to increase retained earnings of $1.6 million as of January 1, 2023, investment in equity method affiliate, net of tax of $(0.8) million, and deferred tax assets of $2.4 million in the condensed consolidated balance sheet for the six months ended June 30, 2023.</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evaluated the effect of these errors on the financial statements as of December 31, 2022, under ASC 250 “Accounting Changes and Error Corrections”, Staff Accounting Bulletin 99 “Materiality”, and Staff Accounting Bulletin 108 “Considering the Effects of Prior Year Misstatements in Current Year Financial Statements”, and determined that these errors were not material to the previously issued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Change in Accounting Principle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Prior to January 1, 2023, the Company's bad debt reserve was based on specific accounts that it deemed potentially uncollectible. Effective on January 1, 2023, the Company adopted ASU 2016-13, </w:t>
      </w:r>
      <w:r>
        <w:rPr>
          <w:rFonts w:ascii="Arial" w:cs="Arial" w:eastAsia="Arial" w:hAnsi="Arial"/>
          <w:sz w:val="14"/>
          <w:szCs w:val="14"/>
          <w:i w:val="1"/>
          <w:iCs w:val="1"/>
          <w:color w:val="auto"/>
        </w:rPr>
        <w:t xml:space="preserve">Financial Instruments </w:t>
      </w:r>
      <w:r>
        <w:rPr>
          <w:rFonts w:ascii="Arial" w:cs="Arial" w:eastAsia="Arial" w:hAnsi="Arial"/>
          <w:sz w:val="14"/>
          <w:szCs w:val="14"/>
          <w:color w:val="auto"/>
        </w:rPr>
        <w:t>–</w:t>
      </w:r>
      <w:r>
        <w:rPr>
          <w:rFonts w:ascii="Arial" w:cs="Arial" w:eastAsia="Arial" w:hAnsi="Arial"/>
          <w:sz w:val="14"/>
          <w:szCs w:val="14"/>
          <w:i w:val="1"/>
          <w:iCs w:val="1"/>
          <w:color w:val="auto"/>
        </w:rPr>
        <w:t xml:space="preserve"> Credit Losses (Topic 326) </w:t>
      </w:r>
      <w:r>
        <w:rPr>
          <w:rFonts w:ascii="Arial" w:cs="Arial" w:eastAsia="Arial" w:hAnsi="Arial"/>
          <w:sz w:val="14"/>
          <w:szCs w:val="14"/>
          <w:color w:val="auto"/>
        </w:rPr>
        <w:t>(ASU 2016-13) that each reporting entity should estimate an allowance for expected credit losses, which is intended to result in more timely</w:t>
      </w:r>
      <w:r>
        <w:rPr>
          <w:rFonts w:ascii="Arial" w:cs="Arial" w:eastAsia="Arial" w:hAnsi="Arial"/>
          <w:sz w:val="14"/>
          <w:szCs w:val="14"/>
          <w:i w:val="1"/>
          <w:iCs w:val="1"/>
          <w:color w:val="auto"/>
        </w:rPr>
        <w:t xml:space="preserve"> </w:t>
      </w:r>
      <w:r>
        <w:rPr>
          <w:rFonts w:ascii="Arial" w:cs="Arial" w:eastAsia="Arial" w:hAnsi="Arial"/>
          <w:sz w:val="14"/>
          <w:szCs w:val="14"/>
          <w:color w:val="auto"/>
        </w:rPr>
        <w:t>recognition of loss. Under the new approach, the Company expanded to include the certain percentage of bad debt reserve based on the outstanding accounts receivables aging. Adoption of ASU 2016-13 is considered as a change in accounting principle which requires using a modified retrospective approach through a cumulative-effect adjustment to retained earnings as of the effective date to align existing credit loss methodology with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new standard. The cumulative-effect adjustment, net of tax impact, to retained earnings as of January 1, 2023 was $(1,769).</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20" w:type="dxa"/>
            <w:vAlign w:val="bottom"/>
          </w:tcPr>
          <w:p>
            <w:pPr>
              <w:spacing w:after="0"/>
              <w:rPr>
                <w:sz w:val="20"/>
                <w:szCs w:val="20"/>
                <w:color w:val="auto"/>
              </w:rPr>
            </w:pPr>
            <w:r>
              <w:rPr>
                <w:rFonts w:ascii="Arial" w:cs="Arial" w:eastAsia="Arial" w:hAnsi="Arial"/>
                <w:sz w:val="14"/>
                <w:szCs w:val="14"/>
                <w:color w:val="auto"/>
              </w:rPr>
              <w:t>The following table presents cash and cash equivalents, according to jurisdiction as of June 30, 2023 and December 31, 2022:</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8"/>
        </w:trPr>
        <w:tc>
          <w:tcPr>
            <w:tcW w:w="8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1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22"/>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23,732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25,011</w:t>
            </w: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Mainland China</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123,071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129,695</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China Hong Kong</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107,459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89,187</w:t>
            </w: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South Korea</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4,007</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Singapore</w:t>
            </w:r>
          </w:p>
        </w:tc>
        <w:tc>
          <w:tcPr>
            <w:tcW w:w="10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8"/>
        </w:trPr>
        <w:tc>
          <w:tcPr>
            <w:tcW w:w="812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257,420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247,951</w:t>
            </w:r>
          </w:p>
        </w:tc>
      </w:tr>
      <w:tr>
        <w:trPr>
          <w:trHeight w:val="20"/>
        </w:trPr>
        <w:tc>
          <w:tcPr>
            <w:tcW w:w="8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amounts in mainland China do not include short-term and long-term time deposits which totaled $118,104 and $172,448 at June 30, 2023 and December 31, 2022,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Cash held in the U.S. exceeds the Federal Deposit Insurance Corporation insurance limits and is subject to risk of loss. No losses have been experienced to date.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ACM California periodically procures goods and services on behalf of ACM Shanghai. For these transactions, ACM Shanghai makes cash payments to ACM California in accordance with applicable transfer pricing arrangements. For the three and six months ended June 30, 2023, cash payments from ACM Shanghai to ACM California for the procurement of goods and services was $14,500 and $25,431 respectively. For the three and six months ended June 30, 2022, cash payments from ACM Shanghai to ACM California for the procurement of goods and services was $5,647 and $13,561 respectively ACM California periodically borrows funds for working capital advances from its direct parent, CleanChip. ACM California repays or renews these intercompany loans in accordance with their terms.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Inc. in accordance with applicable transfer pricing arrangements.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Subsequent to June 30, 2020, with the exception of sales and services-related transfer-pricing payments in the ordinary course of business, no cash transfers, dividends or other payments or distributions have been made between ACM Research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 w:name="page16"/>
    <w:bookmarkEnd w:id="1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and ACM Shanghai. The Company intends to retain any future earnings to finance the operations and expenses of the business, and does not expect to distribute earnings or declare or pay any dividends in the foreseeable future.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Amounts held in South Korea exceed the Korea Deposit Insurance Corporation insurance limits and is subject to risk of loss. No losses have been experienced to date.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There is no additional restriction for the transfer of cash from bank accounts in the U.S., South Korea, and Hong Kong.</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For the three and six months ended June 30, 2023 and 2022, with the exception of sales and services-related transfer-pricing payments in the ordinary course of business, no transfers, dividends, or distributions have been made between ACM Research and its subsidiaries, including ACM Shanghai, or to holders of ACM Research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Time Deposits</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Time deposits are deposited with banks in mainland China with fixed terms and interest rates which cannot be withdrawn before maturity. They are also subject to the risk control regulatory standards described above upon maturity.</w:t>
      </w:r>
    </w:p>
    <w:p>
      <w:pPr>
        <w:sectPr>
          <w:pgSz w:w="11900" w:h="16838" w:orient="portrait"/>
          <w:cols w:equalWidth="0" w:num="1">
            <w:col w:w="11280"/>
          </w:cols>
          <w:pgMar w:left="300" w:top="126" w:right="31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time deposits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121525"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China Merchant Bank which will mature on January 29, 2023 with an annual interest rate of 2.25%</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China Everbright Bank which will mature on January 29, 2023 with an annual interest rate of 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2152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China Everbright Bank which will mature on May 22, 2023 with an annual interest rate of 5.07%</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China Industrial Bank which will mature on January 30, 2023 with an annual interest rate of 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21525"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China Merchant Bank which will mature on January 29, 2024 with an annual interest rate of 2.85%</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Bank of Ningbo which will mature on February 17, 2024 with an annual interest rate of 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21525"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Deposit in Shanghai Pudong Development Bank which matures on October 20, 2025 with an annual interest rate of 3.10%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Deposit in Shanghai Pudong Development Bank which matures on November 14, 2025 with an annual interest rate of 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21525"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Deposit in Shanghai Pudong Development Bank which matures on December 8, 2025 with an annual interest rate of 3.10%</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Deposit in Shanghai Pudong Development Bank which matures on December 15, 2025 with an annual interest rate of 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2152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Deposit in Shanghai Pudong Development Bank which matures on December 30, 2025 with an annual interest rate of 3.10%</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in China Everbright Bank which will mature on July 4, 2023 with an annual interest rate of 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2152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134620"/>
                    </a:xfrm>
                    <a:prstGeom prst="rect">
                      <a:avLst/>
                    </a:prstGeom>
                    <a:noFill/>
                  </pic:spPr>
                </pic:pic>
              </a:graphicData>
            </a:graphic>
          </wp:anchor>
        </w:drawing>
      </w:r>
    </w:p>
    <w:p>
      <w:pPr>
        <w:spacing w:after="0" w:line="31" w:lineRule="exact"/>
        <w:rPr>
          <w:sz w:val="20"/>
          <w:szCs w:val="20"/>
          <w:color w:val="auto"/>
        </w:rPr>
      </w:pPr>
    </w:p>
    <w:p>
      <w:pPr>
        <w:ind w:left="20" w:right="920"/>
        <w:spacing w:after="0" w:line="406" w:lineRule="auto"/>
        <w:rPr>
          <w:sz w:val="20"/>
          <w:szCs w:val="20"/>
          <w:color w:val="auto"/>
        </w:rPr>
      </w:pPr>
      <w:r>
        <w:rPr>
          <w:rFonts w:ascii="Arial" w:cs="Arial" w:eastAsia="Arial" w:hAnsi="Arial"/>
          <w:sz w:val="13"/>
          <w:szCs w:val="13"/>
          <w:color w:val="auto"/>
        </w:rPr>
        <w:t>Deposit in China Everbright Bank which will mature on November 22, 2023 with an annual interest rate of 5.43% Deposit in China Merchant Bank which will mature on January 30, 2026 with an annual interest rate of 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121525"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38,772</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14,360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14,360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27,680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28,720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41,520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43,080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6,920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7,180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6,920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7,180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4,152</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4,308</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4,152</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4,308</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6,920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7,180</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13,840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86"/>
              </w:rPr>
              <w:t>118,104</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172,448</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160"/>
          </w:cols>
          <w:pgMar w:left="300" w:top="126" w:right="319"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June 30, 2023 and 2022, interest income related to time deposits was $937 and $951, respectively. For the six months ended June 30, 2023 and 2022, interest income related to time deposits was $1,912 and $1,539,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Instruments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maintains an investment portfolio of various holdings, types, and maturities. Investments classified as trading securities are recorded at fair value based upon quoted market prices. Differences between the cost and fair value of trading securities are recognized as other income (expense), net in the condensed consolidated statements of operations and comprehensive income (loss).</w:t>
      </w:r>
    </w:p>
    <w:p>
      <w:pPr>
        <w:spacing w:after="0" w:line="11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periodically invests in equity securities. For equity investments that do not have a readily determinable fair value, the Company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on a one-quarter lag. The equity method is utilized when the Company does not have the ability to control the investee but is deemed to have the ability to exercise significant influence over the investee’s operating or financial policies. For equity investments that have a readily determinable fair value, the Company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recognized as other income (expense), net in the condensed consolidated statements of operations and comprehensive income (loss).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Level 1: Valuations based on quoted prices in active markets for identical assets or liabilities with sufficient volume and frequency of transactions.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primary financial instruments include its cash, cash equivalents, short term and long term deposits, restricted cash, short-term and long-term investments, accounts receivable, accounts payable, long-term debt and leases. The estimated fair value of cash, time deposits, accounts receivable, and accounts payable approximates their carrying value due to the short period of time to their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3"/>
          </w:tcPr>
          <w:p>
            <w:pPr>
              <w:jc w:val="center"/>
              <w:ind w:right="1569"/>
              <w:spacing w:after="0"/>
              <w:rPr>
                <w:sz w:val="20"/>
                <w:szCs w:val="20"/>
                <w:color w:val="auto"/>
              </w:rPr>
            </w:pPr>
            <w:r>
              <w:rPr>
                <w:rFonts w:ascii="Arial" w:cs="Arial" w:eastAsia="Arial" w:hAnsi="Arial"/>
                <w:sz w:val="14"/>
                <w:szCs w:val="14"/>
                <w:b w:val="1"/>
                <w:bCs w:val="1"/>
                <w:color w:val="auto"/>
              </w:rPr>
              <w:t>ACM RESEARCH, INC.</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gridSpan w:val="5"/>
          </w:tcPr>
          <w:p>
            <w:pPr>
              <w:jc w:val="center"/>
              <w:ind w:left="89"/>
              <w:spacing w:after="0"/>
              <w:rPr>
                <w:sz w:val="20"/>
                <w:szCs w:val="20"/>
                <w:color w:val="auto"/>
              </w:rPr>
            </w:pPr>
            <w:r>
              <w:rPr>
                <w:rFonts w:ascii="Arial" w:cs="Arial" w:eastAsia="Arial" w:hAnsi="Arial"/>
                <w:sz w:val="14"/>
                <w:szCs w:val="14"/>
                <w:b w:val="1"/>
                <w:bCs w:val="1"/>
                <w:color w:val="auto"/>
                <w:w w:val="89"/>
              </w:rPr>
              <w:t>Notes to the Condensed Consolidated Financial Statements</w:t>
            </w:r>
          </w:p>
        </w:tc>
        <w:tc>
          <w:tcPr>
            <w:tcW w:w="1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gridSpan w:val="5"/>
          </w:tcPr>
          <w:p>
            <w:pPr>
              <w:jc w:val="center"/>
              <w:ind w:left="89"/>
              <w:spacing w:after="0"/>
              <w:rPr>
                <w:sz w:val="20"/>
                <w:szCs w:val="20"/>
                <w:color w:val="auto"/>
              </w:rPr>
            </w:pPr>
            <w:r>
              <w:rPr>
                <w:rFonts w:ascii="Arial" w:cs="Arial" w:eastAsia="Arial" w:hAnsi="Arial"/>
                <w:sz w:val="14"/>
                <w:szCs w:val="14"/>
                <w:i w:val="1"/>
                <w:iCs w:val="1"/>
                <w:color w:val="auto"/>
                <w:w w:val="90"/>
              </w:rPr>
              <w:t>(In thousands, except share, percentage and per share data)</w:t>
            </w:r>
          </w:p>
        </w:tc>
        <w:tc>
          <w:tcPr>
            <w:tcW w:w="1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Quoted Prices in Active</w:t>
            </w:r>
          </w:p>
        </w:tc>
        <w:tc>
          <w:tcPr>
            <w:tcW w:w="220" w:type="dxa"/>
            <w:vAlign w:val="bottom"/>
          </w:tcPr>
          <w:p>
            <w:pPr>
              <w:spacing w:after="0"/>
              <w:rPr>
                <w:sz w:val="14"/>
                <w:szCs w:val="14"/>
                <w:color w:val="auto"/>
              </w:rPr>
            </w:pPr>
          </w:p>
        </w:tc>
        <w:tc>
          <w:tcPr>
            <w:tcW w:w="1480" w:type="dxa"/>
            <w:vAlign w:val="bottom"/>
          </w:tcPr>
          <w:p>
            <w:pPr>
              <w:jc w:val="center"/>
              <w:ind w:right="129"/>
              <w:spacing w:after="0"/>
              <w:rPr>
                <w:sz w:val="20"/>
                <w:szCs w:val="20"/>
                <w:color w:val="auto"/>
              </w:rPr>
            </w:pPr>
            <w:r>
              <w:rPr>
                <w:rFonts w:ascii="Arial" w:cs="Arial" w:eastAsia="Arial" w:hAnsi="Arial"/>
                <w:sz w:val="14"/>
                <w:szCs w:val="14"/>
                <w:b w:val="1"/>
                <w:bCs w:val="1"/>
                <w:color w:val="auto"/>
                <w:w w:val="92"/>
              </w:rPr>
              <w:t>Significant Other</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Markets for Identical</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 Inputs (Level</w:t>
            </w:r>
          </w:p>
        </w:tc>
        <w:tc>
          <w:tcPr>
            <w:tcW w:w="10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Significant Unobservable</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Liabilities (Level 1)</w:t>
            </w:r>
          </w:p>
        </w:tc>
        <w:tc>
          <w:tcPr>
            <w:tcW w:w="220" w:type="dxa"/>
            <w:vAlign w:val="bottom"/>
          </w:tcPr>
          <w:p>
            <w:pPr>
              <w:spacing w:after="0"/>
              <w:rPr>
                <w:sz w:val="16"/>
                <w:szCs w:val="16"/>
                <w:color w:val="auto"/>
              </w:rPr>
            </w:pPr>
          </w:p>
        </w:tc>
        <w:tc>
          <w:tcPr>
            <w:tcW w:w="1480" w:type="dxa"/>
            <w:vAlign w:val="bottom"/>
          </w:tcPr>
          <w:p>
            <w:pPr>
              <w:jc w:val="center"/>
              <w:ind w:right="129"/>
              <w:spacing w:after="0"/>
              <w:rPr>
                <w:sz w:val="20"/>
                <w:szCs w:val="20"/>
                <w:color w:val="auto"/>
              </w:rPr>
            </w:pPr>
            <w:r>
              <w:rPr>
                <w:rFonts w:ascii="Arial" w:cs="Arial" w:eastAsia="Arial" w:hAnsi="Arial"/>
                <w:sz w:val="14"/>
                <w:szCs w:val="14"/>
                <w:b w:val="1"/>
                <w:bCs w:val="1"/>
                <w:color w:val="auto"/>
                <w:w w:val="96"/>
              </w:rPr>
              <w:t>2)</w:t>
            </w:r>
          </w:p>
        </w:tc>
        <w:tc>
          <w:tcPr>
            <w:tcW w:w="100" w:type="dxa"/>
            <w:vAlign w:val="bottom"/>
          </w:tcPr>
          <w:p>
            <w:pPr>
              <w:spacing w:after="0"/>
              <w:rPr>
                <w:sz w:val="16"/>
                <w:szCs w:val="16"/>
                <w:color w:val="auto"/>
              </w:rPr>
            </w:pPr>
          </w:p>
        </w:tc>
        <w:tc>
          <w:tcPr>
            <w:tcW w:w="1980" w:type="dxa"/>
            <w:vAlign w:val="bottom"/>
          </w:tcPr>
          <w:p>
            <w:pPr>
              <w:ind w:left="300"/>
              <w:spacing w:after="0"/>
              <w:rPr>
                <w:sz w:val="20"/>
                <w:szCs w:val="20"/>
                <w:color w:val="auto"/>
              </w:rPr>
            </w:pPr>
            <w:r>
              <w:rPr>
                <w:rFonts w:ascii="Arial" w:cs="Arial" w:eastAsia="Arial" w:hAnsi="Arial"/>
                <w:sz w:val="14"/>
                <w:szCs w:val="14"/>
                <w:b w:val="1"/>
                <w:bCs w:val="1"/>
                <w:color w:val="auto"/>
              </w:rPr>
              <w:t>Inputs (Level 3)</w:t>
            </w:r>
          </w:p>
        </w:tc>
        <w:tc>
          <w:tcPr>
            <w:tcW w:w="30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257,420</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9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257,420</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6,375</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980" w:type="dxa"/>
            <w:vAlign w:val="bottom"/>
          </w:tcPr>
          <w:p>
            <w:pPr>
              <w:ind w:left="14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6,375</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263,795</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9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263,795</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53,976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53,976</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19,138</w:t>
            </w:r>
          </w:p>
        </w:tc>
        <w:tc>
          <w:tcPr>
            <w:tcW w:w="100" w:type="dxa"/>
            <w:vAlign w:val="bottom"/>
          </w:tcPr>
          <w:p>
            <w:pPr>
              <w:spacing w:after="0"/>
              <w:rPr>
                <w:sz w:val="16"/>
                <w:szCs w:val="16"/>
                <w:color w:val="auto"/>
              </w:rPr>
            </w:pPr>
          </w:p>
        </w:tc>
        <w:tc>
          <w:tcPr>
            <w:tcW w:w="1980" w:type="dxa"/>
            <w:vAlign w:val="bottom"/>
          </w:tcPr>
          <w:p>
            <w:pPr>
              <w:ind w:left="14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19,138</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73,114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247,951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980" w:type="dxa"/>
            <w:vAlign w:val="bottom"/>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Pr>
          <w:p>
            <w:pPr>
              <w:jc w:val="right"/>
              <w:spacing w:after="0"/>
              <w:rPr>
                <w:sz w:val="20"/>
                <w:szCs w:val="20"/>
                <w:color w:val="auto"/>
              </w:rPr>
            </w:pPr>
            <w:r>
              <w:rPr>
                <w:rFonts w:ascii="Arial" w:cs="Arial" w:eastAsia="Arial" w:hAnsi="Arial"/>
                <w:sz w:val="14"/>
                <w:szCs w:val="14"/>
                <w:color w:val="auto"/>
              </w:rPr>
              <w:t>247,951</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20,209</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20,209</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268,160</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9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268,160</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Short-term borrowings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gridSpan w:val="2"/>
          </w:tcPr>
          <w:p>
            <w:pPr>
              <w:jc w:val="right"/>
              <w:ind w:right="49"/>
              <w:spacing w:after="0"/>
              <w:rPr>
                <w:sz w:val="20"/>
                <w:szCs w:val="20"/>
                <w:color w:val="auto"/>
              </w:rPr>
            </w:pPr>
            <w:r>
              <w:rPr>
                <w:rFonts w:ascii="Arial" w:cs="Arial" w:eastAsia="Arial" w:hAnsi="Arial"/>
                <w:sz w:val="14"/>
                <w:szCs w:val="14"/>
                <w:color w:val="auto"/>
              </w:rPr>
              <w:t>— $</w:t>
            </w:r>
          </w:p>
        </w:tc>
        <w:tc>
          <w:tcPr>
            <w:tcW w:w="1480" w:type="dxa"/>
            <w:vAlign w:val="bottom"/>
          </w:tcPr>
          <w:p>
            <w:pPr>
              <w:jc w:val="right"/>
              <w:spacing w:after="0"/>
              <w:rPr>
                <w:sz w:val="20"/>
                <w:szCs w:val="20"/>
                <w:color w:val="auto"/>
              </w:rPr>
            </w:pPr>
            <w:r>
              <w:rPr>
                <w:rFonts w:ascii="Arial" w:cs="Arial" w:eastAsia="Arial" w:hAnsi="Arial"/>
                <w:sz w:val="14"/>
                <w:szCs w:val="14"/>
                <w:color w:val="auto"/>
              </w:rPr>
              <w:t>56,004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980" w:type="dxa"/>
            <w:vAlign w:val="bottom"/>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Pr>
          <w:p>
            <w:pPr>
              <w:jc w:val="right"/>
              <w:spacing w:after="0"/>
              <w:rPr>
                <w:sz w:val="20"/>
                <w:szCs w:val="20"/>
                <w:color w:val="auto"/>
              </w:rPr>
            </w:pPr>
            <w:r>
              <w:rPr>
                <w:rFonts w:ascii="Arial" w:cs="Arial" w:eastAsia="Arial" w:hAnsi="Arial"/>
                <w:sz w:val="14"/>
                <w:szCs w:val="14"/>
                <w:color w:val="auto"/>
              </w:rPr>
              <w:t>56,004</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borrowings</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21,009</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21,009</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 $</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77,013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 $</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77,013</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center"/>
              <w:ind w:left="389"/>
              <w:spacing w:after="0"/>
              <w:rPr>
                <w:sz w:val="20"/>
                <w:szCs w:val="20"/>
                <w:color w:val="auto"/>
              </w:rPr>
            </w:pPr>
            <w:r>
              <w:rPr>
                <w:rFonts w:ascii="Arial" w:cs="Arial" w:eastAsia="Arial" w:hAnsi="Arial"/>
                <w:sz w:val="14"/>
                <w:szCs w:val="14"/>
                <w:color w:val="auto"/>
                <w:w w:val="89"/>
              </w:rPr>
              <w:t>18</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8" w:name="page19"/>
    <w:bookmarkEnd w:id="18"/>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tcPr>
          <w:p>
            <w:pPr>
              <w:spacing w:after="0"/>
              <w:rPr>
                <w:sz w:val="20"/>
                <w:szCs w:val="20"/>
                <w:color w:val="auto"/>
              </w:rPr>
            </w:pPr>
            <w:r>
              <w:rPr>
                <w:rFonts w:ascii="Arial" w:cs="Arial" w:eastAsia="Arial" w:hAnsi="Arial"/>
                <w:sz w:val="14"/>
                <w:szCs w:val="14"/>
                <w:color w:val="auto"/>
              </w:rPr>
              <w:t>Basic and Diluted Net Income per Share of Common Stock</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180" w:type="dxa"/>
            <w:vAlign w:val="bottom"/>
            <w:gridSpan w:val="2"/>
          </w:tcPr>
          <w:p>
            <w:pPr>
              <w:spacing w:after="0"/>
              <w:rPr>
                <w:sz w:val="20"/>
                <w:szCs w:val="20"/>
                <w:color w:val="auto"/>
              </w:rPr>
            </w:pPr>
            <w:r>
              <w:rPr>
                <w:rFonts w:ascii="Arial" w:cs="Arial" w:eastAsia="Arial" w:hAnsi="Arial"/>
                <w:sz w:val="14"/>
                <w:szCs w:val="14"/>
                <w:color w:val="auto"/>
              </w:rPr>
              <w:t>Basic and diluted net income per share of common stock are calculated as follows: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w w:val="97"/>
              </w:rPr>
              <w:t>Three Months Ended June 30,</w:t>
            </w:r>
          </w:p>
        </w:tc>
        <w:tc>
          <w:tcPr>
            <w:tcW w:w="260" w:type="dxa"/>
            <w:vAlign w:val="bottom"/>
          </w:tcPr>
          <w:p>
            <w:pPr>
              <w:spacing w:after="0"/>
              <w:rPr>
                <w:sz w:val="24"/>
                <w:szCs w:val="24"/>
                <w:color w:val="auto"/>
              </w:rPr>
            </w:pPr>
          </w:p>
        </w:tc>
        <w:tc>
          <w:tcPr>
            <w:tcW w:w="2280" w:type="dxa"/>
            <w:vAlign w:val="bottom"/>
            <w:gridSpan w:val="3"/>
          </w:tcPr>
          <w:p>
            <w:pPr>
              <w:jc w:val="right"/>
              <w:ind w:right="36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3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33,597</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16,748</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42,560</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191"/>
        </w:trPr>
        <w:tc>
          <w:tcPr>
            <w:tcW w:w="6180" w:type="dxa"/>
            <w:vAlign w:val="bottom"/>
            <w:gridSpan w:val="2"/>
          </w:tcPr>
          <w:p>
            <w:pPr>
              <w:ind w:left="140"/>
              <w:spacing w:after="0"/>
              <w:rPr>
                <w:sz w:val="20"/>
                <w:szCs w:val="20"/>
                <w:color w:val="auto"/>
              </w:rPr>
            </w:pPr>
            <w:r>
              <w:rPr>
                <w:rFonts w:ascii="Arial" w:cs="Arial" w:eastAsia="Arial" w:hAnsi="Arial"/>
                <w:sz w:val="14"/>
                <w:szCs w:val="14"/>
                <w:color w:val="auto"/>
              </w:rPr>
              <w:t>Less: Net income attributable to non-controlling interests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6,772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4,512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8,590</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22"/>
        </w:trPr>
        <w:tc>
          <w:tcPr>
            <w:tcW w:w="618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stockholders, basic</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12,236</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33,970</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8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Less: Dilutive effect arising from stock-based awards by ACM Shanghai</w:t>
            </w:r>
          </w:p>
        </w:tc>
        <w:tc>
          <w:tcPr>
            <w:tcW w:w="2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(303)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(230)</w:t>
            </w:r>
          </w:p>
        </w:tc>
        <w:tc>
          <w:tcPr>
            <w:tcW w:w="26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(395)</w:t>
            </w:r>
          </w:p>
        </w:tc>
        <w:tc>
          <w:tcPr>
            <w:tcW w:w="30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2"/>
        </w:trPr>
        <w:tc>
          <w:tcPr>
            <w:tcW w:w="618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stockholders, diluted</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26,522</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12,006</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33,575</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basic</w:t>
            </w: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59,898,149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59,177,643</w:t>
            </w: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59,817,903</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59,003,484</w:t>
            </w:r>
          </w:p>
        </w:tc>
        <w:tc>
          <w:tcPr>
            <w:tcW w:w="0" w:type="dxa"/>
            <w:vAlign w:val="bottom"/>
          </w:tcPr>
          <w:p>
            <w:pPr>
              <w:spacing w:after="0"/>
              <w:rPr>
                <w:sz w:val="1"/>
                <w:szCs w:val="1"/>
                <w:color w:val="auto"/>
              </w:rPr>
            </w:pPr>
          </w:p>
        </w:tc>
      </w:tr>
      <w:tr>
        <w:trPr>
          <w:trHeight w:val="207"/>
        </w:trPr>
        <w:tc>
          <w:tcPr>
            <w:tcW w:w="6180" w:type="dxa"/>
            <w:vAlign w:val="bottom"/>
            <w:gridSpan w:val="2"/>
          </w:tcPr>
          <w:p>
            <w:pPr>
              <w:ind w:left="140"/>
              <w:spacing w:after="0"/>
              <w:rPr>
                <w:sz w:val="20"/>
                <w:szCs w:val="20"/>
                <w:color w:val="auto"/>
              </w:rPr>
            </w:pPr>
            <w:r>
              <w:rPr>
                <w:rFonts w:ascii="Arial" w:cs="Arial" w:eastAsia="Arial" w:hAnsi="Arial"/>
                <w:sz w:val="14"/>
                <w:szCs w:val="14"/>
                <w:color w:val="auto"/>
              </w:rPr>
              <w:t>Effect of dilutive 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5,031,489</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6,301,034</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5,150,997</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6,769,489</w:t>
            </w:r>
          </w:p>
        </w:tc>
        <w:tc>
          <w:tcPr>
            <w:tcW w:w="0" w:type="dxa"/>
            <w:vAlign w:val="bottom"/>
          </w:tcPr>
          <w:p>
            <w:pPr>
              <w:spacing w:after="0"/>
              <w:rPr>
                <w:sz w:val="1"/>
                <w:szCs w:val="1"/>
                <w:color w:val="auto"/>
              </w:rPr>
            </w:pPr>
          </w:p>
        </w:tc>
      </w:tr>
      <w:tr>
        <w:trPr>
          <w:trHeight w:val="233"/>
        </w:trPr>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Weighted average shares outstanding, diluted</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64,929,638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65,478,677</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64,968,900</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65,772,973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per share of common stock:</w:t>
            </w: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18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0.45</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0.21</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0.57</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ACM Research has been authorized to issue Class A and Class B common stock since redomesticating in Delaware in November 2016. The two classes of common stock are substantially identical in all material respects, except for voting rights. Since ACM Research did not declare any cash dividends during the three and six months ended June 30, 2023 or 2022, the net income per share of common stock attributable to each class is the same under the “two-class” method. As such, the two classes of common stock have been presented on a combined basis in the condensed consolidated statements of operations and comprehensive income (loss) and in the above computation of net income per share of common stock.</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Diluted net income per share of common stock reflects the potential dilution from securities, including stock options and issued warrants, that could share in ACM Research’s earnings. Certain potential dilutive securities were excluded from the net income per share calculation because the impact would be anti-dilutive. ACM Research’s potential dilutive securities consist of 302,561 and 394,756 stock options for the three and six months ended June 30, 2023 and 146,894 and 230,095 stock options for the three and six months ended June 30, 2022.</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Concentration of Credit Risk</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 potentially subject to concentrations of credit risks in its accounts receivable and revenue. For the three months ended June 30, 2023 and 2022, three customers accounted for 52.1% and four customers accounted for 59.7% of revenue, respectively. For the six months ended June 30, 2023 and 2022, one customer accounted for 17.5% and four customers accounted for 55% of revenue,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2023 and December 31, 2022, three customers accounted for 40.3% and two customers accounted for 42.6%, respectively, of the Company’s accounts receivables. The Company believes that the receivable balances from these largest customers do not represent a significant credit risk based on past collection experience.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Recently Adopted Accounting Pronouncements</w:t>
      </w:r>
    </w:p>
    <w:p>
      <w:pPr>
        <w:spacing w:after="0" w:line="179"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 xml:space="preserve">In June 2016, the Financial Accounting Standards Board, or FASB, issued Accounting Standards Update, or ASU, 2016-13, </w:t>
      </w:r>
      <w:r>
        <w:rPr>
          <w:rFonts w:ascii="Arial" w:cs="Arial" w:eastAsia="Arial" w:hAnsi="Arial"/>
          <w:sz w:val="12"/>
          <w:szCs w:val="12"/>
          <w:i w:val="1"/>
          <w:iCs w:val="1"/>
          <w:color w:val="auto"/>
        </w:rPr>
        <w:t>Financial Instruments-Credit Losses (Topic 326): Measurement of Credit</w:t>
      </w:r>
      <w:r>
        <w:rPr>
          <w:rFonts w:ascii="Arial" w:cs="Arial" w:eastAsia="Arial" w:hAnsi="Arial"/>
          <w:sz w:val="12"/>
          <w:szCs w:val="12"/>
          <w:color w:val="auto"/>
        </w:rPr>
        <w:t xml:space="preserve"> </w:t>
      </w:r>
      <w:r>
        <w:rPr>
          <w:rFonts w:ascii="Arial" w:cs="Arial" w:eastAsia="Arial" w:hAnsi="Arial"/>
          <w:sz w:val="12"/>
          <w:szCs w:val="12"/>
          <w:i w:val="1"/>
          <w:iCs w:val="1"/>
          <w:color w:val="auto"/>
        </w:rPr>
        <w:t>Losses on Financial Instruments</w:t>
      </w:r>
      <w:r>
        <w:rPr>
          <w:rFonts w:ascii="Arial" w:cs="Arial" w:eastAsia="Arial" w:hAnsi="Arial"/>
          <w:sz w:val="12"/>
          <w:szCs w:val="12"/>
          <w:color w:val="auto"/>
        </w:rPr>
        <w:t>. ASU 2016-13 replaced the pre-existing incurred loss impairment methodology with a methodology that reflects expected credit losses and requires consideration of a</w:t>
      </w:r>
      <w:r>
        <w:rPr>
          <w:rFonts w:ascii="Arial" w:cs="Arial" w:eastAsia="Arial" w:hAnsi="Arial"/>
          <w:sz w:val="12"/>
          <w:szCs w:val="12"/>
          <w:i w:val="1"/>
          <w:iCs w:val="1"/>
          <w:color w:val="auto"/>
        </w:rPr>
        <w:t xml:space="preserve"> </w:t>
      </w:r>
      <w:r>
        <w:rPr>
          <w:rFonts w:ascii="Arial" w:cs="Arial" w:eastAsia="Arial" w:hAnsi="Arial"/>
          <w:sz w:val="12"/>
          <w:szCs w:val="12"/>
          <w:color w:val="auto"/>
        </w:rPr>
        <w:t>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but the effective date is changed by ASU 2019-10 below.</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In November 2019, the FASB issued ASU 2019-10,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 </w:t>
      </w:r>
      <w:r>
        <w:rPr>
          <w:rFonts w:ascii="Arial" w:cs="Arial" w:eastAsia="Arial" w:hAnsi="Arial"/>
          <w:sz w:val="14"/>
          <w:szCs w:val="14"/>
          <w:i w:val="1"/>
          <w:iCs w:val="1"/>
          <w:color w:val="auto"/>
        </w:rPr>
        <w:t>Credit Losses (Topic 326), Derivatives and Hedging (Topic 815), and Leases (Topic 842): Effective Dates.</w:t>
      </w:r>
      <w:r>
        <w:rPr>
          <w:rFonts w:ascii="Arial" w:cs="Arial" w:eastAsia="Arial" w:hAnsi="Arial"/>
          <w:sz w:val="14"/>
          <w:szCs w:val="14"/>
          <w:color w:val="auto"/>
        </w:rPr>
        <w:t xml:space="preserve"> In advance of the issuance of ASU 2019-10, the Company adopted ASU 2017-12, </w:t>
      </w:r>
      <w:r>
        <w:rPr>
          <w:rFonts w:ascii="Arial" w:cs="Arial" w:eastAsia="Arial" w:hAnsi="Arial"/>
          <w:sz w:val="14"/>
          <w:szCs w:val="14"/>
          <w:i w:val="1"/>
          <w:iCs w:val="1"/>
          <w:color w:val="auto"/>
        </w:rPr>
        <w:t>Derivatives and Hedging (Topic 815)</w:t>
      </w:r>
      <w:r>
        <w:rPr>
          <w:rFonts w:ascii="Arial" w:cs="Arial" w:eastAsia="Arial" w:hAnsi="Arial"/>
          <w:sz w:val="14"/>
          <w:szCs w:val="14"/>
          <w:color w:val="auto"/>
        </w:rPr>
        <w:t xml:space="preserve"> and ASU 2016-02, </w:t>
      </w:r>
      <w:r>
        <w:rPr>
          <w:rFonts w:ascii="Arial" w:cs="Arial" w:eastAsia="Arial" w:hAnsi="Arial"/>
          <w:sz w:val="14"/>
          <w:szCs w:val="14"/>
          <w:i w:val="1"/>
          <w:iCs w:val="1"/>
          <w:color w:val="auto"/>
        </w:rPr>
        <w:t>Leases (Topic 842) since January 1, 2019.</w:t>
      </w:r>
      <w:r>
        <w:rPr>
          <w:rFonts w:ascii="Arial" w:cs="Arial" w:eastAsia="Arial" w:hAnsi="Arial"/>
          <w:sz w:val="14"/>
          <w:szCs w:val="14"/>
          <w:color w:val="auto"/>
        </w:rPr>
        <w:t xml:space="preserve"> ASU 2019-10 defers the effective date of ASU 2016-13 for public filers that are considered small reporting companies (“SRC”) as defined by the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has adopted amendments in ASU 2016-13 for the year beginning January 1, 2023. Adoption of the standard requires using a modified retrospective approach through a cumulative-effect adjustment to retained earnings as of the effective date to align existing credit loss methodology with the new standard. Please refer to change in accounting principle (Note 2) for details.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 Accounting Standards Not Yet Adopted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June 2022, the FASB issued an accounting standard update which clarifies how the fair values of equity securities subject to contractual sale restrictions is determined (Topic 820). The amendment clarifies that a contractual sale restriction should not be considered in measuring fair value. It also requires certain qualitative and quantitative disclosures related to equity securities subject to contractual sale restrictions. This authoritative guidance will be effective for us in the first quarter of January 1, 2024, with early adoption permitted. We are currently evaluating the effect of this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 FROM CONTRACTS WITH CUSTOMERS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Company assesses revenues based upon the nature or type of goods or services it provides and the geographic location of the related businesses. The following tables present disaggregated revenue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540" w:type="dxa"/>
            <w:vAlign w:val="bottom"/>
            <w:gridSpan w:val="5"/>
          </w:tcPr>
          <w:p>
            <w:pPr>
              <w:jc w:val="right"/>
              <w:ind w:right="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Single wafer cleaning, Tahoe and semi-critical cleaning equipment</w:t>
            </w: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112,528</w:t>
            </w:r>
          </w:p>
        </w:tc>
        <w:tc>
          <w:tcPr>
            <w:tcW w:w="960" w:type="dxa"/>
            <w:vAlign w:val="bottom"/>
            <w:tcBorders>
              <w:bottom w:val="single" w:sz="8" w:color="CCEEFF"/>
            </w:tcBorders>
            <w:gridSpan w:val="2"/>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72,583</w:t>
            </w:r>
          </w:p>
        </w:tc>
        <w:tc>
          <w:tcPr>
            <w:tcW w:w="380" w:type="dxa"/>
            <w:vAlign w:val="bottom"/>
            <w:tcBorders>
              <w:bottom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149,142</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98,616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ECP (front-end and packaging), furnace and other technologies</w:t>
            </w:r>
          </w:p>
        </w:tc>
        <w:tc>
          <w:tcPr>
            <w:tcW w:w="9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19,117</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45,715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32,748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Advanced packaging (excluding ECP), services &amp; spares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12,932</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11,312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23,976</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By Product Category</w:t>
            </w:r>
          </w:p>
        </w:tc>
        <w:tc>
          <w:tcPr>
            <w:tcW w:w="960" w:type="dxa"/>
            <w:vAlign w:val="bottom"/>
            <w:tcBorders>
              <w:top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144,577</w:t>
            </w: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104,395</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218,833</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146,581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Wet-cleaning and other front-end processing tools</w:t>
            </w: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122,415</w:t>
            </w:r>
          </w:p>
        </w:tc>
        <w:tc>
          <w:tcPr>
            <w:tcW w:w="960" w:type="dxa"/>
            <w:vAlign w:val="bottom"/>
            <w:gridSpan w:val="2"/>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79,553</w:t>
            </w:r>
          </w:p>
        </w:tc>
        <w:tc>
          <w:tcPr>
            <w:tcW w:w="3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178,797</w:t>
            </w:r>
          </w:p>
        </w:tc>
        <w:tc>
          <w:tcPr>
            <w:tcW w:w="20" w:type="dxa"/>
            <w:vAlign w:val="bottom"/>
          </w:tcPr>
          <w:p>
            <w:pPr>
              <w:spacing w:after="0"/>
              <w:rPr>
                <w:sz w:val="16"/>
                <w:szCs w:val="16"/>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111,254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Advanced packaging, other processing tools, services and spares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22,162</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24,842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40,036</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Front-end and Back-End</w:t>
            </w:r>
          </w:p>
        </w:tc>
        <w:tc>
          <w:tcPr>
            <w:tcW w:w="960" w:type="dxa"/>
            <w:vAlign w:val="bottom"/>
            <w:tcBorders>
              <w:top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144,577</w:t>
            </w: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104,395</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218,833</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146,581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80" w:type="dxa"/>
            <w:vAlign w:val="bottom"/>
          </w:tcPr>
          <w:p>
            <w:pPr>
              <w:spacing w:after="0"/>
              <w:rPr>
                <w:sz w:val="24"/>
                <w:szCs w:val="24"/>
                <w:color w:val="auto"/>
              </w:rPr>
            </w:pPr>
          </w:p>
        </w:tc>
        <w:tc>
          <w:tcPr>
            <w:tcW w:w="2540" w:type="dxa"/>
            <w:vAlign w:val="bottom"/>
            <w:gridSpan w:val="5"/>
          </w:tcPr>
          <w:p>
            <w:pPr>
              <w:jc w:val="right"/>
              <w:ind w:right="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Mainland China</w:t>
            </w: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134,767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100,275</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207,226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142,405</w:t>
            </w:r>
          </w:p>
        </w:tc>
        <w:tc>
          <w:tcPr>
            <w:tcW w:w="22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Other Regions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4,176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144,577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104,395</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218,833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146,581</w:t>
            </w:r>
          </w:p>
        </w:tc>
        <w:tc>
          <w:tcPr>
            <w:tcW w:w="2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Below are the accounts receivables and contract liabilities balances as of:</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200,745</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182,936</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Advances from customers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195,485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153,773</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5,050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22"/>
        </w:trPr>
        <w:tc>
          <w:tcPr>
            <w:tcW w:w="50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six months ended June 30, 2023, advances from customers increased by $41.7 million, due to an increase of payments made by customers for first tools under evaluation, and an increase in customer pre-payments for tools prior to delivery.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20"/>
                <w:szCs w:val="20"/>
                <w:color w:val="auto"/>
              </w:rPr>
            </w:pPr>
            <w:r>
              <w:rPr>
                <w:rFonts w:ascii="Arial" w:cs="Arial" w:eastAsia="Arial" w:hAnsi="Arial"/>
                <w:sz w:val="14"/>
                <w:szCs w:val="14"/>
                <w:b w:val="1"/>
                <w:bCs w:val="1"/>
                <w:color w:val="auto"/>
              </w:rPr>
              <w:t>NOTE 4 – ACCOUNTS RECEIVABLE</w:t>
            </w:r>
          </w:p>
        </w:tc>
        <w:tc>
          <w:tcPr>
            <w:tcW w:w="2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5320" w:type="dxa"/>
            <w:vAlign w:val="bottom"/>
          </w:tcPr>
          <w:p>
            <w:pPr>
              <w:spacing w:after="0"/>
              <w:rPr>
                <w:sz w:val="20"/>
                <w:szCs w:val="20"/>
                <w:color w:val="auto"/>
              </w:rPr>
            </w:pPr>
            <w:r>
              <w:rPr>
                <w:rFonts w:ascii="Arial" w:cs="Arial" w:eastAsia="Arial" w:hAnsi="Arial"/>
                <w:sz w:val="14"/>
                <w:szCs w:val="14"/>
                <w:color w:val="auto"/>
                <w:w w:val="95"/>
              </w:rPr>
              <w:t>At June 30, 2023 and December 31, 2022, accounts receivable consisted of the following:</w:t>
            </w:r>
          </w:p>
        </w:tc>
        <w:tc>
          <w:tcPr>
            <w:tcW w:w="2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8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53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3860" w:type="dxa"/>
            <w:vAlign w:val="bottom"/>
            <w:tcBorders>
              <w:bottom w:val="single" w:sz="8" w:color="CCEEFF"/>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203,327</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182,936</w:t>
            </w:r>
          </w:p>
        </w:tc>
        <w:tc>
          <w:tcPr>
            <w:tcW w:w="0" w:type="dxa"/>
            <w:vAlign w:val="bottom"/>
          </w:tcPr>
          <w:p>
            <w:pPr>
              <w:spacing w:after="0"/>
              <w:rPr>
                <w:sz w:val="1"/>
                <w:szCs w:val="1"/>
                <w:color w:val="auto"/>
              </w:rPr>
            </w:pPr>
          </w:p>
        </w:tc>
      </w:tr>
      <w:tr>
        <w:trPr>
          <w:trHeight w:val="191"/>
        </w:trPr>
        <w:tc>
          <w:tcPr>
            <w:tcW w:w="5320" w:type="dxa"/>
            <w:vAlign w:val="bottom"/>
          </w:tcPr>
          <w:p>
            <w:pPr>
              <w:ind w:left="20"/>
              <w:spacing w:after="0"/>
              <w:rPr>
                <w:sz w:val="20"/>
                <w:szCs w:val="20"/>
                <w:color w:val="auto"/>
              </w:rPr>
            </w:pPr>
            <w:r>
              <w:rPr>
                <w:rFonts w:ascii="Arial" w:cs="Arial" w:eastAsia="Arial" w:hAnsi="Arial"/>
                <w:sz w:val="14"/>
                <w:szCs w:val="14"/>
                <w:color w:val="auto"/>
              </w:rPr>
              <w:t>Less: Allowance for doubtful accounts</w:t>
            </w:r>
          </w:p>
        </w:tc>
        <w:tc>
          <w:tcPr>
            <w:tcW w:w="2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60" w:type="dxa"/>
            <w:vAlign w:val="bottom"/>
            <w:tcBorders>
              <w:bottom w:val="single" w:sz="8" w:color="CCEEFF"/>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200,745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2329"/>
              <w:spacing w:after="0"/>
              <w:rPr>
                <w:sz w:val="20"/>
                <w:szCs w:val="20"/>
                <w:color w:val="auto"/>
              </w:rPr>
            </w:pPr>
            <w:r>
              <w:rPr>
                <w:rFonts w:ascii="Arial" w:cs="Arial" w:eastAsia="Arial" w:hAnsi="Arial"/>
                <w:sz w:val="14"/>
                <w:szCs w:val="14"/>
                <w:color w:val="auto"/>
              </w:rPr>
              <w:t>21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3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32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69"/>
              <w:spacing w:after="0"/>
              <w:rPr>
                <w:sz w:val="20"/>
                <w:szCs w:val="20"/>
                <w:color w:val="auto"/>
              </w:rPr>
            </w:pPr>
            <w:r>
              <w:rPr>
                <w:rFonts w:ascii="Arial" w:cs="Arial" w:eastAsia="Arial" w:hAnsi="Arial"/>
                <w:sz w:val="14"/>
                <w:szCs w:val="14"/>
                <w:b w:val="1"/>
                <w:bCs w:val="1"/>
                <w:color w:val="auto"/>
              </w:rPr>
              <w:t>June 30,</w:t>
            </w:r>
          </w:p>
        </w:tc>
      </w:tr>
      <w:tr>
        <w:trPr>
          <w:trHeight w:val="184"/>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69"/>
              <w:spacing w:after="0"/>
              <w:rPr>
                <w:sz w:val="20"/>
                <w:szCs w:val="20"/>
                <w:color w:val="auto"/>
              </w:rPr>
            </w:pPr>
            <w:r>
              <w:rPr>
                <w:rFonts w:ascii="Arial" w:cs="Arial" w:eastAsia="Arial" w:hAnsi="Arial"/>
                <w:sz w:val="14"/>
                <w:szCs w:val="14"/>
                <w:b w:val="1"/>
                <w:bCs w:val="1"/>
                <w:color w:val="auto"/>
              </w:rPr>
              <w:t>2023</w:t>
            </w:r>
          </w:p>
        </w:tc>
      </w:tr>
      <w:tr>
        <w:trPr>
          <w:trHeight w:val="22"/>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Cumulative effect of change in accounting principle under ASC 2016-13, before tax, as of January 1, 2023</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(2,099)</w:t>
            </w:r>
          </w:p>
        </w:tc>
      </w:tr>
      <w:tr>
        <w:trPr>
          <w:trHeight w:val="191"/>
        </w:trPr>
        <w:tc>
          <w:tcPr>
            <w:tcW w:w="824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22"/>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 before tax, as of June 30, 2023</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$17.8 million increase in accounts receivable for the first six months of 2023 corresponds to a $72.3 million increase in revenue as compared to the same period in 2022.</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reviews accounts receivable on a periodic basis and makes general allowances based on an aging profile of its outstanding balances, and specific allowances when there is doubt as to the collectability of individual balances by considering factors such as the age of the balance, a customer payment history and credit worthiness, and current economic trends. As a result of the Company's adoption of ASU 2016-13 as of January 1, 2023 (Note 2), the Company recorded an allowance for doubtful accounts as of June 30, 2023, as compared to no allowance for doubtful account as of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20"/>
                <w:szCs w:val="20"/>
                <w:color w:val="auto"/>
              </w:rPr>
            </w:pPr>
            <w:r>
              <w:rPr>
                <w:rFonts w:ascii="Arial" w:cs="Arial" w:eastAsia="Arial" w:hAnsi="Arial"/>
                <w:sz w:val="14"/>
                <w:szCs w:val="14"/>
                <w:b w:val="1"/>
                <w:bCs w:val="1"/>
                <w:color w:val="auto"/>
              </w:rPr>
              <w:t>NOTE 5 – INVENTORIES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1"/>
        </w:trPr>
        <w:tc>
          <w:tcPr>
            <w:tcW w:w="8080" w:type="dxa"/>
            <w:vAlign w:val="bottom"/>
          </w:tcPr>
          <w:p>
            <w:pPr>
              <w:spacing w:after="0"/>
              <w:rPr>
                <w:sz w:val="20"/>
                <w:szCs w:val="20"/>
                <w:color w:val="auto"/>
              </w:rPr>
            </w:pPr>
            <w:r>
              <w:rPr>
                <w:rFonts w:ascii="Arial" w:cs="Arial" w:eastAsia="Arial" w:hAnsi="Arial"/>
                <w:sz w:val="14"/>
                <w:szCs w:val="14"/>
                <w:color w:val="auto"/>
              </w:rPr>
              <w:t>At June 30, 2023 and December 31, 2022, inventories consisted of the following:</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8"/>
        </w:trPr>
        <w:tc>
          <w:tcPr>
            <w:tcW w:w="80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08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080" w:type="dxa"/>
            <w:vAlign w:val="bottom"/>
            <w:tcBorders>
              <w:bottom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192,336</w:t>
            </w:r>
          </w:p>
        </w:tc>
        <w:tc>
          <w:tcPr>
            <w:tcW w:w="32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167,135</w:t>
            </w:r>
          </w:p>
        </w:tc>
      </w:tr>
      <w:tr>
        <w:trPr>
          <w:trHeight w:val="191"/>
        </w:trPr>
        <w:tc>
          <w:tcPr>
            <w:tcW w:w="808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109,830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79,126</w:t>
            </w:r>
          </w:p>
        </w:tc>
      </w:tr>
      <w:tr>
        <w:trPr>
          <w:trHeight w:val="22"/>
        </w:trPr>
        <w:tc>
          <w:tcPr>
            <w:tcW w:w="8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168,928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146,911</w:t>
            </w:r>
          </w:p>
        </w:tc>
      </w:tr>
      <w:tr>
        <w:trPr>
          <w:trHeight w:val="203"/>
        </w:trPr>
        <w:tc>
          <w:tcPr>
            <w:tcW w:w="8080" w:type="dxa"/>
            <w:vAlign w:val="bottom"/>
          </w:tcPr>
          <w:p>
            <w:pPr>
              <w:ind w:left="20"/>
              <w:spacing w:after="0"/>
              <w:rPr>
                <w:sz w:val="20"/>
                <w:szCs w:val="20"/>
                <w:color w:val="auto"/>
              </w:rPr>
            </w:pPr>
            <w:r>
              <w:rPr>
                <w:rFonts w:ascii="Arial" w:cs="Arial" w:eastAsia="Arial" w:hAnsi="Arial"/>
                <w:sz w:val="14"/>
                <w:szCs w:val="14"/>
                <w:color w:val="auto"/>
              </w:rPr>
              <w:t>Total inventory</w:t>
            </w: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471,094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393,172</w:t>
            </w: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Inventories are stated at the lower of cost or net realizable value on a moving weighted average basis. At June 30, 2023 and December 31, 2022, the value of finished goods inventory of which were first-tools at customer physical locations for which customers were contractually obligated to take ownership upon acceptance totaled $119,683 and $123,169, respectively.</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$55.9 million increase in raw materials and work-in-process inventory at June 30, 2023 compared to December 31, 2022 was due to additional purchase of supplies to support a higher level of expected total shipments for the next several quarters, and to reduce the risk of supply chain delays to meet anticipated customer demand for the Company’s products. The $22.0 million increase in finished goods inventory at June 30, 2023 compared to December 31, 2022 reflects an increase in completed tools not yet shipped to the customer, and a higher value of first-tools under evaluation by existing or prospective customers, due to shipments made, net of customer acceptances during the period.</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products each require a certain degree of customization, and the substantial majority of the work-in-process inventory and finished goods inventory is built to meet a specific customer order for repeat shipment of first tool delivery. At the end of each period, the Company assesses the status of each item in work-in-process and finished goods and inventory. The Company recognizes a loss or impairment if in management’s judgement the inventory cannot be sold or used for production, if it has been damaged` or should be considered as obsolete, or if the net realizable value is lower than the cost.</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At the end of each period, the Company also assesses the status of its raw materials. The Company recognizes a loss or impairment for any raw materials aged more than three years, for which the Company determines it is not likely to be used in future production, or for which similar materials have not been used for more than six months. The three-year aging is based on the Company’s assessment of technology change, its requirement to maintain stock for warranty coverage, and other factors.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three months ended June 30, 2023 and 2022, inventory write-downs of $2,919 and $0 were recognized in cost of revenue, respectively. During the six months ended June 30, 2023 and 2022, inventory write-downs of $3,224 and $582 were recognized in cost of revenue, respectively. Write-downs were due to an internal assessment that certain inventory could not be sold or used for production due to damage or obsolescence.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20"/>
                <w:szCs w:val="20"/>
                <w:color w:val="auto"/>
              </w:rPr>
            </w:pPr>
            <w:r>
              <w:rPr>
                <w:rFonts w:ascii="Arial" w:cs="Arial" w:eastAsia="Arial" w:hAnsi="Arial"/>
                <w:sz w:val="14"/>
                <w:szCs w:val="14"/>
                <w:b w:val="1"/>
                <w:bCs w:val="1"/>
                <w:color w:val="auto"/>
              </w:rPr>
              <w:t>NOTE 6 – PROPERTY, PLANT AND EQUIPMENT, NET</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0"/>
        </w:trPr>
        <w:tc>
          <w:tcPr>
            <w:tcW w:w="8120" w:type="dxa"/>
            <w:vAlign w:val="bottom"/>
          </w:tcPr>
          <w:p>
            <w:pPr>
              <w:spacing w:after="0"/>
              <w:rPr>
                <w:sz w:val="20"/>
                <w:szCs w:val="20"/>
                <w:color w:val="auto"/>
              </w:rPr>
            </w:pPr>
            <w:r>
              <w:rPr>
                <w:rFonts w:ascii="Arial" w:cs="Arial" w:eastAsia="Arial" w:hAnsi="Arial"/>
                <w:sz w:val="14"/>
                <w:szCs w:val="14"/>
                <w:color w:val="auto"/>
              </w:rPr>
              <w:t>At June 30, 2023 and December 31, 2022, property, plant and equipment consisted of the following:</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8"/>
        </w:trPr>
        <w:tc>
          <w:tcPr>
            <w:tcW w:w="8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1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22"/>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Buildings and plants</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81,462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35,864</w:t>
            </w: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Manufacturing equipment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13,892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9,298</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3,691</w:t>
            </w: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Transportation equipment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Leasehold improvement</w:t>
            </w:r>
          </w:p>
        </w:tc>
        <w:tc>
          <w:tcPr>
            <w:tcW w:w="10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7,173</w:t>
            </w:r>
          </w:p>
        </w:tc>
      </w:tr>
      <w:tr>
        <w:trPr>
          <w:trHeight w:val="187"/>
        </w:trPr>
        <w:tc>
          <w:tcPr>
            <w:tcW w:w="8120" w:type="dxa"/>
            <w:vAlign w:val="bottom"/>
          </w:tcPr>
          <w:p>
            <w:pPr>
              <w:ind w:left="20"/>
              <w:spacing w:after="0"/>
              <w:rPr>
                <w:sz w:val="20"/>
                <w:szCs w:val="20"/>
                <w:color w:val="auto"/>
              </w:rPr>
            </w:pPr>
            <w:r>
              <w:rPr>
                <w:rFonts w:ascii="Arial" w:cs="Arial" w:eastAsia="Arial" w:hAnsi="Arial"/>
                <w:sz w:val="14"/>
                <w:szCs w:val="14"/>
                <w:color w:val="auto"/>
              </w:rPr>
              <w:t>Total cost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107,342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56,433</w:t>
            </w:r>
          </w:p>
        </w:tc>
      </w:tr>
      <w:tr>
        <w:trPr>
          <w:trHeight w:val="22"/>
        </w:trPr>
        <w:tc>
          <w:tcPr>
            <w:tcW w:w="8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Total accumulated depreciation and amortization</w:t>
            </w: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(13,100)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(10,047)</w:t>
            </w:r>
          </w:p>
        </w:tc>
      </w:tr>
      <w:tr>
        <w:trPr>
          <w:trHeight w:val="207"/>
        </w:trPr>
        <w:tc>
          <w:tcPr>
            <w:tcW w:w="812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64,771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36,489</w:t>
            </w:r>
          </w:p>
        </w:tc>
      </w:tr>
      <w:tr>
        <w:trPr>
          <w:trHeight w:val="228"/>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 net</w:t>
            </w:r>
          </w:p>
        </w:tc>
        <w:tc>
          <w:tcPr>
            <w:tcW w:w="106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159,013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82,875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Depreciation and amortization expense for the three months ended June 30, 2023 and 2022 was $2,241 and $1,342 respectively, and $3,955 and 2,555 for the six months ended June 30, 2023 and 2022, respectively. Buildings and plants represent Lingang housing property that was transferred to ACM Lingang in January 2022 at a value of $41,497, which includes the purchase price and accumulated interest, and with estimated useful lives of 30-years (Note 8) and which are pledged as security for loans from China Merchants Bank (Note 12), and facilities for the new headquarters of ACM Shanghai that were transferred to ACM Lingang at a fair value of $49,453 in February 2023 (Note 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20" w:type="dxa"/>
            <w:vAlign w:val="bottom"/>
          </w:tcPr>
          <w:p>
            <w:pPr>
              <w:spacing w:after="0"/>
              <w:rPr>
                <w:sz w:val="20"/>
                <w:szCs w:val="20"/>
                <w:color w:val="auto"/>
              </w:rPr>
            </w:pPr>
            <w:r>
              <w:rPr>
                <w:rFonts w:ascii="Arial" w:cs="Arial" w:eastAsia="Arial" w:hAnsi="Arial"/>
                <w:sz w:val="14"/>
                <w:szCs w:val="14"/>
                <w:color w:val="auto"/>
              </w:rPr>
              <w:t>Construction in progress primarily reflects costs incurred related to the construction of ACM Shanghai's Lingang facilities.</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40"/>
        </w:trPr>
        <w:tc>
          <w:tcPr>
            <w:tcW w:w="8120" w:type="dxa"/>
            <w:vAlign w:val="bottom"/>
          </w:tcPr>
          <w:p>
            <w:pPr>
              <w:spacing w:after="0"/>
              <w:rPr>
                <w:sz w:val="20"/>
                <w:szCs w:val="20"/>
                <w:color w:val="auto"/>
              </w:rPr>
            </w:pPr>
            <w:r>
              <w:rPr>
                <w:rFonts w:ascii="Arial" w:cs="Arial" w:eastAsia="Arial" w:hAnsi="Arial"/>
                <w:sz w:val="14"/>
                <w:szCs w:val="14"/>
                <w:b w:val="1"/>
                <w:bCs w:val="1"/>
                <w:color w:val="auto"/>
              </w:rPr>
              <w:t>NOTE 7 – LAND USE RIGHT, NET</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0"/>
        </w:trPr>
        <w:tc>
          <w:tcPr>
            <w:tcW w:w="8120" w:type="dxa"/>
            <w:vAlign w:val="bottom"/>
          </w:tcPr>
          <w:p>
            <w:pPr>
              <w:spacing w:after="0"/>
              <w:rPr>
                <w:sz w:val="20"/>
                <w:szCs w:val="20"/>
                <w:color w:val="auto"/>
              </w:rPr>
            </w:pPr>
            <w:r>
              <w:rPr>
                <w:rFonts w:ascii="Arial" w:cs="Arial" w:eastAsia="Arial" w:hAnsi="Arial"/>
                <w:sz w:val="14"/>
                <w:szCs w:val="14"/>
                <w:color w:val="auto"/>
              </w:rPr>
              <w:t>A summary of land use right is as follows: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8"/>
        </w:trPr>
        <w:tc>
          <w:tcPr>
            <w:tcW w:w="812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12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use right purchase amount</w:t>
            </w: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9,149</w:t>
            </w: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Less: accumulated amortization</w:t>
            </w:r>
          </w:p>
        </w:tc>
        <w:tc>
          <w:tcPr>
            <w:tcW w:w="1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(457)</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use right, net</w:t>
            </w: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2020, ACM Shanghai, through its wholly-owned subsidiary ACM Lingang, entered into an agreement for a 50-year land use right in the Lingang region of Shanghai. In July 2020, ACM Lingang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amortization for the three months ended June 30, 2023 and 2022 was $38 and $50, respectively, and for the six months ended June 30, 2023 and 2022 was $88 and $99, respectively.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20" w:type="dxa"/>
            <w:vAlign w:val="bottom"/>
          </w:tcPr>
          <w:p>
            <w:pPr>
              <w:jc w:val="center"/>
              <w:ind w:left="3089"/>
              <w:spacing w:after="0"/>
              <w:rPr>
                <w:sz w:val="20"/>
                <w:szCs w:val="20"/>
                <w:color w:val="auto"/>
              </w:rPr>
            </w:pPr>
            <w:r>
              <w:rPr>
                <w:rFonts w:ascii="Arial" w:cs="Arial" w:eastAsia="Arial" w:hAnsi="Arial"/>
                <w:sz w:val="14"/>
                <w:szCs w:val="14"/>
                <w:b w:val="1"/>
                <w:bCs w:val="1"/>
                <w:color w:val="auto"/>
              </w:rPr>
              <w:t>ACM RESEARCH, INC.</w:t>
            </w: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120" w:type="dxa"/>
            <w:vAlign w:val="bottom"/>
          </w:tcPr>
          <w:p>
            <w:pPr>
              <w:jc w:val="center"/>
              <w:ind w:left="3089"/>
              <w:spacing w:after="0"/>
              <w:rPr>
                <w:sz w:val="20"/>
                <w:szCs w:val="20"/>
                <w:color w:val="auto"/>
              </w:rPr>
            </w:pPr>
            <w:r>
              <w:rPr>
                <w:rFonts w:ascii="Arial" w:cs="Arial" w:eastAsia="Arial" w:hAnsi="Arial"/>
                <w:sz w:val="14"/>
                <w:szCs w:val="14"/>
                <w:b w:val="1"/>
                <w:bCs w:val="1"/>
                <w:color w:val="auto"/>
                <w:w w:val="89"/>
              </w:rPr>
              <w:t>Notes to the Condensed Consolidated Financial Statements</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20" w:type="dxa"/>
            <w:vAlign w:val="bottom"/>
          </w:tcPr>
          <w:p>
            <w:pPr>
              <w:jc w:val="center"/>
              <w:ind w:left="3089"/>
              <w:spacing w:after="0"/>
              <w:rPr>
                <w:sz w:val="20"/>
                <w:szCs w:val="20"/>
                <w:color w:val="auto"/>
              </w:rPr>
            </w:pPr>
            <w:r>
              <w:rPr>
                <w:rFonts w:ascii="Arial" w:cs="Arial" w:eastAsia="Arial" w:hAnsi="Arial"/>
                <w:sz w:val="14"/>
                <w:szCs w:val="14"/>
                <w:i w:val="1"/>
                <w:iCs w:val="1"/>
                <w:color w:val="auto"/>
                <w:w w:val="90"/>
              </w:rPr>
              <w:t>(In thousands, except share, percentage and per share data)</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8"/>
        </w:trPr>
        <w:tc>
          <w:tcPr>
            <w:tcW w:w="8120" w:type="dxa"/>
            <w:vAlign w:val="bottom"/>
          </w:tcPr>
          <w:p>
            <w:pPr>
              <w:spacing w:after="0"/>
              <w:rPr>
                <w:sz w:val="20"/>
                <w:szCs w:val="20"/>
                <w:color w:val="auto"/>
              </w:rPr>
            </w:pPr>
            <w:r>
              <w:rPr>
                <w:rFonts w:ascii="Arial" w:cs="Arial" w:eastAsia="Arial" w:hAnsi="Arial"/>
                <w:sz w:val="14"/>
                <w:szCs w:val="14"/>
                <w:color w:val="auto"/>
              </w:rPr>
              <w:t>The annual amortization of land use right for each of the next five years is as follows: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120" w:type="dxa"/>
            <w:vAlign w:val="bottom"/>
          </w:tcPr>
          <w:p>
            <w:pPr>
              <w:ind w:left="4100"/>
              <w:spacing w:after="0"/>
              <w:rPr>
                <w:sz w:val="20"/>
                <w:szCs w:val="20"/>
                <w:color w:val="auto"/>
              </w:rPr>
            </w:pPr>
            <w:r>
              <w:rPr>
                <w:rFonts w:ascii="Arial" w:cs="Arial" w:eastAsia="Arial" w:hAnsi="Arial"/>
                <w:sz w:val="14"/>
                <w:szCs w:val="14"/>
                <w:b w:val="1"/>
                <w:bCs w:val="1"/>
                <w:color w:val="auto"/>
              </w:rPr>
              <w:t>Year ending December 31,</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1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2024</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2026</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2027 and thereafter</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w:t>
            </w:r>
          </w:p>
        </w:tc>
        <w:tc>
          <w:tcPr>
            <w:tcW w:w="0" w:type="dxa"/>
            <w:vAlign w:val="bottom"/>
          </w:tcPr>
          <w:p>
            <w:pPr>
              <w:spacing w:after="0"/>
              <w:rPr>
                <w:sz w:val="1"/>
                <w:szCs w:val="1"/>
                <w:color w:val="auto"/>
              </w:rPr>
            </w:pPr>
          </w:p>
        </w:tc>
      </w:tr>
      <w:tr>
        <w:trPr>
          <w:trHeight w:val="208"/>
        </w:trPr>
        <w:tc>
          <w:tcPr>
            <w:tcW w:w="8120" w:type="dxa"/>
            <w:vAlign w:val="bottom"/>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b w:val="1"/>
                <w:bCs w:val="1"/>
                <w:color w:val="auto"/>
              </w:rPr>
              <w:t>NOTE 8 – OTHER LONG-TERM ASSETS</w:t>
            </w: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1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20" w:type="dxa"/>
            <w:vAlign w:val="bottom"/>
          </w:tcPr>
          <w:p>
            <w:pPr>
              <w:spacing w:after="0"/>
              <w:rPr>
                <w:sz w:val="20"/>
                <w:szCs w:val="20"/>
                <w:color w:val="auto"/>
              </w:rPr>
            </w:pPr>
            <w:r>
              <w:rPr>
                <w:rFonts w:ascii="Arial" w:cs="Arial" w:eastAsia="Arial" w:hAnsi="Arial"/>
                <w:sz w:val="14"/>
                <w:szCs w:val="14"/>
                <w:color w:val="auto"/>
              </w:rPr>
              <w:t>At June 30, 2023 and December 31, 2022, other long-term assets consisted of the following:</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12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12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Prepayment for property, plant and equipment and other non-current assets</w:t>
            </w: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Prepayment for property - lease deposit</w:t>
            </w:r>
          </w:p>
        </w:tc>
        <w:tc>
          <w:tcPr>
            <w:tcW w:w="1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Security deposit for land use right</w:t>
            </w:r>
          </w:p>
        </w:tc>
        <w:tc>
          <w:tcPr>
            <w:tcW w:w="1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Prepayment for property - Zhangjiang New Building</w:t>
            </w:r>
          </w:p>
        </w:tc>
        <w:tc>
          <w:tcPr>
            <w:tcW w:w="1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47,251</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03"/>
        </w:trPr>
        <w:tc>
          <w:tcPr>
            <w:tcW w:w="8120" w:type="dxa"/>
            <w:vAlign w:val="bottom"/>
          </w:tcPr>
          <w:p>
            <w:pPr>
              <w:ind w:left="20"/>
              <w:spacing w:after="0"/>
              <w:rPr>
                <w:sz w:val="20"/>
                <w:szCs w:val="20"/>
                <w:color w:val="auto"/>
              </w:rPr>
            </w:pPr>
            <w:r>
              <w:rPr>
                <w:rFonts w:ascii="Arial" w:cs="Arial" w:eastAsia="Arial" w:hAnsi="Arial"/>
                <w:sz w:val="14"/>
                <w:szCs w:val="14"/>
                <w:color w:val="auto"/>
              </w:rPr>
              <w:t>Total other long-term assets</w:t>
            </w: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50,265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Prepayment for property - Zhangjiang New Building is for the new corporate headquarters of ACM Shanghai. Pursuant to contractual agreements, ownership of Zhangjiang New Building was transferred to ACM Lingang in February 2023 at a fair value of $49,453. Subsequent to the transfer of ownership, Prepayment for property - Zhangjiang New Building was re-classed to property, plant and equipment (Note 6).</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ind w:left="40"/>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 9 – SHORT-TERM BORROWINGS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61"/>
        </w:trPr>
        <w:tc>
          <w:tcPr>
            <w:tcW w:w="6880" w:type="dxa"/>
            <w:vAlign w:val="bottom"/>
            <w:gridSpan w:val="2"/>
          </w:tcPr>
          <w:p>
            <w:pPr>
              <w:ind w:left="40"/>
              <w:spacing w:after="0"/>
              <w:rPr>
                <w:sz w:val="20"/>
                <w:szCs w:val="20"/>
                <w:color w:val="auto"/>
              </w:rPr>
            </w:pPr>
            <w:r>
              <w:rPr>
                <w:rFonts w:ascii="Arial" w:cs="Arial" w:eastAsia="Arial" w:hAnsi="Arial"/>
                <w:sz w:val="14"/>
                <w:szCs w:val="14"/>
                <w:color w:val="auto"/>
              </w:rPr>
              <w:t>At June 30, 2023 and December 31, 2022, short-term borrowings consisted of the following:</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8"/>
        </w:trPr>
        <w:tc>
          <w:tcPr>
            <w:tcW w:w="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38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Line of credit up to RMB 150,000 from China Everbright Bank,</w:t>
            </w:r>
          </w:p>
        </w:tc>
        <w:tc>
          <w:tcPr>
            <w:tcW w:w="1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1)due on August 17, 2023 with an annual interest rate of 3.40%</w:t>
            </w:r>
          </w:p>
        </w:tc>
        <w:tc>
          <w:tcPr>
            <w:tcW w:w="2380" w:type="dxa"/>
            <w:vAlign w:val="bottom"/>
            <w:gridSpan w:val="2"/>
          </w:tcPr>
          <w:p>
            <w:pPr>
              <w:jc w:val="right"/>
              <w:ind w:right="94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8,304</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8,616</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2)due on September 1, 2023 with an annual interest rate of 3.60%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8,304</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8,616</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20"/>
              <w:spacing w:after="0"/>
              <w:rPr>
                <w:sz w:val="20"/>
                <w:szCs w:val="20"/>
                <w:color w:val="auto"/>
              </w:rPr>
            </w:pPr>
            <w:r>
              <w:rPr>
                <w:rFonts w:ascii="Arial" w:cs="Arial" w:eastAsia="Arial" w:hAnsi="Arial"/>
                <w:sz w:val="14"/>
                <w:szCs w:val="14"/>
                <w:color w:val="auto"/>
              </w:rPr>
              <w:t>3)due on December 16, 2023 with an annual interest rate of 3.00%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4,152</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Line of credit up to RMB 100,000 from Bank of Communications,</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1)due on August 11, 2023 with an annual interest rate of 3.60%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8,304</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8,616</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2)due on September 5,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20"/>
              <w:spacing w:after="0"/>
              <w:rPr>
                <w:sz w:val="20"/>
                <w:szCs w:val="20"/>
                <w:color w:val="auto"/>
              </w:rPr>
            </w:pPr>
            <w:r>
              <w:rPr>
                <w:rFonts w:ascii="Arial" w:cs="Arial" w:eastAsia="Arial" w:hAnsi="Arial"/>
                <w:sz w:val="14"/>
                <w:szCs w:val="14"/>
                <w:color w:val="auto"/>
              </w:rPr>
              <w:t>Line of credit up to RMB 40,000 from Bank of China,</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1)due on August 26, 2023 with an annual interest rate of 3.15%.</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20"/>
              <w:spacing w:after="0"/>
              <w:rPr>
                <w:sz w:val="20"/>
                <w:szCs w:val="20"/>
                <w:color w:val="auto"/>
              </w:rPr>
            </w:pPr>
            <w:r>
              <w:rPr>
                <w:rFonts w:ascii="Arial" w:cs="Arial" w:eastAsia="Arial" w:hAnsi="Arial"/>
                <w:sz w:val="14"/>
                <w:szCs w:val="14"/>
                <w:color w:val="auto"/>
              </w:rPr>
              <w:t>Line of credit up to RMB 100,000 from China Merchants Bank,</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1)due on July 21,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2)due on July 27, 2023 with an annual interest rate of 3.50%.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1,292</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3)due on August 1,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4)due on August 3, 2023 with an annual interest rate of 3.50%.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1,292</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5)due on August 7,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6)due on August 14, 2023 with an annual interest rate of 3.50%.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1,293</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7)due on August 15,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8)due on August 21, 2023 with an annual interest rate of 3.50%.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968</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1,005</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9)due on August 28,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10)due on September 13, 2023 with an annual interest rate of 3.50%.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1,292</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11)due on September 20, 2023 with an annual interest rate of 3.50%.</w:t>
            </w: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6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840" w:type="dxa"/>
            <w:vAlign w:val="bottom"/>
          </w:tcPr>
          <w:p>
            <w:pPr>
              <w:ind w:left="140"/>
              <w:spacing w:after="0"/>
              <w:rPr>
                <w:sz w:val="20"/>
                <w:szCs w:val="20"/>
                <w:color w:val="auto"/>
              </w:rPr>
            </w:pPr>
            <w:r>
              <w:rPr>
                <w:rFonts w:ascii="Arial" w:cs="Arial" w:eastAsia="Arial" w:hAnsi="Arial"/>
                <w:sz w:val="14"/>
                <w:szCs w:val="14"/>
                <w:color w:val="auto"/>
              </w:rPr>
              <w:t>12)due on September 29, 2023 with an annual interest rate of 3.50%.</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415</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431</w:t>
            </w:r>
          </w:p>
        </w:tc>
        <w:tc>
          <w:tcPr>
            <w:tcW w:w="6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53,976</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56,004</w:t>
            </w:r>
          </w:p>
        </w:tc>
        <w:tc>
          <w:tcPr>
            <w:tcW w:w="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6"/>
        </w:trPr>
        <w:tc>
          <w:tcPr>
            <w:tcW w:w="6880" w:type="dxa"/>
            <w:vAlign w:val="bottom"/>
            <w:gridSpan w:val="2"/>
          </w:tcPr>
          <w:p>
            <w:pPr>
              <w:jc w:val="right"/>
              <w:ind w:right="29"/>
              <w:spacing w:after="0"/>
              <w:rPr>
                <w:sz w:val="20"/>
                <w:szCs w:val="20"/>
                <w:color w:val="auto"/>
              </w:rPr>
            </w:pPr>
            <w:r>
              <w:rPr>
                <w:rFonts w:ascii="Arial" w:cs="Arial" w:eastAsia="Arial" w:hAnsi="Arial"/>
                <w:sz w:val="14"/>
                <w:szCs w:val="14"/>
                <w:color w:val="auto"/>
                <w:w w:val="90"/>
              </w:rPr>
              <w:t>or the three months ended June 30, 2023 and 2022, interest expense related to short-term borrowings amounted to $484</w:t>
            </w:r>
          </w:p>
        </w:tc>
        <w:tc>
          <w:tcPr>
            <w:tcW w:w="4440" w:type="dxa"/>
            <w:vAlign w:val="bottom"/>
            <w:gridSpan w:val="6"/>
          </w:tcPr>
          <w:p>
            <w:pPr>
              <w:ind w:left="100"/>
              <w:spacing w:after="0"/>
              <w:rPr>
                <w:sz w:val="20"/>
                <w:szCs w:val="20"/>
                <w:color w:val="auto"/>
              </w:rPr>
            </w:pPr>
            <w:r>
              <w:rPr>
                <w:rFonts w:ascii="Arial" w:cs="Arial" w:eastAsia="Arial" w:hAnsi="Arial"/>
                <w:sz w:val="14"/>
                <w:szCs w:val="14"/>
                <w:color w:val="auto"/>
                <w:w w:val="90"/>
              </w:rPr>
              <w:t>and $62, respectively, and for the six months ended June 30, 2023 and 2022,</w:t>
            </w:r>
          </w:p>
        </w:tc>
      </w:tr>
      <w:tr>
        <w:trPr>
          <w:trHeight w:val="180"/>
        </w:trPr>
        <w:tc>
          <w:tcPr>
            <w:tcW w:w="6880" w:type="dxa"/>
            <w:vAlign w:val="bottom"/>
            <w:gridSpan w:val="2"/>
          </w:tcPr>
          <w:p>
            <w:pPr>
              <w:ind w:left="40"/>
              <w:spacing w:after="0"/>
              <w:rPr>
                <w:sz w:val="20"/>
                <w:szCs w:val="20"/>
                <w:color w:val="auto"/>
              </w:rPr>
            </w:pPr>
            <w:r>
              <w:rPr>
                <w:rFonts w:ascii="Arial" w:cs="Arial" w:eastAsia="Arial" w:hAnsi="Arial"/>
                <w:sz w:val="14"/>
                <w:szCs w:val="14"/>
                <w:color w:val="auto"/>
              </w:rPr>
              <w:t>interest expense related to short-term borrowings amounted to $974 and $125, respectively.</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37"/>
        </w:trPr>
        <w:tc>
          <w:tcPr>
            <w:tcW w:w="6880" w:type="dxa"/>
            <w:vAlign w:val="bottom"/>
            <w:gridSpan w:val="2"/>
          </w:tcPr>
          <w:p>
            <w:pPr>
              <w:jc w:val="right"/>
              <w:ind w:right="1049"/>
              <w:spacing w:after="0"/>
              <w:rPr>
                <w:sz w:val="20"/>
                <w:szCs w:val="20"/>
                <w:color w:val="auto"/>
              </w:rPr>
            </w:pPr>
            <w:r>
              <w:rPr>
                <w:rFonts w:ascii="Arial" w:cs="Arial" w:eastAsia="Arial" w:hAnsi="Arial"/>
                <w:sz w:val="14"/>
                <w:szCs w:val="14"/>
                <w:color w:val="auto"/>
              </w:rPr>
              <w:t>25</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40" w:type="dxa"/>
            <w:vAlign w:val="bottom"/>
          </w:tcPr>
          <w:p>
            <w:pPr>
              <w:spacing w:after="0"/>
              <w:rPr>
                <w:sz w:val="7"/>
                <w:szCs w:val="7"/>
                <w:color w:val="auto"/>
              </w:rPr>
            </w:pPr>
          </w:p>
        </w:tc>
        <w:tc>
          <w:tcPr>
            <w:tcW w:w="68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20"/>
          </w:cols>
          <w:pgMar w:left="26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OTHER PAYABLES AND ACCRUED EXPENSES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other payables and accrued expenses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December</w:t>
            </w:r>
          </w:p>
        </w:tc>
      </w:tr>
      <w:tr>
        <w:trPr>
          <w:trHeight w:val="170"/>
        </w:trPr>
        <w:tc>
          <w:tcPr>
            <w:tcW w:w="1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500" w:type="dxa"/>
            <w:vAlign w:val="bottom"/>
          </w:tcPr>
          <w:p>
            <w:pPr>
              <w:jc w:val="right"/>
              <w:ind w:right="149"/>
              <w:spacing w:after="0"/>
              <w:rPr>
                <w:sz w:val="20"/>
                <w:szCs w:val="20"/>
                <w:color w:val="auto"/>
              </w:rPr>
            </w:pPr>
            <w:r>
              <w:rPr>
                <w:rFonts w:ascii="Arial" w:cs="Arial" w:eastAsia="Arial" w:hAnsi="Arial"/>
                <w:sz w:val="14"/>
                <w:szCs w:val="14"/>
                <w:b w:val="1"/>
                <w:bCs w:val="1"/>
                <w:color w:val="auto"/>
              </w:rPr>
              <w:t>31,</w:t>
            </w:r>
          </w:p>
        </w:tc>
      </w:tr>
      <w:tr>
        <w:trPr>
          <w:trHeight w:val="184"/>
        </w:trPr>
        <w:tc>
          <w:tcPr>
            <w:tcW w:w="190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b w:val="1"/>
                <w:bCs w:val="1"/>
                <w:color w:val="auto"/>
                <w:w w:val="96"/>
              </w:rPr>
              <w:t>2022</w:t>
            </w:r>
          </w:p>
        </w:tc>
      </w:tr>
      <w:tr>
        <w:trPr>
          <w:trHeight w:val="22"/>
        </w:trPr>
        <w:tc>
          <w:tcPr>
            <w:tcW w:w="1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4"/>
                <w:szCs w:val="14"/>
                <w:color w:val="auto"/>
              </w:rPr>
              <w:t>Accrued commissions</w:t>
            </w:r>
          </w:p>
        </w:tc>
        <w:tc>
          <w:tcPr>
            <w:tcW w:w="540" w:type="dxa"/>
            <w:vAlign w:val="bottom"/>
          </w:tcPr>
          <w:p>
            <w:pPr>
              <w:jc w:val="right"/>
              <w:spacing w:after="0"/>
              <w:rPr>
                <w:sz w:val="20"/>
                <w:szCs w:val="20"/>
                <w:color w:val="auto"/>
              </w:rPr>
            </w:pPr>
            <w:r>
              <w:rPr>
                <w:rFonts w:ascii="Arial" w:cs="Arial" w:eastAsia="Arial" w:hAnsi="Arial"/>
                <w:sz w:val="14"/>
                <w:szCs w:val="14"/>
                <w:color w:val="auto"/>
                <w:w w:val="88"/>
              </w:rPr>
              <w:t>$ 16,057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14,890</w:t>
            </w:r>
          </w:p>
        </w:tc>
      </w:tr>
      <w:tr>
        <w:trPr>
          <w:trHeight w:val="22"/>
        </w:trPr>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warranty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9,179</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8,780</w:t>
            </w:r>
          </w:p>
        </w:tc>
      </w:tr>
      <w:tr>
        <w:trPr>
          <w:trHeight w:val="191"/>
        </w:trPr>
        <w:tc>
          <w:tcPr>
            <w:tcW w:w="1900" w:type="dxa"/>
            <w:vAlign w:val="bottom"/>
          </w:tcPr>
          <w:p>
            <w:pPr>
              <w:ind w:left="20"/>
              <w:spacing w:after="0"/>
              <w:rPr>
                <w:sz w:val="20"/>
                <w:szCs w:val="20"/>
                <w:color w:val="auto"/>
              </w:rPr>
            </w:pPr>
            <w:r>
              <w:rPr>
                <w:rFonts w:ascii="Arial" w:cs="Arial" w:eastAsia="Arial" w:hAnsi="Arial"/>
                <w:sz w:val="14"/>
                <w:szCs w:val="14"/>
                <w:color w:val="auto"/>
              </w:rPr>
              <w:t>Accrued payroll</w:t>
            </w:r>
          </w:p>
        </w:tc>
        <w:tc>
          <w:tcPr>
            <w:tcW w:w="540" w:type="dxa"/>
            <w:vAlign w:val="bottom"/>
          </w:tcPr>
          <w:p>
            <w:pPr>
              <w:jc w:val="right"/>
              <w:spacing w:after="0"/>
              <w:rPr>
                <w:sz w:val="20"/>
                <w:szCs w:val="20"/>
                <w:color w:val="auto"/>
              </w:rPr>
            </w:pPr>
            <w:r>
              <w:rPr>
                <w:rFonts w:ascii="Arial" w:cs="Arial" w:eastAsia="Arial" w:hAnsi="Arial"/>
                <w:sz w:val="14"/>
                <w:szCs w:val="14"/>
                <w:color w:val="auto"/>
              </w:rPr>
              <w:t>8,736</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12,201</w:t>
            </w:r>
          </w:p>
        </w:tc>
      </w:tr>
      <w:tr>
        <w:trPr>
          <w:trHeight w:val="22"/>
        </w:trPr>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professional fees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91"/>
        </w:trPr>
        <w:tc>
          <w:tcPr>
            <w:tcW w:w="1900" w:type="dxa"/>
            <w:vAlign w:val="bottom"/>
          </w:tcPr>
          <w:p>
            <w:pPr>
              <w:ind w:left="20"/>
              <w:spacing w:after="0"/>
              <w:rPr>
                <w:sz w:val="20"/>
                <w:szCs w:val="20"/>
                <w:color w:val="auto"/>
              </w:rPr>
            </w:pPr>
            <w:r>
              <w:rPr>
                <w:rFonts w:ascii="Arial" w:cs="Arial" w:eastAsia="Arial" w:hAnsi="Arial"/>
                <w:sz w:val="14"/>
                <w:szCs w:val="14"/>
                <w:color w:val="auto"/>
              </w:rPr>
              <w:t>Accrued machine testing fees</w:t>
            </w:r>
          </w:p>
        </w:tc>
        <w:tc>
          <w:tcPr>
            <w:tcW w:w="540" w:type="dxa"/>
            <w:vAlign w:val="bottom"/>
          </w:tcPr>
          <w:p>
            <w:pPr>
              <w:jc w:val="right"/>
              <w:spacing w:after="0"/>
              <w:rPr>
                <w:sz w:val="20"/>
                <w:szCs w:val="20"/>
                <w:color w:val="auto"/>
              </w:rPr>
            </w:pPr>
            <w:r>
              <w:rPr>
                <w:rFonts w:ascii="Arial" w:cs="Arial" w:eastAsia="Arial" w:hAnsi="Arial"/>
                <w:sz w:val="14"/>
                <w:szCs w:val="14"/>
                <w:color w:val="auto"/>
              </w:rPr>
              <w:t>456</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22"/>
        </w:trPr>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machine sales fees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8,609</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5,874</w:t>
            </w:r>
          </w:p>
        </w:tc>
      </w:tr>
      <w:tr>
        <w:trPr>
          <w:trHeight w:val="180"/>
        </w:trPr>
        <w:tc>
          <w:tcPr>
            <w:tcW w:w="1900" w:type="dxa"/>
            <w:vAlign w:val="bottom"/>
          </w:tcPr>
          <w:p>
            <w:pPr>
              <w:ind w:left="20"/>
              <w:spacing w:after="0"/>
              <w:rPr>
                <w:sz w:val="20"/>
                <w:szCs w:val="20"/>
                <w:color w:val="auto"/>
              </w:rPr>
            </w:pPr>
            <w:r>
              <w:rPr>
                <w:rFonts w:ascii="Arial" w:cs="Arial" w:eastAsia="Arial" w:hAnsi="Arial"/>
                <w:sz w:val="14"/>
                <w:szCs w:val="14"/>
                <w:color w:val="auto"/>
              </w:rPr>
              <w:t>Accrued Lingang</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900" w:type="dxa"/>
            <w:vAlign w:val="bottom"/>
          </w:tcPr>
          <w:p>
            <w:pPr>
              <w:ind w:left="20"/>
              <w:spacing w:after="0"/>
              <w:rPr>
                <w:sz w:val="20"/>
                <w:szCs w:val="20"/>
                <w:color w:val="auto"/>
              </w:rPr>
            </w:pPr>
            <w:r>
              <w:rPr>
                <w:rFonts w:ascii="Arial" w:cs="Arial" w:eastAsia="Arial" w:hAnsi="Arial"/>
                <w:sz w:val="14"/>
                <w:szCs w:val="14"/>
                <w:color w:val="auto"/>
              </w:rPr>
              <w:t>construction fees</w:t>
            </w:r>
          </w:p>
        </w:tc>
        <w:tc>
          <w:tcPr>
            <w:tcW w:w="540" w:type="dxa"/>
            <w:vAlign w:val="bottom"/>
          </w:tcPr>
          <w:p>
            <w:pPr>
              <w:jc w:val="right"/>
              <w:spacing w:after="0"/>
              <w:rPr>
                <w:sz w:val="20"/>
                <w:szCs w:val="20"/>
                <w:color w:val="auto"/>
              </w:rPr>
            </w:pPr>
            <w:r>
              <w:rPr>
                <w:rFonts w:ascii="Arial" w:cs="Arial" w:eastAsia="Arial" w:hAnsi="Arial"/>
                <w:sz w:val="14"/>
                <w:szCs w:val="14"/>
                <w:color w:val="auto"/>
              </w:rPr>
              <w:t>11,444</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738</w:t>
            </w:r>
          </w:p>
        </w:tc>
      </w:tr>
      <w:tr>
        <w:trPr>
          <w:trHeight w:val="22"/>
        </w:trPr>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dividend payable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1900" w:type="dxa"/>
            <w:vAlign w:val="bottom"/>
          </w:tcPr>
          <w:p>
            <w:pPr>
              <w:ind w:left="20"/>
              <w:spacing w:after="0"/>
              <w:rPr>
                <w:sz w:val="20"/>
                <w:szCs w:val="20"/>
                <w:color w:val="auto"/>
              </w:rPr>
            </w:pPr>
            <w:r>
              <w:rPr>
                <w:rFonts w:ascii="Arial" w:cs="Arial" w:eastAsia="Arial" w:hAnsi="Arial"/>
                <w:sz w:val="14"/>
                <w:szCs w:val="14"/>
                <w:color w:val="auto"/>
              </w:rPr>
              <w:t>Others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7,779</w:t>
            </w:r>
          </w:p>
        </w:tc>
      </w:tr>
      <w:tr>
        <w:trPr>
          <w:trHeight w:val="208"/>
        </w:trPr>
        <w:tc>
          <w:tcPr>
            <w:tcW w:w="19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$ 59,997</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52,201</w:t>
            </w:r>
          </w:p>
        </w:tc>
      </w:tr>
      <w:tr>
        <w:trPr>
          <w:trHeight w:val="20"/>
        </w:trPr>
        <w:tc>
          <w:tcPr>
            <w:tcW w:w="1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LEASES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ectPr>
          <w:pgSz w:w="11900" w:h="16838" w:orient="portrait"/>
          <w:cols w:equalWidth="0" w:num="1">
            <w:col w:w="11280"/>
          </w:cols>
          <w:pgMar w:left="300" w:top="125" w:right="31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cost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Short-term lease cost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cost</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Supplemental cash flow information related to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2"/>
        </w:trPr>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1"/>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820" w:type="dxa"/>
            <w:vAlign w:val="bottom"/>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r>
      <w:tr>
        <w:trPr>
          <w:trHeight w:val="22"/>
        </w:trPr>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1"/>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710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1,740</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1,357</w:t>
            </w:r>
          </w:p>
        </w:tc>
        <w:tc>
          <w:tcPr>
            <w:tcW w:w="400" w:type="dxa"/>
            <w:vAlign w:val="bottom"/>
          </w:tcPr>
          <w:p>
            <w:pPr>
              <w:spacing w:after="0"/>
              <w:rPr>
                <w:sz w:val="15"/>
                <w:szCs w:val="15"/>
                <w:color w:val="auto"/>
              </w:rPr>
            </w:pPr>
          </w:p>
        </w:tc>
      </w:tr>
      <w:tr>
        <w:trPr>
          <w:trHeight w:val="212"/>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310</w:t>
            </w: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w:t>
            </w:r>
          </w:p>
        </w:tc>
        <w:tc>
          <w:tcPr>
            <w:tcW w:w="400" w:type="dxa"/>
            <w:vAlign w:val="bottom"/>
          </w:tcPr>
          <w:p>
            <w:pPr>
              <w:spacing w:after="0"/>
              <w:rPr>
                <w:sz w:val="18"/>
                <w:szCs w:val="18"/>
                <w:color w:val="auto"/>
              </w:rPr>
            </w:pPr>
          </w:p>
        </w:tc>
      </w:tr>
      <w:tr>
        <w:trPr>
          <w:trHeight w:val="22"/>
        </w:trPr>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1"/>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1,562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923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2,332</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1,745</w:t>
            </w:r>
          </w:p>
        </w:tc>
        <w:tc>
          <w:tcPr>
            <w:tcW w:w="400" w:type="dxa"/>
            <w:vAlign w:val="bottom"/>
          </w:tcPr>
          <w:p>
            <w:pPr>
              <w:spacing w:after="0"/>
              <w:rPr>
                <w:sz w:val="15"/>
                <w:szCs w:val="15"/>
                <w:color w:val="auto"/>
              </w:rPr>
            </w:pPr>
          </w:p>
        </w:tc>
      </w:tr>
      <w:tr>
        <w:trPr>
          <w:trHeight w:val="22"/>
        </w:trPr>
        <w:tc>
          <w:tcPr>
            <w:tcW w:w="600" w:type="dxa"/>
            <w:vAlign w:val="bottom"/>
          </w:tcPr>
          <w:p>
            <w:pPr>
              <w:spacing w:after="0" w:line="20" w:lineRule="exact"/>
              <w:rPr>
                <w:sz w:val="1"/>
                <w:szCs w:val="1"/>
                <w:color w:val="auto"/>
              </w:rPr>
            </w:pPr>
          </w:p>
        </w:tc>
        <w:tc>
          <w:tcPr>
            <w:tcW w:w="210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
        </w:trPr>
        <w:tc>
          <w:tcPr>
            <w:tcW w:w="600" w:type="dxa"/>
            <w:vAlign w:val="bottom"/>
          </w:tcPr>
          <w:p>
            <w:pPr>
              <w:spacing w:after="0" w:line="20" w:lineRule="exact"/>
              <w:rPr>
                <w:sz w:val="1"/>
                <w:szCs w:val="1"/>
                <w:color w:val="auto"/>
              </w:rPr>
            </w:pPr>
          </w:p>
        </w:tc>
        <w:tc>
          <w:tcPr>
            <w:tcW w:w="210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67"/>
        </w:trPr>
        <w:tc>
          <w:tcPr>
            <w:tcW w:w="29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22"/>
        </w:trPr>
        <w:tc>
          <w:tcPr>
            <w:tcW w:w="8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1"/>
        </w:trPr>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429"/>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-1104265</wp:posOffset>
            </wp:positionV>
            <wp:extent cx="594868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48680" cy="14160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-828040</wp:posOffset>
            </wp:positionV>
            <wp:extent cx="5948680" cy="154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8680" cy="15494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4480" w:space="0"/>
            <w:col w:w="68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4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Operating cash outflow from operating leases</w:t>
            </w:r>
          </w:p>
        </w:tc>
        <w:tc>
          <w:tcPr>
            <w:tcW w:w="560" w:type="dxa"/>
            <w:vAlign w:val="bottom"/>
            <w:shd w:val="clear" w:color="auto" w:fill="CFF0FC"/>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1,562</w:t>
            </w:r>
          </w:p>
        </w:tc>
        <w:tc>
          <w:tcPr>
            <w:tcW w:w="580" w:type="dxa"/>
            <w:vAlign w:val="bottom"/>
            <w:shd w:val="clear" w:color="auto" w:fill="CFF0FC"/>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923</w:t>
            </w:r>
          </w:p>
        </w:tc>
        <w:tc>
          <w:tcPr>
            <w:tcW w:w="5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2,332</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w:t>
            </w: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60" w:type="dxa"/>
            <w:vAlign w:val="bottom"/>
          </w:tcPr>
          <w:p>
            <w:pPr>
              <w:jc w:val="center"/>
              <w:ind w:left="3249"/>
              <w:spacing w:after="0"/>
              <w:rPr>
                <w:sz w:val="20"/>
                <w:szCs w:val="20"/>
                <w:color w:val="auto"/>
              </w:rPr>
            </w:pPr>
            <w:r>
              <w:rPr>
                <w:rFonts w:ascii="Arial" w:cs="Arial" w:eastAsia="Arial" w:hAnsi="Arial"/>
                <w:sz w:val="14"/>
                <w:szCs w:val="14"/>
                <w:b w:val="1"/>
                <w:bCs w:val="1"/>
                <w:color w:val="auto"/>
              </w:rPr>
              <w:t>ACM RESEARCH, INC.</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960" w:type="dxa"/>
            <w:vAlign w:val="bottom"/>
          </w:tcPr>
          <w:p>
            <w:pPr>
              <w:jc w:val="center"/>
              <w:ind w:left="3249"/>
              <w:spacing w:after="0"/>
              <w:rPr>
                <w:sz w:val="20"/>
                <w:szCs w:val="20"/>
                <w:color w:val="auto"/>
              </w:rPr>
            </w:pPr>
            <w:r>
              <w:rPr>
                <w:rFonts w:ascii="Arial" w:cs="Arial" w:eastAsia="Arial" w:hAnsi="Arial"/>
                <w:sz w:val="14"/>
                <w:szCs w:val="14"/>
                <w:b w:val="1"/>
                <w:bCs w:val="1"/>
                <w:color w:val="auto"/>
                <w:w w:val="89"/>
              </w:rPr>
              <w:t>Notes to the Condensed Consolidated Financial Statements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60" w:type="dxa"/>
            <w:vAlign w:val="bottom"/>
          </w:tcPr>
          <w:p>
            <w:pPr>
              <w:jc w:val="center"/>
              <w:ind w:left="3249"/>
              <w:spacing w:after="0"/>
              <w:rPr>
                <w:sz w:val="20"/>
                <w:szCs w:val="20"/>
                <w:color w:val="auto"/>
              </w:rPr>
            </w:pPr>
            <w:r>
              <w:rPr>
                <w:rFonts w:ascii="Arial" w:cs="Arial" w:eastAsia="Arial" w:hAnsi="Arial"/>
                <w:sz w:val="14"/>
                <w:szCs w:val="14"/>
                <w:i w:val="1"/>
                <w:iCs w:val="1"/>
                <w:color w:val="auto"/>
                <w:w w:val="90"/>
              </w:rPr>
              <w:t>(In thousands, except share, percentage and per share data)</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8"/>
        </w:trPr>
        <w:tc>
          <w:tcPr>
            <w:tcW w:w="7960" w:type="dxa"/>
            <w:vAlign w:val="bottom"/>
          </w:tcPr>
          <w:p>
            <w:pPr>
              <w:spacing w:after="0"/>
              <w:rPr>
                <w:sz w:val="20"/>
                <w:szCs w:val="20"/>
                <w:color w:val="auto"/>
              </w:rPr>
            </w:pPr>
            <w:r>
              <w:rPr>
                <w:rFonts w:ascii="Arial" w:cs="Arial" w:eastAsia="Arial" w:hAnsi="Arial"/>
                <w:sz w:val="14"/>
                <w:szCs w:val="14"/>
                <w:color w:val="auto"/>
              </w:rPr>
              <w:t>As of June 30, 2023, maturities of outstanding lease liabilities for all operating leases were as follows: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remainder of 2023</w:t>
            </w: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2027</w:t>
            </w:r>
          </w:p>
        </w:tc>
        <w:tc>
          <w:tcPr>
            <w:tcW w:w="1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207"/>
        </w:trPr>
        <w:tc>
          <w:tcPr>
            <w:tcW w:w="7960" w:type="dxa"/>
            <w:vAlign w:val="bottom"/>
          </w:tcPr>
          <w:p>
            <w:pPr>
              <w:ind w:left="20"/>
              <w:spacing w:after="0"/>
              <w:rPr>
                <w:sz w:val="20"/>
                <w:szCs w:val="20"/>
                <w:color w:val="auto"/>
              </w:rPr>
            </w:pPr>
            <w:r>
              <w:rPr>
                <w:rFonts w:ascii="Arial" w:cs="Arial" w:eastAsia="Arial" w:hAnsi="Arial"/>
                <w:sz w:val="14"/>
                <w:szCs w:val="14"/>
                <w:color w:val="auto"/>
              </w:rPr>
              <w:t>2028</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28"/>
        </w:trPr>
        <w:tc>
          <w:tcPr>
            <w:tcW w:w="7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lease payments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8,780</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60" w:type="dxa"/>
            <w:vAlign w:val="bottom"/>
          </w:tcPr>
          <w:p>
            <w:pPr>
              <w:ind w:left="20"/>
              <w:spacing w:after="0"/>
              <w:rPr>
                <w:sz w:val="20"/>
                <w:szCs w:val="20"/>
                <w:color w:val="auto"/>
              </w:rPr>
            </w:pPr>
            <w:r>
              <w:rPr>
                <w:rFonts w:ascii="Arial" w:cs="Arial" w:eastAsia="Arial" w:hAnsi="Arial"/>
                <w:sz w:val="14"/>
                <w:szCs w:val="14"/>
                <w:color w:val="auto"/>
              </w:rPr>
              <w:t>Less: Interest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28"/>
        </w:trPr>
        <w:tc>
          <w:tcPr>
            <w:tcW w:w="7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Present value of lease liabilities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7,809</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The weighted average remaining lease terms and discount rates for all operating leases were as follows:</w:t>
            </w: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4"/>
        </w:trPr>
        <w:tc>
          <w:tcPr>
            <w:tcW w:w="7960" w:type="dxa"/>
            <w:vAlign w:val="bottom"/>
          </w:tcPr>
          <w:p>
            <w:pPr>
              <w:spacing w:after="0"/>
              <w:rPr>
                <w:sz w:val="16"/>
                <w:szCs w:val="16"/>
                <w:color w:val="auto"/>
              </w:rPr>
            </w:pPr>
          </w:p>
        </w:tc>
        <w:tc>
          <w:tcPr>
            <w:tcW w:w="124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5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60" w:type="dxa"/>
            <w:vAlign w:val="bottom"/>
            <w:vMerge w:val="restart"/>
          </w:tcPr>
          <w:p>
            <w:pPr>
              <w:ind w:left="20"/>
              <w:spacing w:after="0"/>
              <w:rPr>
                <w:sz w:val="20"/>
                <w:szCs w:val="20"/>
                <w:color w:val="auto"/>
              </w:rPr>
            </w:pPr>
            <w:r>
              <w:rPr>
                <w:rFonts w:ascii="Arial" w:cs="Arial" w:eastAsia="Arial" w:hAnsi="Arial"/>
                <w:sz w:val="14"/>
                <w:szCs w:val="14"/>
                <w:color w:val="auto"/>
              </w:rPr>
              <w:t>Remaining lease term and discount rate:</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Weighted average remaining lease term (years)</w:t>
            </w:r>
          </w:p>
        </w:tc>
        <w:tc>
          <w:tcPr>
            <w:tcW w:w="1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color w:val="auto"/>
              </w:rPr>
              <w:t>3.77</w:t>
            </w: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1"/>
              </w:rPr>
              <w:t>3.94 %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4.25 %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7960" w:type="dxa"/>
            <w:vAlign w:val="bottom"/>
          </w:tcPr>
          <w:p>
            <w:pPr>
              <w:spacing w:after="0"/>
              <w:rPr>
                <w:sz w:val="20"/>
                <w:szCs w:val="20"/>
                <w:color w:val="auto"/>
              </w:rPr>
            </w:pPr>
            <w:r>
              <w:rPr>
                <w:rFonts w:ascii="Arial" w:cs="Arial" w:eastAsia="Arial" w:hAnsi="Arial"/>
                <w:sz w:val="14"/>
                <w:szCs w:val="14"/>
                <w:b w:val="1"/>
                <w:bCs w:val="1"/>
                <w:color w:val="auto"/>
              </w:rPr>
              <w:t>NOTE 12 – LONG-TERM BORROWINGS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960" w:type="dxa"/>
            <w:vAlign w:val="bottom"/>
          </w:tcPr>
          <w:p>
            <w:pPr>
              <w:spacing w:after="0"/>
              <w:rPr>
                <w:sz w:val="20"/>
                <w:szCs w:val="20"/>
                <w:color w:val="auto"/>
              </w:rPr>
            </w:pPr>
            <w:r>
              <w:rPr>
                <w:rFonts w:ascii="Arial" w:cs="Arial" w:eastAsia="Arial" w:hAnsi="Arial"/>
                <w:sz w:val="14"/>
                <w:szCs w:val="14"/>
                <w:color w:val="auto"/>
              </w:rPr>
              <w:t>At June 30, 2023 and December 31, 2022, long-term borrowings consisted of the following: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7960" w:type="dxa"/>
            <w:vAlign w:val="bottom"/>
          </w:tcPr>
          <w:p>
            <w:pPr>
              <w:spacing w:after="0"/>
              <w:rPr>
                <w:sz w:val="16"/>
                <w:szCs w:val="16"/>
                <w:color w:val="auto"/>
              </w:rPr>
            </w:pPr>
          </w:p>
        </w:tc>
        <w:tc>
          <w:tcPr>
            <w:tcW w:w="124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Loan from China Merchants Bank</w:t>
            </w:r>
          </w:p>
        </w:tc>
        <w:tc>
          <w:tcPr>
            <w:tcW w:w="1240" w:type="dxa"/>
            <w:vAlign w:val="bottom"/>
            <w:tcBorders>
              <w:bottom w:val="single" w:sz="8" w:color="CFF0FC"/>
            </w:tcBorders>
            <w:gridSpan w:val="2"/>
            <w:shd w:val="clear" w:color="auto" w:fill="CFF0FC"/>
          </w:tcPr>
          <w:p>
            <w:pPr>
              <w:jc w:val="right"/>
              <w:ind w:right="92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13,914</w:t>
            </w:r>
          </w:p>
        </w:tc>
        <w:tc>
          <w:tcPr>
            <w:tcW w:w="2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15,265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4"/>
                <w:szCs w:val="14"/>
                <w:color w:val="auto"/>
              </w:rPr>
              <w:t>Loans from Bank of China</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Current portion</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(3,239)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top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15,899</w:t>
            </w:r>
          </w:p>
        </w:tc>
        <w:tc>
          <w:tcPr>
            <w:tcW w:w="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loan from China Merchants Bank is for the purpose of purchasing housing property in Lingang, Shanghai. The loan is repayable in 120 total installments with the last installment due in November 2030, with an annual interest rate of 3.95%. The loan is pledged by the property of ACM Lingang and guaranteed by ACM Shanghai. The housing property was transferred to ACM Lingang in January 2022 (Note 6).</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Scheduled principal payments for the outstanding long-term loan, including the current portion, as of June 30, 2023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9660" w:type="dxa"/>
            <w:vAlign w:val="bottom"/>
            <w:gridSpan w:val="2"/>
          </w:tcPr>
          <w:p>
            <w:pPr>
              <w:jc w:val="right"/>
              <w:ind w:right="8040"/>
              <w:spacing w:after="0"/>
              <w:rPr>
                <w:sz w:val="20"/>
                <w:szCs w:val="20"/>
                <w:color w:val="auto"/>
              </w:rPr>
            </w:pPr>
            <w:r>
              <w:rPr>
                <w:rFonts w:ascii="Arial" w:cs="Arial" w:eastAsia="Arial" w:hAnsi="Arial"/>
                <w:sz w:val="14"/>
                <w:szCs w:val="14"/>
                <w:b w:val="1"/>
                <w:bCs w:val="1"/>
                <w:color w:val="auto"/>
                <w:w w:val="93"/>
              </w:rPr>
              <w:t>Year ending December 31</w:t>
            </w:r>
          </w:p>
        </w:tc>
        <w:tc>
          <w:tcPr>
            <w:tcW w:w="920" w:type="dxa"/>
            <w:vAlign w:val="bottom"/>
          </w:tcPr>
          <w:p>
            <w:pPr>
              <w:spacing w:after="0"/>
              <w:rPr>
                <w:sz w:val="16"/>
                <w:szCs w:val="16"/>
                <w:color w:val="auto"/>
              </w:rPr>
            </w:pPr>
          </w:p>
        </w:tc>
      </w:tr>
      <w:tr>
        <w:trPr>
          <w:trHeight w:val="22"/>
        </w:trPr>
        <w:tc>
          <w:tcPr>
            <w:tcW w:w="700" w:type="dxa"/>
            <w:vAlign w:val="bottom"/>
            <w:tcBorders>
              <w:bottom w:val="single" w:sz="8" w:color="auto"/>
            </w:tcBorders>
          </w:tcPr>
          <w:p>
            <w:pPr>
              <w:spacing w:after="0" w:line="20" w:lineRule="exact"/>
              <w:rPr>
                <w:sz w:val="1"/>
                <w:szCs w:val="1"/>
                <w:color w:val="auto"/>
              </w:rPr>
            </w:pPr>
          </w:p>
        </w:tc>
        <w:tc>
          <w:tcPr>
            <w:tcW w:w="9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2023</w:t>
            </w:r>
          </w:p>
        </w:tc>
        <w:tc>
          <w:tcPr>
            <w:tcW w:w="9660" w:type="dxa"/>
            <w:vAlign w:val="bottom"/>
            <w:tcBorders>
              <w:bottom w:val="single" w:sz="8" w:color="CFF0FC"/>
            </w:tcBorders>
            <w:gridSpan w:val="2"/>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1,127</w:t>
            </w:r>
          </w:p>
        </w:tc>
      </w:tr>
      <w:tr>
        <w:trPr>
          <w:trHeight w:val="191"/>
        </w:trPr>
        <w:tc>
          <w:tcPr>
            <w:tcW w:w="700" w:type="dxa"/>
            <w:vAlign w:val="bottom"/>
          </w:tcPr>
          <w:p>
            <w:pPr>
              <w:ind w:left="20"/>
              <w:spacing w:after="0"/>
              <w:rPr>
                <w:sz w:val="20"/>
                <w:szCs w:val="20"/>
                <w:color w:val="auto"/>
              </w:rPr>
            </w:pPr>
            <w:r>
              <w:rPr>
                <w:rFonts w:ascii="Arial" w:cs="Arial" w:eastAsia="Arial" w:hAnsi="Arial"/>
                <w:sz w:val="14"/>
                <w:szCs w:val="14"/>
                <w:color w:val="auto"/>
              </w:rPr>
              <w:t>2024</w:t>
            </w:r>
          </w:p>
        </w:tc>
        <w:tc>
          <w:tcPr>
            <w:tcW w:w="9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6,593</w:t>
            </w:r>
          </w:p>
        </w:tc>
      </w:tr>
      <w:tr>
        <w:trPr>
          <w:trHeight w:val="22"/>
        </w:trPr>
        <w:tc>
          <w:tcPr>
            <w:tcW w:w="70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2025</w:t>
            </w:r>
          </w:p>
        </w:tc>
        <w:tc>
          <w:tcPr>
            <w:tcW w:w="90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1,748</w:t>
            </w:r>
          </w:p>
        </w:tc>
      </w:tr>
      <w:tr>
        <w:trPr>
          <w:trHeight w:val="191"/>
        </w:trPr>
        <w:tc>
          <w:tcPr>
            <w:tcW w:w="700" w:type="dxa"/>
            <w:vAlign w:val="bottom"/>
          </w:tcPr>
          <w:p>
            <w:pPr>
              <w:ind w:left="20"/>
              <w:spacing w:after="0"/>
              <w:rPr>
                <w:sz w:val="20"/>
                <w:szCs w:val="20"/>
                <w:color w:val="auto"/>
              </w:rPr>
            </w:pPr>
            <w:r>
              <w:rPr>
                <w:rFonts w:ascii="Arial" w:cs="Arial" w:eastAsia="Arial" w:hAnsi="Arial"/>
                <w:sz w:val="14"/>
                <w:szCs w:val="14"/>
                <w:color w:val="auto"/>
              </w:rPr>
              <w:t>2026</w:t>
            </w:r>
          </w:p>
        </w:tc>
        <w:tc>
          <w:tcPr>
            <w:tcW w:w="9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1,818</w:t>
            </w:r>
          </w:p>
        </w:tc>
      </w:tr>
      <w:tr>
        <w:trPr>
          <w:trHeight w:val="22"/>
        </w:trPr>
        <w:tc>
          <w:tcPr>
            <w:tcW w:w="70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2027</w:t>
            </w:r>
          </w:p>
        </w:tc>
        <w:tc>
          <w:tcPr>
            <w:tcW w:w="90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1,891</w:t>
            </w:r>
          </w:p>
        </w:tc>
      </w:tr>
      <w:tr>
        <w:trPr>
          <w:trHeight w:val="207"/>
        </w:trPr>
        <w:tc>
          <w:tcPr>
            <w:tcW w:w="7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90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5,961</w:t>
            </w:r>
          </w:p>
        </w:tc>
      </w:tr>
      <w:tr>
        <w:trPr>
          <w:trHeight w:val="233"/>
        </w:trPr>
        <w:tc>
          <w:tcPr>
            <w:tcW w:w="700" w:type="dxa"/>
            <w:vAlign w:val="bottom"/>
            <w:tcBorders>
              <w:bottom w:val="single" w:sz="8" w:color="CFF0FC"/>
            </w:tcBorders>
            <w:shd w:val="clear" w:color="auto" w:fill="CFF0FC"/>
          </w:tcPr>
          <w:p>
            <w:pPr>
              <w:spacing w:after="0"/>
              <w:rPr>
                <w:sz w:val="19"/>
                <w:szCs w:val="19"/>
                <w:color w:val="auto"/>
              </w:rPr>
            </w:pPr>
          </w:p>
        </w:tc>
        <w:tc>
          <w:tcPr>
            <w:tcW w:w="9660" w:type="dxa"/>
            <w:vAlign w:val="bottom"/>
            <w:tcBorders>
              <w:bottom w:val="single" w:sz="8" w:color="CFF0FC"/>
            </w:tcBorders>
            <w:gridSpan w:val="2"/>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19,138</w:t>
            </w:r>
          </w:p>
        </w:tc>
      </w:tr>
      <w:tr>
        <w:trPr>
          <w:trHeight w:val="20"/>
        </w:trPr>
        <w:tc>
          <w:tcPr>
            <w:tcW w:w="700" w:type="dxa"/>
            <w:vAlign w:val="bottom"/>
            <w:tcBorders>
              <w:top w:val="single" w:sz="8" w:color="CFF0FC"/>
            </w:tcBorders>
          </w:tcPr>
          <w:p>
            <w:pPr>
              <w:spacing w:after="0" w:line="20" w:lineRule="exact"/>
              <w:rPr>
                <w:sz w:val="1"/>
                <w:szCs w:val="1"/>
                <w:color w:val="auto"/>
              </w:rPr>
            </w:pPr>
          </w:p>
        </w:tc>
        <w:tc>
          <w:tcPr>
            <w:tcW w:w="90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June 30, 2023 and 2022, respectively, interest related to long-term borrowings of $181 and $244 was incurred.</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six months ended June 30, 2023 and 2022, respectively, interest related to long-term borrowings of $370 and $502 was incurred, of which $370 and $442 was charged to interest expenses and $0 and $60 was capitalized as property plant and equipment and other long-term assets,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OTHER LONG-TERM LIABILITIES</w:t>
      </w:r>
    </w:p>
    <w:p>
      <w:pPr>
        <w:spacing w:after="0" w:line="20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Other long-term liabilities represent government subsidies received from PRC governmental authorities for development and commercialization of certain technology but not yet recognized. At June 30, 2023 and December 31, 2022, other long-term liabilities consisted of the following unearned government subsidies: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1"/>
              </w:rPr>
              <w:t>December 31, 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60" w:type="dxa"/>
            <w:vAlign w:val="bottom"/>
          </w:tcPr>
          <w:p>
            <w:pPr>
              <w:ind w:left="20"/>
              <w:spacing w:after="0"/>
              <w:rPr>
                <w:sz w:val="20"/>
                <w:szCs w:val="20"/>
                <w:color w:val="auto"/>
              </w:rPr>
            </w:pPr>
            <w:r>
              <w:rPr>
                <w:rFonts w:ascii="Arial" w:cs="Arial" w:eastAsia="Arial" w:hAnsi="Arial"/>
                <w:sz w:val="14"/>
                <w:szCs w:val="14"/>
                <w:color w:val="auto"/>
              </w:rPr>
              <w:t>Subsidies to Stress Free Polishing project, commenced in 2008 and 2017</w:t>
            </w:r>
          </w:p>
        </w:tc>
        <w:tc>
          <w:tcPr>
            <w:tcW w:w="4480" w:type="dxa"/>
            <w:vAlign w:val="bottom"/>
            <w:gridSpan w:val="2"/>
          </w:tcPr>
          <w:p>
            <w:pPr>
              <w:jc w:val="right"/>
              <w:ind w:right="10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Subsidies to Electro Copper Plating project, commenced in 2014</w:t>
            </w:r>
          </w:p>
        </w:tc>
        <w:tc>
          <w:tcPr>
            <w:tcW w:w="3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Subsidies to other cleaning tools, commenced in 2020</w:t>
            </w:r>
          </w:p>
        </w:tc>
        <w:tc>
          <w:tcPr>
            <w:tcW w:w="3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688</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Subsidies to SW Lingang R&amp;D development, commenced in 2021</w:t>
            </w:r>
          </w:p>
        </w:tc>
        <w:tc>
          <w:tcPr>
            <w:tcW w:w="3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3,857</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Subsidies to CO2 Technology, commenced in 2022</w:t>
            </w:r>
          </w:p>
        </w:tc>
        <w:tc>
          <w:tcPr>
            <w:tcW w:w="3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557</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Arial" w:cs="Arial" w:eastAsia="Arial" w:hAnsi="Arial"/>
                <w:sz w:val="14"/>
                <w:szCs w:val="14"/>
                <w:color w:val="auto"/>
              </w:rPr>
              <w:t>Total</w:t>
            </w:r>
          </w:p>
        </w:tc>
        <w:tc>
          <w:tcPr>
            <w:tcW w:w="32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06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6,566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60" w:type="dxa"/>
            <w:vAlign w:val="bottom"/>
            <w:vMerge w:val="restart"/>
          </w:tcPr>
          <w:p>
            <w:pPr>
              <w:jc w:val="right"/>
              <w:ind w:right="2329"/>
              <w:spacing w:after="0"/>
              <w:rPr>
                <w:sz w:val="20"/>
                <w:szCs w:val="20"/>
                <w:color w:val="auto"/>
              </w:rPr>
            </w:pPr>
            <w:r>
              <w:rPr>
                <w:rFonts w:ascii="Arial" w:cs="Arial" w:eastAsia="Arial" w:hAnsi="Arial"/>
                <w:sz w:val="14"/>
                <w:szCs w:val="14"/>
                <w:color w:val="auto"/>
              </w:rPr>
              <w:t>28</w:t>
            </w: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60" w:type="dxa"/>
            <w:vAlign w:val="bottom"/>
            <w:tcBorders>
              <w:bottom w:val="single" w:sz="8" w:color="9A9A9A"/>
            </w:tcBorders>
          </w:tcPr>
          <w:p>
            <w:pPr>
              <w:spacing w:after="0"/>
              <w:rPr>
                <w:sz w:val="7"/>
                <w:szCs w:val="7"/>
                <w:color w:val="auto"/>
              </w:rPr>
            </w:pPr>
          </w:p>
        </w:tc>
        <w:tc>
          <w:tcPr>
            <w:tcW w:w="3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20"/>
                <w:szCs w:val="20"/>
                <w:color w:val="auto"/>
              </w:rPr>
            </w:pPr>
            <w:r>
              <w:rPr>
                <w:rFonts w:ascii="Arial" w:cs="Arial" w:eastAsia="Arial" w:hAnsi="Arial"/>
                <w:sz w:val="14"/>
                <w:szCs w:val="14"/>
                <w:b w:val="1"/>
                <w:bCs w:val="1"/>
                <w:color w:val="auto"/>
              </w:rPr>
              <w:t>NOTE 14 – LONG-TERM INVESTMENTS</w:t>
            </w:r>
          </w:p>
        </w:tc>
        <w:tc>
          <w:tcPr>
            <w:tcW w:w="1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68"/>
        </w:trPr>
        <w:tc>
          <w:tcPr>
            <w:tcW w:w="3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Percent ownership by ACM</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Equity investee:</w:t>
            </w:r>
          </w:p>
        </w:tc>
        <w:tc>
          <w:tcPr>
            <w:tcW w:w="1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Initial investment dates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Investment entity</w:t>
            </w:r>
          </w:p>
        </w:tc>
        <w:tc>
          <w:tcPr>
            <w:tcW w:w="20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88"/>
              </w:rPr>
              <w:t>and subsidiaries</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Investment purchase price</w:t>
            </w:r>
          </w:p>
        </w:tc>
      </w:tr>
      <w:tr>
        <w:trPr>
          <w:trHeight w:val="18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Ninebell Co., Ltd. ("Ninebell")</w:t>
            </w:r>
          </w:p>
        </w:tc>
        <w:tc>
          <w:tcPr>
            <w:tcW w:w="194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w w:val="90"/>
              </w:rPr>
              <w:t>September 2017</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ACM</w:t>
            </w:r>
          </w:p>
        </w:tc>
        <w:tc>
          <w:tcPr>
            <w:tcW w:w="2020" w:type="dxa"/>
            <w:vAlign w:val="bottom"/>
            <w:tcBorders>
              <w:bottom w:val="single" w:sz="8" w:color="CCEEFF"/>
            </w:tcBorders>
            <w:shd w:val="clear" w:color="auto" w:fill="CCEEFF"/>
          </w:tcPr>
          <w:p>
            <w:pPr>
              <w:jc w:val="center"/>
              <w:ind w:left="169"/>
              <w:spacing w:after="0"/>
              <w:rPr>
                <w:sz w:val="20"/>
                <w:szCs w:val="20"/>
                <w:color w:val="auto"/>
              </w:rPr>
            </w:pPr>
            <w:r>
              <w:rPr>
                <w:rFonts w:ascii="Arial" w:cs="Arial" w:eastAsia="Arial" w:hAnsi="Arial"/>
                <w:sz w:val="14"/>
                <w:szCs w:val="14"/>
                <w:color w:val="auto"/>
                <w:w w:val="92"/>
              </w:rPr>
              <w:t>20%</w:t>
            </w:r>
          </w:p>
        </w:tc>
        <w:tc>
          <w:tcPr>
            <w:tcW w:w="3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r>
      <w:tr>
        <w:trPr>
          <w:trHeight w:val="191"/>
        </w:trPr>
        <w:tc>
          <w:tcPr>
            <w:tcW w:w="3820" w:type="dxa"/>
            <w:vAlign w:val="bottom"/>
          </w:tcPr>
          <w:p>
            <w:pPr>
              <w:ind w:left="20"/>
              <w:spacing w:after="0"/>
              <w:rPr>
                <w:sz w:val="20"/>
                <w:szCs w:val="20"/>
                <w:color w:val="auto"/>
              </w:rPr>
            </w:pPr>
            <w:r>
              <w:rPr>
                <w:rFonts w:ascii="Arial" w:cs="Arial" w:eastAsia="Arial" w:hAnsi="Arial"/>
                <w:sz w:val="14"/>
                <w:szCs w:val="14"/>
                <w:color w:val="auto"/>
              </w:rPr>
              <w:t>Wooil Flucon Co., ("Wooil")</w:t>
            </w:r>
          </w:p>
        </w:tc>
        <w:tc>
          <w:tcPr>
            <w:tcW w:w="1940" w:type="dxa"/>
            <w:vAlign w:val="bottom"/>
          </w:tcPr>
          <w:p>
            <w:pPr>
              <w:jc w:val="center"/>
              <w:ind w:right="89"/>
              <w:spacing w:after="0"/>
              <w:rPr>
                <w:sz w:val="20"/>
                <w:szCs w:val="20"/>
                <w:color w:val="auto"/>
              </w:rPr>
            </w:pPr>
            <w:r>
              <w:rPr>
                <w:rFonts w:ascii="Arial" w:cs="Arial" w:eastAsia="Arial" w:hAnsi="Arial"/>
                <w:sz w:val="14"/>
                <w:szCs w:val="14"/>
                <w:color w:val="auto"/>
                <w:w w:val="94"/>
              </w:rPr>
              <w:t>August 2022</w:t>
            </w:r>
          </w:p>
        </w:tc>
        <w:tc>
          <w:tcPr>
            <w:tcW w:w="1680" w:type="dxa"/>
            <w:vAlign w:val="bottom"/>
          </w:tcPr>
          <w:p>
            <w:pPr>
              <w:jc w:val="center"/>
              <w:spacing w:after="0"/>
              <w:rPr>
                <w:sz w:val="20"/>
                <w:szCs w:val="20"/>
                <w:color w:val="auto"/>
              </w:rPr>
            </w:pPr>
            <w:r>
              <w:rPr>
                <w:rFonts w:ascii="Arial" w:cs="Arial" w:eastAsia="Arial" w:hAnsi="Arial"/>
                <w:sz w:val="14"/>
                <w:szCs w:val="14"/>
                <w:color w:val="auto"/>
                <w:w w:val="95"/>
              </w:rPr>
              <w:t>ACM Singapore</w:t>
            </w:r>
          </w:p>
        </w:tc>
        <w:tc>
          <w:tcPr>
            <w:tcW w:w="2020" w:type="dxa"/>
            <w:vAlign w:val="bottom"/>
          </w:tcPr>
          <w:p>
            <w:pPr>
              <w:jc w:val="center"/>
              <w:ind w:left="169"/>
              <w:spacing w:after="0"/>
              <w:rPr>
                <w:sz w:val="20"/>
                <w:szCs w:val="20"/>
                <w:color w:val="auto"/>
              </w:rPr>
            </w:pPr>
            <w:r>
              <w:rPr>
                <w:rFonts w:ascii="Arial" w:cs="Arial" w:eastAsia="Arial" w:hAnsi="Arial"/>
                <w:sz w:val="14"/>
                <w:szCs w:val="14"/>
                <w:color w:val="auto"/>
                <w:w w:val="92"/>
              </w:rPr>
              <w:t>20%</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2"/>
        </w:trPr>
        <w:tc>
          <w:tcPr>
            <w:tcW w:w="3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Shengyi Semiconductor Technology Co., Ltd. (“Shengyi”)</w:t>
            </w:r>
          </w:p>
        </w:tc>
        <w:tc>
          <w:tcPr>
            <w:tcW w:w="194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w w:val="88"/>
              </w:rPr>
              <w:t>June 2019</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ACM Shanghai</w:t>
            </w:r>
          </w:p>
        </w:tc>
        <w:tc>
          <w:tcPr>
            <w:tcW w:w="2020" w:type="dxa"/>
            <w:vAlign w:val="bottom"/>
            <w:tcBorders>
              <w:bottom w:val="single" w:sz="8" w:color="CCEEFF"/>
            </w:tcBorders>
            <w:shd w:val="clear" w:color="auto" w:fill="CCEEFF"/>
          </w:tcPr>
          <w:p>
            <w:pPr>
              <w:jc w:val="center"/>
              <w:ind w:left="169"/>
              <w:spacing w:after="0"/>
              <w:rPr>
                <w:sz w:val="20"/>
                <w:szCs w:val="20"/>
                <w:color w:val="auto"/>
              </w:rPr>
            </w:pPr>
            <w:r>
              <w:rPr>
                <w:rFonts w:ascii="Arial" w:cs="Arial" w:eastAsia="Arial" w:hAnsi="Arial"/>
                <w:sz w:val="14"/>
                <w:szCs w:val="14"/>
                <w:color w:val="auto"/>
                <w:w w:val="92"/>
              </w:rPr>
              <w:t>15%</w:t>
            </w:r>
          </w:p>
        </w:tc>
        <w:tc>
          <w:tcPr>
            <w:tcW w:w="3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w w:val="94"/>
              </w:rPr>
              <w:t>Hefei Shixi Chanheng Integrated Circuit Industry Venture Capital</w:t>
            </w:r>
          </w:p>
        </w:tc>
        <w:tc>
          <w:tcPr>
            <w:tcW w:w="1940" w:type="dxa"/>
            <w:vAlign w:val="bottom"/>
          </w:tcPr>
          <w:p>
            <w:pPr>
              <w:jc w:val="center"/>
              <w:ind w:right="89"/>
              <w:spacing w:after="0"/>
              <w:rPr>
                <w:sz w:val="20"/>
                <w:szCs w:val="20"/>
                <w:color w:val="auto"/>
              </w:rPr>
            </w:pPr>
            <w:r>
              <w:rPr>
                <w:rFonts w:ascii="Arial" w:cs="Arial" w:eastAsia="Arial" w:hAnsi="Arial"/>
                <w:sz w:val="14"/>
                <w:szCs w:val="14"/>
                <w:color w:val="auto"/>
                <w:w w:val="90"/>
              </w:rPr>
              <w:t>September 2019</w:t>
            </w: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ACM Shanghai</w:t>
            </w:r>
          </w:p>
        </w:tc>
        <w:tc>
          <w:tcPr>
            <w:tcW w:w="2020" w:type="dxa"/>
            <w:vAlign w:val="bottom"/>
          </w:tcPr>
          <w:p>
            <w:pPr>
              <w:jc w:val="center"/>
              <w:ind w:left="169"/>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RMB 30,000 ($4,200)</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Fund Partnership (LP) (“Hefei Shixi”)</w:t>
            </w: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
        </w:trPr>
        <w:tc>
          <w:tcPr>
            <w:tcW w:w="3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Waferworks (Shanghai) Co., Ltd (“Waferworks”)</w:t>
            </w:r>
          </w:p>
        </w:tc>
        <w:tc>
          <w:tcPr>
            <w:tcW w:w="194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1"/>
              </w:rPr>
              <w:t>October 2021</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ACM Shanghai</w:t>
            </w:r>
          </w:p>
        </w:tc>
        <w:tc>
          <w:tcPr>
            <w:tcW w:w="2020" w:type="dxa"/>
            <w:vAlign w:val="bottom"/>
            <w:shd w:val="clear" w:color="auto" w:fill="CCEEFF"/>
          </w:tcPr>
          <w:p>
            <w:pPr>
              <w:jc w:val="center"/>
              <w:ind w:left="189"/>
              <w:spacing w:after="0"/>
              <w:rPr>
                <w:sz w:val="20"/>
                <w:szCs w:val="20"/>
                <w:color w:val="auto"/>
              </w:rPr>
            </w:pPr>
            <w:r>
              <w:rPr>
                <w:rFonts w:ascii="Arial" w:cs="Arial" w:eastAsia="Arial" w:hAnsi="Arial"/>
                <w:sz w:val="14"/>
                <w:szCs w:val="14"/>
                <w:color w:val="auto"/>
                <w:w w:val="90"/>
              </w:rPr>
              <w:t>0.25%</w:t>
            </w:r>
          </w:p>
        </w:tc>
        <w:tc>
          <w:tcPr>
            <w:tcW w:w="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r>
      <w:tr>
        <w:trPr>
          <w:trHeight w:val="22"/>
        </w:trPr>
        <w:tc>
          <w:tcPr>
            <w:tcW w:w="38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treats each equity investment in the consolidated financial statements under the equity method and they are classified as long-term investments, except for the investment in Waferworks which is measured at cost minus impairment, if any, as there is no readily determinable fair value. Under the equity method, an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The Company concluded that the investments were not impaired and did not record any impairment charges related to the investments for any prior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20" w:type="dxa"/>
            <w:vAlign w:val="bottom"/>
          </w:tcPr>
          <w:p>
            <w:pPr>
              <w:spacing w:after="0"/>
              <w:rPr>
                <w:sz w:val="14"/>
                <w:szCs w:val="14"/>
                <w:color w:val="auto"/>
              </w:rPr>
            </w:pPr>
          </w:p>
        </w:tc>
        <w:tc>
          <w:tcPr>
            <w:tcW w:w="1100" w:type="dxa"/>
            <w:vAlign w:val="bottom"/>
          </w:tcPr>
          <w:p>
            <w:pPr>
              <w:jc w:val="center"/>
              <w:ind w:left="449"/>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120" w:type="dxa"/>
            <w:vAlign w:val="bottom"/>
          </w:tcPr>
          <w:p>
            <w:pPr>
              <w:ind w:left="20"/>
              <w:spacing w:after="0"/>
              <w:rPr>
                <w:sz w:val="20"/>
                <w:szCs w:val="20"/>
                <w:color w:val="auto"/>
              </w:rPr>
            </w:pPr>
            <w:r>
              <w:rPr>
                <w:rFonts w:ascii="Arial" w:cs="Arial" w:eastAsia="Arial" w:hAnsi="Arial"/>
                <w:sz w:val="14"/>
                <w:szCs w:val="14"/>
                <w:color w:val="auto"/>
              </w:rPr>
              <w:t>Equity investee:</w:t>
            </w:r>
          </w:p>
        </w:tc>
        <w:tc>
          <w:tcPr>
            <w:tcW w:w="1100" w:type="dxa"/>
            <w:vAlign w:val="bottom"/>
          </w:tcPr>
          <w:p>
            <w:pPr>
              <w:jc w:val="right"/>
              <w:ind w:right="8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Ninebell</w:t>
            </w: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4,673</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5,199</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Wooil</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1,026</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Shengyi</w:t>
            </w: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Hefei Shixi</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6,126</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8,645</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Subtotal</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13,286</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16,023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Other investee: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Waferworks</w:t>
            </w: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1,452</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16,122</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17,459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For the three months ended June 30, 2023 and 2022, the Company’s share of equity investees’ net income was $3,920 and $472, respectively, and $3,888 and $401 for the six months ended June 30, 2023 and 2022, respectively, which amounts were included in equity income in net income of affiliates in the accompanying condensed consolidated statements of operations and comprehensive income. For the three and six months ended June 30, 2023, the Company received a dividend payment of $5,095 from an equity investee.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TRADING SECURITIES</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Pursuant to a Partnership Agreement dated June 9, 2020 (the “Partnership Agreement”) and a Supplementary Agreement thereto dated June 15, 2020 (the “Supplementary Agreement”), ACM Shanghai acquired shares of SMIC in July 2020. As SMIC was listed on the STAR Market, ACM Shanghai’s investment is accounted for as trading securities and is stated at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fair market value, which is classified as Level 1 of the hierarchy established under ASC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xml:space="preserve"> with valuations based on quoted prices for identical securities in active markets at June 30, 2023 and December 31, 2022.</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China. Subsequent to the future purchase, any investment will be held by Nuode Asset Fund and restricted for a minimum period of six months. The limited partners of the Nuode Asset Fund contributed a total RMB 160 million ($22,160) to the fund, of which ACM Shanghai contributed RMB 30 million ($4,196), or 18.75% of the contribution on September 27, 2022.</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December 2022, the Nuode Asset Fund purchased shares in the secondary stock offering of a publicly traded PRC-stock listing. The number of shares owned by Nuode Asset Fund was apportioned to all of the limited partners in proportion to their respective capital contributions (18.75% in the case of ACM Shanghai).</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the components of trading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20" w:type="dxa"/>
            <w:vAlign w:val="bottom"/>
          </w:tcPr>
          <w:p>
            <w:pPr>
              <w:spacing w:after="0"/>
              <w:rPr>
                <w:sz w:val="14"/>
                <w:szCs w:val="14"/>
                <w:color w:val="auto"/>
              </w:rPr>
            </w:pPr>
          </w:p>
        </w:tc>
        <w:tc>
          <w:tcPr>
            <w:tcW w:w="1140" w:type="dxa"/>
            <w:vAlign w:val="bottom"/>
          </w:tcPr>
          <w:p>
            <w:pPr>
              <w:jc w:val="center"/>
              <w:ind w:left="409"/>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120" w:type="dxa"/>
            <w:vAlign w:val="bottom"/>
          </w:tcPr>
          <w:p>
            <w:pPr>
              <w:spacing w:after="0"/>
              <w:rPr>
                <w:sz w:val="16"/>
                <w:szCs w:val="16"/>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22"/>
        </w:trPr>
        <w:tc>
          <w:tcPr>
            <w:tcW w:w="8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securities listed in Shanghai Stock Exchange</w:t>
            </w:r>
          </w:p>
        </w:tc>
        <w:tc>
          <w:tcPr>
            <w:tcW w:w="1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1"/>
        </w:trPr>
        <w:tc>
          <w:tcPr>
            <w:tcW w:w="8120" w:type="dxa"/>
            <w:vAlign w:val="bottom"/>
          </w:tcPr>
          <w:p>
            <w:pPr>
              <w:ind w:left="140"/>
              <w:spacing w:after="0"/>
              <w:rPr>
                <w:sz w:val="20"/>
                <w:szCs w:val="20"/>
                <w:color w:val="auto"/>
              </w:rPr>
            </w:pPr>
            <w:r>
              <w:rPr>
                <w:rFonts w:ascii="Arial" w:cs="Arial" w:eastAsia="Arial" w:hAnsi="Arial"/>
                <w:sz w:val="14"/>
                <w:szCs w:val="14"/>
                <w:color w:val="auto"/>
              </w:rPr>
              <w:t>Cost</w:t>
            </w:r>
          </w:p>
        </w:tc>
        <w:tc>
          <w:tcPr>
            <w:tcW w:w="1140" w:type="dxa"/>
            <w:vAlign w:val="bottom"/>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4,124</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14,779</w:t>
            </w:r>
          </w:p>
        </w:tc>
      </w:tr>
      <w:tr>
        <w:trPr>
          <w:trHeight w:val="22"/>
        </w:trPr>
        <w:tc>
          <w:tcPr>
            <w:tcW w:w="8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1"/>
        </w:trPr>
        <w:tc>
          <w:tcPr>
            <w:tcW w:w="8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Market value</w:t>
            </w: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20,209</w:t>
            </w:r>
          </w:p>
        </w:tc>
      </w:tr>
      <w:tr>
        <w:trPr>
          <w:trHeight w:val="22"/>
        </w:trPr>
        <w:tc>
          <w:tcPr>
            <w:tcW w:w="8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5060" w:type="dxa"/>
            <w:vAlign w:val="bottom"/>
          </w:tcPr>
          <w:p>
            <w:pPr>
              <w:spacing w:after="0"/>
              <w:rPr>
                <w:sz w:val="18"/>
                <w:szCs w:val="18"/>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spacing w:after="0"/>
              <w:rPr>
                <w:sz w:val="18"/>
                <w:szCs w:val="18"/>
                <w:color w:val="auto"/>
              </w:rPr>
            </w:pPr>
          </w:p>
        </w:tc>
        <w:tc>
          <w:tcPr>
            <w:tcW w:w="1380" w:type="dxa"/>
            <w:vAlign w:val="bottom"/>
          </w:tcPr>
          <w:p>
            <w:pPr>
              <w:jc w:val="right"/>
              <w:ind w:right="689"/>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8"/>
                <w:szCs w:val="18"/>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r>
      <w:tr>
        <w:trPr>
          <w:trHeight w:val="22"/>
        </w:trPr>
        <w:tc>
          <w:tcPr>
            <w:tcW w:w="5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trading securities</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(2,455)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w:t>
            </w:r>
          </w:p>
        </w:tc>
      </w:tr>
      <w:tr>
        <w:trPr>
          <w:trHeight w:val="22"/>
        </w:trPr>
        <w:tc>
          <w:tcPr>
            <w:tcW w:w="50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and six months ended June 30, 2023, the Company received $6,637 and $17,709 in proceeds from the sale of trading securities, including a realized gain of $3,919 and $7,913,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RELATED PARTY BALANCES AND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Ninebell</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Ninebell is an equity investee of ACM (Note 14) and is the Company’s principal supplier of robotic delivery system subassemblies used in our single-wafer cleaning equipment. The Company purchases equipment through arms-length transactions from Ninebell for production in the ordinary course of business. The Company pays for a portion of the equipment in advance and is obligated for the remaining amounts upon receipt of the product. All related party outstanding balances are short-term in nature and are expected to be settled in cash.</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Shengyi</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Shengyi is an equity investee of ACM Shanghai (Note 14) and is one of the Company’s component suppliers in China. The Company purchases components from Shengyi for production in the ordinary course of business. The Company incurs a service fee related to installation and hook-up fees which is recorded within cost of revenue on the Company’s condensed consolidated statements of operations and comprehensive income (loss). The Company pays for a portion of the raw materials in advance and is obligated for the remaining amounts upon receipt of the product.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20" w:type="dxa"/>
            <w:vAlign w:val="bottom"/>
          </w:tcPr>
          <w:p>
            <w:pPr>
              <w:spacing w:after="0"/>
              <w:rPr>
                <w:sz w:val="20"/>
                <w:szCs w:val="20"/>
                <w:color w:val="auto"/>
              </w:rPr>
            </w:pPr>
            <w:r>
              <w:rPr>
                <w:rFonts w:ascii="Arial" w:cs="Arial" w:eastAsia="Arial" w:hAnsi="Arial"/>
                <w:sz w:val="14"/>
                <w:szCs w:val="14"/>
                <w:color w:val="auto"/>
              </w:rPr>
              <w:t>The following tables reflect related party transactions in our condensed consolidated financial statements:</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8"/>
        </w:trPr>
        <w:tc>
          <w:tcPr>
            <w:tcW w:w="8120" w:type="dxa"/>
            <w:vAlign w:val="bottom"/>
          </w:tcPr>
          <w:p>
            <w:pPr>
              <w:spacing w:after="0"/>
              <w:rPr>
                <w:sz w:val="24"/>
                <w:szCs w:val="24"/>
                <w:color w:val="auto"/>
              </w:rPr>
            </w:pPr>
          </w:p>
        </w:tc>
        <w:tc>
          <w:tcPr>
            <w:tcW w:w="1100" w:type="dxa"/>
            <w:vAlign w:val="bottom"/>
          </w:tcPr>
          <w:p>
            <w:pPr>
              <w:jc w:val="center"/>
              <w:ind w:left="42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December 31,</w:t>
            </w:r>
          </w:p>
        </w:tc>
      </w:tr>
      <w:tr>
        <w:trPr>
          <w:trHeight w:val="200"/>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Advances to related party</w:t>
            </w:r>
          </w:p>
        </w:tc>
        <w:tc>
          <w:tcPr>
            <w:tcW w:w="1100" w:type="dxa"/>
            <w:vAlign w:val="bottom"/>
            <w:tcBorders>
              <w:bottom w:val="single" w:sz="8" w:color="auto"/>
            </w:tcBorders>
          </w:tcPr>
          <w:p>
            <w:pPr>
              <w:jc w:val="center"/>
              <w:ind w:left="429"/>
              <w:spacing w:after="0"/>
              <w:rPr>
                <w:sz w:val="20"/>
                <w:szCs w:val="20"/>
                <w:color w:val="auto"/>
              </w:rPr>
            </w:pPr>
            <w:r>
              <w:rPr>
                <w:rFonts w:ascii="Arial" w:cs="Arial" w:eastAsia="Arial" w:hAnsi="Arial"/>
                <w:sz w:val="14"/>
                <w:szCs w:val="14"/>
                <w:b w:val="1"/>
                <w:bCs w:val="1"/>
                <w:color w:val="auto"/>
                <w:w w:val="89"/>
              </w:rPr>
              <w:t>2023</w:t>
            </w: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9"/>
              </w:rPr>
              <w:t>2022</w:t>
            </w:r>
          </w:p>
        </w:tc>
      </w:tr>
      <w:tr>
        <w:trPr>
          <w:trHeight w:val="233"/>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Ninebell</w:t>
            </w:r>
          </w:p>
        </w:tc>
        <w:tc>
          <w:tcPr>
            <w:tcW w:w="1100" w:type="dxa"/>
            <w:vAlign w:val="bottom"/>
            <w:tcBorders>
              <w:bottom w:val="single" w:sz="8" w:color="auto"/>
            </w:tcBorders>
            <w:shd w:val="clear" w:color="auto" w:fill="CFF0FC"/>
          </w:tcPr>
          <w:p>
            <w:pPr>
              <w:jc w:val="right"/>
              <w:ind w:right="9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1,155</w:t>
            </w: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3,322</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r>
        <w:trPr>
          <w:trHeight w:val="404"/>
        </w:trPr>
        <w:tc>
          <w:tcPr>
            <w:tcW w:w="8120" w:type="dxa"/>
            <w:vAlign w:val="bottom"/>
          </w:tcPr>
          <w:p>
            <w:pPr>
              <w:spacing w:after="0"/>
              <w:rPr>
                <w:sz w:val="24"/>
                <w:szCs w:val="24"/>
                <w:color w:val="auto"/>
              </w:rPr>
            </w:pPr>
          </w:p>
        </w:tc>
        <w:tc>
          <w:tcPr>
            <w:tcW w:w="1100" w:type="dxa"/>
            <w:vAlign w:val="bottom"/>
          </w:tcPr>
          <w:p>
            <w:pPr>
              <w:jc w:val="center"/>
              <w:ind w:left="449"/>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Accounts payable</w:t>
            </w:r>
          </w:p>
        </w:tc>
        <w:tc>
          <w:tcPr>
            <w:tcW w:w="1100" w:type="dxa"/>
            <w:vAlign w:val="bottom"/>
          </w:tcPr>
          <w:p>
            <w:pPr>
              <w:jc w:val="center"/>
              <w:ind w:left="429"/>
              <w:spacing w:after="0"/>
              <w:rPr>
                <w:sz w:val="20"/>
                <w:szCs w:val="20"/>
                <w:color w:val="auto"/>
              </w:rPr>
            </w:pPr>
            <w:r>
              <w:rPr>
                <w:rFonts w:ascii="Arial" w:cs="Arial" w:eastAsia="Arial" w:hAnsi="Arial"/>
                <w:sz w:val="14"/>
                <w:szCs w:val="14"/>
                <w:b w:val="1"/>
                <w:bCs w:val="1"/>
                <w:color w:val="auto"/>
                <w:w w:val="89"/>
              </w:rPr>
              <w:t>2023</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9"/>
              <w:spacing w:after="0"/>
              <w:rPr>
                <w:sz w:val="20"/>
                <w:szCs w:val="20"/>
                <w:color w:val="auto"/>
              </w:rPr>
            </w:pPr>
            <w:r>
              <w:rPr>
                <w:rFonts w:ascii="Arial" w:cs="Arial" w:eastAsia="Arial" w:hAnsi="Arial"/>
                <w:sz w:val="14"/>
                <w:szCs w:val="14"/>
                <w:b w:val="1"/>
                <w:bCs w:val="1"/>
                <w:color w:val="auto"/>
                <w:w w:val="89"/>
              </w:rPr>
              <w:t>2022</w:t>
            </w:r>
          </w:p>
        </w:tc>
      </w:tr>
      <w:tr>
        <w:trPr>
          <w:trHeight w:val="22"/>
        </w:trPr>
        <w:tc>
          <w:tcPr>
            <w:tcW w:w="812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Ninebell</w:t>
            </w:r>
          </w:p>
        </w:tc>
        <w:tc>
          <w:tcPr>
            <w:tcW w:w="1100" w:type="dxa"/>
            <w:vAlign w:val="bottom"/>
            <w:tcBorders>
              <w:bottom w:val="single" w:sz="8" w:color="CFF0FC"/>
            </w:tcBorders>
            <w:shd w:val="clear" w:color="auto" w:fill="CFF0FC"/>
          </w:tcPr>
          <w:p>
            <w:pPr>
              <w:jc w:val="right"/>
              <w:ind w:right="9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8,281</w:t>
            </w:r>
          </w:p>
        </w:tc>
        <w:tc>
          <w:tcPr>
            <w:tcW w:w="240" w:type="dxa"/>
            <w:vAlign w:val="bottom"/>
            <w:tcBorders>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10,526</w:t>
            </w:r>
          </w:p>
        </w:tc>
      </w:tr>
      <w:tr>
        <w:trPr>
          <w:trHeight w:val="191"/>
        </w:trPr>
        <w:tc>
          <w:tcPr>
            <w:tcW w:w="8120" w:type="dxa"/>
            <w:vAlign w:val="bottom"/>
          </w:tcPr>
          <w:p>
            <w:pPr>
              <w:ind w:left="20"/>
              <w:spacing w:after="0"/>
              <w:rPr>
                <w:sz w:val="20"/>
                <w:szCs w:val="20"/>
                <w:color w:val="auto"/>
              </w:rPr>
            </w:pPr>
            <w:r>
              <w:rPr>
                <w:rFonts w:ascii="Arial" w:cs="Arial" w:eastAsia="Arial" w:hAnsi="Arial"/>
                <w:sz w:val="14"/>
                <w:szCs w:val="14"/>
                <w:color w:val="auto"/>
              </w:rPr>
              <w:t>Shengyi</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3,598</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3,942</w:t>
            </w:r>
          </w:p>
        </w:tc>
      </w:tr>
      <w:tr>
        <w:trPr>
          <w:trHeight w:val="22"/>
        </w:trPr>
        <w:tc>
          <w:tcPr>
            <w:tcW w:w="812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shd w:val="clear" w:color="auto" w:fill="CFF0FC"/>
          </w:tcPr>
          <w:p>
            <w:pPr>
              <w:jc w:val="right"/>
              <w:ind w:right="9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7"/>
              </w:rPr>
              <w:t>11,879</w:t>
            </w: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14,468</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64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248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Purchase of materials</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Ninebell</w:t>
            </w:r>
          </w:p>
        </w:tc>
        <w:tc>
          <w:tcPr>
            <w:tcW w:w="1040" w:type="dxa"/>
            <w:vAlign w:val="bottom"/>
            <w:tcBorders>
              <w:bottom w:val="single" w:sz="8" w:color="CCEEFF"/>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10,604</w:t>
            </w: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10,287</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27,001</w:t>
            </w:r>
          </w:p>
        </w:tc>
        <w:tc>
          <w:tcPr>
            <w:tcW w:w="100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17,666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4"/>
                <w:szCs w:val="14"/>
                <w:color w:val="auto"/>
              </w:rPr>
              <w:t>Shengyi</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c>
          <w:tcPr>
            <w:tcW w:w="80" w:type="dxa"/>
            <w:vAlign w:val="bottom"/>
          </w:tcPr>
          <w:p>
            <w:pPr>
              <w:spacing w:after="0"/>
              <w:rPr>
                <w:sz w:val="17"/>
                <w:szCs w:val="17"/>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11,310</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11,164</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29,680</w:t>
            </w:r>
          </w:p>
        </w:tc>
        <w:tc>
          <w:tcPr>
            <w:tcW w:w="100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280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2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22"/>
        </w:trPr>
        <w:tc>
          <w:tcPr>
            <w:tcW w:w="4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Service fee charged by</w:t>
            </w:r>
          </w:p>
        </w:tc>
        <w:tc>
          <w:tcPr>
            <w:tcW w:w="1120" w:type="dxa"/>
            <w:vAlign w:val="bottom"/>
          </w:tcPr>
          <w:p>
            <w:pPr>
              <w:ind w:left="660"/>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
        </w:trPr>
        <w:tc>
          <w:tcPr>
            <w:tcW w:w="45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181"/>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Shengyi</w:t>
            </w:r>
          </w:p>
        </w:tc>
        <w:tc>
          <w:tcPr>
            <w:tcW w:w="1120" w:type="dxa"/>
            <w:vAlign w:val="bottom"/>
            <w:shd w:val="clear" w:color="auto" w:fill="CFF0FC"/>
          </w:tcPr>
          <w:p>
            <w:pPr>
              <w:jc w:val="right"/>
              <w:ind w:right="9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w:t>
            </w:r>
          </w:p>
        </w:tc>
        <w:tc>
          <w:tcPr>
            <w:tcW w:w="1220" w:type="dxa"/>
            <w:vAlign w:val="bottom"/>
            <w:gridSpan w:val="2"/>
            <w:shd w:val="clear" w:color="auto" w:fill="CFF0FC"/>
          </w:tcPr>
          <w:p>
            <w:pPr>
              <w:jc w:val="right"/>
              <w:ind w:right="10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80" w:type="dxa"/>
            <w:vAlign w:val="bottom"/>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5"/>
                <w:szCs w:val="15"/>
                <w:color w:val="auto"/>
              </w:rPr>
            </w:pPr>
          </w:p>
        </w:tc>
      </w:tr>
      <w:tr>
        <w:trPr>
          <w:trHeight w:val="22"/>
        </w:trPr>
        <w:tc>
          <w:tcPr>
            <w:tcW w:w="45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COMMON STOCK</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by getting approval from a majority of common stockholders.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months ended June 30, 2023, ACM issued 133,135 shares of Class A common stock upon option exercises by employees and non-employees. During the six months ended June 30, 2023, ACM issued 296,204 shares of Class A common stock upon option exercises by employees and non-employees.</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three months ended June 30, 2022, ACM issued 106,525 shares of Class A common stock upon option exercises by employees and non-employees. During the six months ended June 30, 2022, ACM issued 531,874 shares of Class A common stock upon option exercises by employees and non-employees and an additional 1,002 shares of Class A common stock upon conversion of an equal number of shares of Class B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the number of shares of Class A common stock issued and outstanding was 54,951,490 and 54,655,286,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the number of shares of Class B common stock issued and outstanding was 5,021,811 and 5,021,811,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STOCK-BASED COMPENSATION</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ACM’s stock-based compensation consists of employee and non-employee awards issued under its 1998 Stock Option Plan, its 2016 Omnibus Incentive Plan and as standalone options. The vesting condition may consist of a service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determined by the Board of Directors for a grant or certain performance conditions determined by the Board of Directors for a grant. The fair value of the stock options granted with a service period based condition is estimated at the date of grant using the Black-Scholes option pricing model. The fair value of the stock options granted with a market based condition is estimated at the date of grant using the Monte Carlo simulation model.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components of stock-based compensation expense included in the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60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8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Stock-Based Compensation Expense:</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1080" w:type="dxa"/>
            <w:vAlign w:val="bottom"/>
            <w:tcBorders>
              <w:bottom w:val="single" w:sz="8" w:color="CFF0FC"/>
            </w:tcBorders>
            <w:shd w:val="clear" w:color="auto" w:fill="CFF0FC"/>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020" w:type="dxa"/>
            <w:vAlign w:val="bottom"/>
            <w:tcBorders>
              <w:bottom w:val="single" w:sz="8" w:color="CFF0FC"/>
            </w:tcBorders>
            <w:shd w:val="clear" w:color="auto" w:fill="CFF0FC"/>
          </w:tcPr>
          <w:p>
            <w:pPr>
              <w:jc w:val="right"/>
              <w:ind w:right="8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20"/>
              <w:spacing w:after="0"/>
              <w:rPr>
                <w:sz w:val="20"/>
                <w:szCs w:val="20"/>
                <w:color w:val="auto"/>
              </w:rPr>
            </w:pPr>
            <w:r>
              <w:rPr>
                <w:rFonts w:ascii="Arial" w:cs="Arial" w:eastAsia="Arial" w:hAnsi="Arial"/>
                <w:sz w:val="14"/>
                <w:szCs w:val="14"/>
                <w:color w:val="auto"/>
              </w:rPr>
              <w:t>Sales and marketing expense</w:t>
            </w:r>
          </w:p>
        </w:tc>
        <w:tc>
          <w:tcPr>
            <w:tcW w:w="10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431</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574</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862</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Research and development expense</w:t>
            </w:r>
          </w:p>
        </w:tc>
        <w:tc>
          <w:tcPr>
            <w:tcW w:w="10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709</w:t>
            </w:r>
          </w:p>
        </w:tc>
        <w:tc>
          <w:tcPr>
            <w:tcW w:w="10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656</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0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752</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599</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1,563</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4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5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2,017</w:t>
            </w:r>
          </w:p>
        </w:tc>
        <w:tc>
          <w:tcPr>
            <w:tcW w:w="1020" w:type="dxa"/>
            <w:vAlign w:val="bottom"/>
            <w:tcBorders>
              <w:bottom w:val="single" w:sz="8" w:color="CFF0FC"/>
            </w:tcBorders>
            <w:shd w:val="clear" w:color="auto" w:fill="CFF0FC"/>
          </w:tcPr>
          <w:p>
            <w:pPr>
              <w:jc w:val="right"/>
              <w:ind w:right="8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1,969</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4,085</w:t>
            </w: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60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58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Stock-based compensation expense by type:</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option plan</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91"/>
        </w:trPr>
        <w:tc>
          <w:tcPr>
            <w:tcW w:w="4540" w:type="dxa"/>
            <w:vAlign w:val="bottom"/>
          </w:tcPr>
          <w:p>
            <w:pPr>
              <w:ind w:left="20"/>
              <w:spacing w:after="0"/>
              <w:rPr>
                <w:sz w:val="20"/>
                <w:szCs w:val="20"/>
                <w:color w:val="auto"/>
              </w:rPr>
            </w:pPr>
            <w:r>
              <w:rPr>
                <w:rFonts w:ascii="Arial" w:cs="Arial" w:eastAsia="Arial" w:hAnsi="Arial"/>
                <w:sz w:val="14"/>
                <w:szCs w:val="14"/>
                <w:color w:val="auto"/>
              </w:rPr>
              <w:t>Non-employee stock option plan</w:t>
            </w:r>
          </w:p>
        </w:tc>
        <w:tc>
          <w:tcPr>
            <w:tcW w:w="10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Subsidiary stock option plan</w:t>
            </w:r>
          </w:p>
        </w:tc>
        <w:tc>
          <w:tcPr>
            <w:tcW w:w="10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1080" w:type="dxa"/>
            <w:vAlign w:val="bottom"/>
            <w:tcBorders>
              <w:top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020" w:type="dxa"/>
            <w:vAlign w:val="bottom"/>
            <w:tcBorders>
              <w:top w:val="single" w:sz="8" w:color="auto"/>
            </w:tcBorders>
          </w:tcPr>
          <w:p>
            <w:pPr>
              <w:jc w:val="right"/>
              <w:ind w:right="849"/>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1,969</w:t>
            </w:r>
          </w:p>
        </w:tc>
        <w:tc>
          <w:tcPr>
            <w:tcW w:w="3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4,085</w:t>
            </w:r>
          </w:p>
        </w:tc>
        <w:tc>
          <w:tcPr>
            <w:tcW w:w="3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Awards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employee share option activities during the six months ended June 30,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b w:val="1"/>
                <w:bCs w:val="1"/>
                <w:color w:val="auto"/>
                <w:w w:val="88"/>
              </w:rPr>
              <w:t>Weighted</w:t>
            </w: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Weighted Average</w:t>
            </w:r>
          </w:p>
        </w:tc>
      </w:tr>
      <w:tr>
        <w:trPr>
          <w:trHeight w:val="170"/>
        </w:trPr>
        <w:tc>
          <w:tcPr>
            <w:tcW w:w="4660" w:type="dxa"/>
            <w:vAlign w:val="bottom"/>
          </w:tcPr>
          <w:p>
            <w:pPr>
              <w:spacing w:after="0"/>
              <w:rPr>
                <w:sz w:val="14"/>
                <w:szCs w:val="14"/>
                <w:color w:val="auto"/>
              </w:rPr>
            </w:pPr>
          </w:p>
        </w:tc>
        <w:tc>
          <w:tcPr>
            <w:tcW w:w="1920" w:type="dxa"/>
            <w:vAlign w:val="bottom"/>
          </w:tcPr>
          <w:p>
            <w:pPr>
              <w:jc w:val="right"/>
              <w:ind w:right="569"/>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Average Grant</w:t>
            </w:r>
          </w:p>
        </w:tc>
        <w:tc>
          <w:tcPr>
            <w:tcW w:w="220" w:type="dxa"/>
            <w:vAlign w:val="bottom"/>
          </w:tcPr>
          <w:p>
            <w:pPr>
              <w:spacing w:after="0"/>
              <w:rPr>
                <w:sz w:val="14"/>
                <w:szCs w:val="14"/>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b w:val="1"/>
                <w:bCs w:val="1"/>
                <w:color w:val="auto"/>
                <w:w w:val="86"/>
              </w:rPr>
              <w:t>Average</w:t>
            </w: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2"/>
              </w:rPr>
              <w:t>Remaining</w:t>
            </w:r>
          </w:p>
        </w:tc>
      </w:tr>
      <w:tr>
        <w:trPr>
          <w:trHeight w:val="184"/>
        </w:trPr>
        <w:tc>
          <w:tcPr>
            <w:tcW w:w="4660" w:type="dxa"/>
            <w:vAlign w:val="bottom"/>
          </w:tcPr>
          <w:p>
            <w:pPr>
              <w:spacing w:after="0"/>
              <w:rPr>
                <w:sz w:val="16"/>
                <w:szCs w:val="16"/>
                <w:color w:val="auto"/>
              </w:rPr>
            </w:pPr>
          </w:p>
        </w:tc>
        <w:tc>
          <w:tcPr>
            <w:tcW w:w="1920" w:type="dxa"/>
            <w:vAlign w:val="bottom"/>
          </w:tcPr>
          <w:p>
            <w:pPr>
              <w:jc w:val="right"/>
              <w:ind w:right="449"/>
              <w:spacing w:after="0"/>
              <w:rPr>
                <w:sz w:val="20"/>
                <w:szCs w:val="20"/>
                <w:color w:val="auto"/>
              </w:rPr>
            </w:pPr>
            <w:r>
              <w:rPr>
                <w:rFonts w:ascii="Arial" w:cs="Arial" w:eastAsia="Arial" w:hAnsi="Arial"/>
                <w:sz w:val="14"/>
                <w:szCs w:val="14"/>
                <w:b w:val="1"/>
                <w:bCs w:val="1"/>
                <w:color w:val="auto"/>
              </w:rPr>
              <w:t>Option Shares</w:t>
            </w:r>
          </w:p>
        </w:tc>
        <w:tc>
          <w:tcPr>
            <w:tcW w:w="180" w:type="dxa"/>
            <w:vAlign w:val="bottom"/>
          </w:tcPr>
          <w:p>
            <w:pPr>
              <w:spacing w:after="0"/>
              <w:rPr>
                <w:sz w:val="16"/>
                <w:szCs w:val="16"/>
                <w:color w:val="auto"/>
              </w:rPr>
            </w:pPr>
          </w:p>
        </w:tc>
        <w:tc>
          <w:tcPr>
            <w:tcW w:w="130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Date Fair Value</w:t>
            </w:r>
          </w:p>
        </w:tc>
        <w:tc>
          <w:tcPr>
            <w:tcW w:w="220" w:type="dxa"/>
            <w:vAlign w:val="bottom"/>
          </w:tcPr>
          <w:p>
            <w:pPr>
              <w:spacing w:after="0"/>
              <w:rPr>
                <w:sz w:val="16"/>
                <w:szCs w:val="16"/>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b w:val="1"/>
                <w:bCs w:val="1"/>
                <w:color w:val="auto"/>
                <w:w w:val="87"/>
              </w:rPr>
              <w:t>Exercise Price</w:t>
            </w: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4"/>
              </w:rPr>
              <w:t>Contractual Term</w:t>
            </w:r>
          </w:p>
        </w:tc>
      </w:tr>
      <w:tr>
        <w:trPr>
          <w:trHeight w:val="22"/>
        </w:trPr>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Outstanding at December 31, 2022</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9,211,641</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8.24</w:t>
            </w:r>
          </w:p>
        </w:tc>
        <w:tc>
          <w:tcPr>
            <w:tcW w:w="14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b w:val="1"/>
                <w:bCs w:val="1"/>
                <w:color w:val="auto"/>
                <w:w w:val="88"/>
              </w:rPr>
              <w:t>6.36 years</w:t>
            </w:r>
          </w:p>
        </w:tc>
      </w:tr>
      <w:tr>
        <w:trPr>
          <w:trHeight w:val="191"/>
        </w:trPr>
        <w:tc>
          <w:tcPr>
            <w:tcW w:w="4660" w:type="dxa"/>
            <w:vAlign w:val="bottom"/>
          </w:tcPr>
          <w:p>
            <w:pPr>
              <w:ind w:left="20"/>
              <w:spacing w:after="0"/>
              <w:rPr>
                <w:sz w:val="20"/>
                <w:szCs w:val="20"/>
                <w:color w:val="auto"/>
              </w:rPr>
            </w:pPr>
            <w:r>
              <w:rPr>
                <w:rFonts w:ascii="Arial" w:cs="Arial" w:eastAsia="Arial" w:hAnsi="Arial"/>
                <w:sz w:val="14"/>
                <w:szCs w:val="14"/>
                <w:color w:val="auto"/>
              </w:rPr>
              <w:t>Granted</w:t>
            </w:r>
          </w:p>
        </w:tc>
        <w:tc>
          <w:tcPr>
            <w:tcW w:w="1920" w:type="dxa"/>
            <w:vAlign w:val="bottom"/>
          </w:tcPr>
          <w:p>
            <w:pPr>
              <w:jc w:val="right"/>
              <w:spacing w:after="0"/>
              <w:rPr>
                <w:sz w:val="20"/>
                <w:szCs w:val="20"/>
                <w:color w:val="auto"/>
              </w:rPr>
            </w:pPr>
            <w:r>
              <w:rPr>
                <w:rFonts w:ascii="Arial" w:cs="Arial" w:eastAsia="Arial" w:hAnsi="Arial"/>
                <w:sz w:val="14"/>
                <w:szCs w:val="14"/>
                <w:color w:val="auto"/>
              </w:rPr>
              <w:t>24,000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11.85</w:t>
            </w:r>
          </w:p>
        </w:tc>
        <w:tc>
          <w:tcPr>
            <w:tcW w:w="1420" w:type="dxa"/>
            <w:vAlign w:val="bottom"/>
          </w:tcPr>
          <w:p>
            <w:pPr>
              <w:spacing w:after="0"/>
              <w:rPr>
                <w:sz w:val="16"/>
                <w:szCs w:val="16"/>
                <w:color w:val="auto"/>
              </w:rPr>
            </w:pPr>
          </w:p>
        </w:tc>
      </w:tr>
      <w:tr>
        <w:trPr>
          <w:trHeight w:val="22"/>
        </w:trPr>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(140,775)</w:t>
            </w: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color w:val="auto"/>
              </w:rPr>
              <w:t>4.00</w:t>
            </w:r>
          </w:p>
        </w:tc>
        <w:tc>
          <w:tcPr>
            <w:tcW w:w="1420" w:type="dxa"/>
            <w:vAlign w:val="bottom"/>
            <w:tcBorders>
              <w:bottom w:val="single" w:sz="8" w:color="CFF0FC"/>
            </w:tcBorders>
            <w:shd w:val="clear" w:color="auto" w:fill="CFF0FC"/>
          </w:tcPr>
          <w:p>
            <w:pPr>
              <w:spacing w:after="0"/>
              <w:rPr>
                <w:sz w:val="16"/>
                <w:szCs w:val="16"/>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4"/>
                <w:szCs w:val="14"/>
                <w:color w:val="auto"/>
              </w:rPr>
              <w:t>Forfeited/cancelled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(24,219)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11.88</w:t>
            </w:r>
          </w:p>
        </w:tc>
        <w:tc>
          <w:tcPr>
            <w:tcW w:w="220" w:type="dxa"/>
            <w:vAlign w:val="bottom"/>
          </w:tcPr>
          <w:p>
            <w:pPr>
              <w:spacing w:after="0"/>
              <w:rPr>
                <w:sz w:val="17"/>
                <w:szCs w:val="17"/>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24.45</w:t>
            </w:r>
          </w:p>
        </w:tc>
        <w:tc>
          <w:tcPr>
            <w:tcW w:w="1420" w:type="dxa"/>
            <w:vAlign w:val="bottom"/>
          </w:tcPr>
          <w:p>
            <w:pPr>
              <w:spacing w:after="0"/>
              <w:rPr>
                <w:sz w:val="17"/>
                <w:szCs w:val="17"/>
                <w:color w:val="auto"/>
              </w:rPr>
            </w:pPr>
          </w:p>
        </w:tc>
      </w:tr>
      <w:tr>
        <w:trPr>
          <w:trHeight w:val="233"/>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Outstanding at June 30, 2023</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9,070,647</w:t>
            </w:r>
          </w:p>
        </w:tc>
        <w:tc>
          <w:tcPr>
            <w:tcW w:w="180" w:type="dxa"/>
            <w:vAlign w:val="bottom"/>
            <w:tcBorders>
              <w:bottom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3.64</w:t>
            </w:r>
          </w:p>
        </w:tc>
        <w:tc>
          <w:tcPr>
            <w:tcW w:w="220" w:type="dxa"/>
            <w:vAlign w:val="bottom"/>
            <w:tcBorders>
              <w:bottom w:val="single" w:sz="8" w:color="CFF0FC"/>
            </w:tcBorders>
            <w:shd w:val="clear" w:color="auto" w:fill="CFF0FC"/>
          </w:tcPr>
          <w:p>
            <w:pPr>
              <w:jc w:val="right"/>
              <w:ind w:right="4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b w:val="1"/>
                <w:bCs w:val="1"/>
                <w:color w:val="auto"/>
              </w:rPr>
              <w:t>8.11</w:t>
            </w:r>
          </w:p>
        </w:tc>
        <w:tc>
          <w:tcPr>
            <w:tcW w:w="142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4"/>
                <w:szCs w:val="14"/>
                <w:b w:val="1"/>
                <w:bCs w:val="1"/>
                <w:color w:val="auto"/>
                <w:w w:val="88"/>
              </w:rPr>
              <w:t>5.59 years</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r>
      <w:tr>
        <w:trPr>
          <w:trHeight w:val="153"/>
        </w:trPr>
        <w:tc>
          <w:tcPr>
            <w:tcW w:w="4660" w:type="dxa"/>
            <w:vAlign w:val="bottom"/>
          </w:tcPr>
          <w:p>
            <w:pPr>
              <w:ind w:left="20"/>
              <w:spacing w:after="0" w:line="153" w:lineRule="exact"/>
              <w:rPr>
                <w:sz w:val="20"/>
                <w:szCs w:val="20"/>
                <w:color w:val="auto"/>
              </w:rPr>
            </w:pPr>
            <w:r>
              <w:rPr>
                <w:rFonts w:ascii="Arial" w:cs="Arial" w:eastAsia="Arial" w:hAnsi="Arial"/>
                <w:sz w:val="14"/>
                <w:szCs w:val="14"/>
                <w:color w:val="auto"/>
              </w:rPr>
              <w:t>Vested and exercisable at June 30, 2023</w:t>
            </w:r>
          </w:p>
        </w:tc>
        <w:tc>
          <w:tcPr>
            <w:tcW w:w="1920" w:type="dxa"/>
            <w:vAlign w:val="bottom"/>
          </w:tcPr>
          <w:p>
            <w:pPr>
              <w:jc w:val="right"/>
              <w:spacing w:after="0" w:line="153" w:lineRule="exact"/>
              <w:rPr>
                <w:sz w:val="20"/>
                <w:szCs w:val="20"/>
                <w:color w:val="auto"/>
              </w:rPr>
            </w:pPr>
            <w:r>
              <w:rPr>
                <w:rFonts w:ascii="Arial" w:cs="Arial" w:eastAsia="Arial" w:hAnsi="Arial"/>
                <w:sz w:val="14"/>
                <w:szCs w:val="14"/>
                <w:color w:val="auto"/>
              </w:rPr>
              <w:t>6,635,252</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2023 and December 31, 2022, $11,927 and $16,009, respectively, of total unrecognized employee stock-based compensation expense, net of estimated forfeitures, related to stock-based awards for ACM were expected to be recognized over a weighted-average period of 1.19 years and 1.53 years, respectively. Total recognized compensation cost may be adjusted for future changes in estimated forfeitures.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options granted to employees with a service period based condition is estimated on the grant date using the Black-Scholes valuation with following assumptions: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0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w w:val="98"/>
              </w:rPr>
              <w:t>Six Months Ended</w:t>
            </w:r>
          </w:p>
        </w:tc>
        <w:tc>
          <w:tcPr>
            <w:tcW w:w="1720" w:type="dxa"/>
            <w:vAlign w:val="bottom"/>
          </w:tcPr>
          <w:p>
            <w:pPr>
              <w:ind w:left="220"/>
              <w:spacing w:after="0"/>
              <w:rPr>
                <w:sz w:val="20"/>
                <w:szCs w:val="20"/>
                <w:color w:val="auto"/>
              </w:rPr>
            </w:pPr>
            <w:r>
              <w:rPr>
                <w:rFonts w:ascii="Arial" w:cs="Arial" w:eastAsia="Arial" w:hAnsi="Arial"/>
                <w:sz w:val="14"/>
                <w:szCs w:val="14"/>
                <w:b w:val="1"/>
                <w:bCs w:val="1"/>
                <w:color w:val="auto"/>
                <w:w w:val="95"/>
              </w:rPr>
              <w:t>Years ended December</w:t>
            </w:r>
          </w:p>
        </w:tc>
      </w:tr>
      <w:tr>
        <w:trPr>
          <w:trHeight w:val="184"/>
        </w:trPr>
        <w:tc>
          <w:tcPr>
            <w:tcW w:w="8100" w:type="dxa"/>
            <w:vAlign w:val="bottom"/>
          </w:tcPr>
          <w:p>
            <w:pPr>
              <w:spacing w:after="0"/>
              <w:rPr>
                <w:sz w:val="16"/>
                <w:szCs w:val="16"/>
                <w:color w:val="auto"/>
              </w:rPr>
            </w:pPr>
          </w:p>
        </w:tc>
        <w:tc>
          <w:tcPr>
            <w:tcW w:w="1400" w:type="dxa"/>
            <w:vAlign w:val="bottom"/>
          </w:tcPr>
          <w:p>
            <w:pPr>
              <w:ind w:left="340"/>
              <w:spacing w:after="0"/>
              <w:rPr>
                <w:sz w:val="20"/>
                <w:szCs w:val="20"/>
                <w:color w:val="auto"/>
              </w:rPr>
            </w:pPr>
            <w:r>
              <w:rPr>
                <w:rFonts w:ascii="Arial" w:cs="Arial" w:eastAsia="Arial" w:hAnsi="Arial"/>
                <w:sz w:val="14"/>
                <w:szCs w:val="14"/>
                <w:b w:val="1"/>
                <w:bCs w:val="1"/>
                <w:color w:val="auto"/>
              </w:rPr>
              <w:t>June 30, 2023</w:t>
            </w: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rPr>
              <w:t>31, 2022</w:t>
            </w:r>
          </w:p>
        </w:tc>
      </w:tr>
      <w:tr>
        <w:trPr>
          <w:trHeight w:val="22"/>
        </w:trPr>
        <w:tc>
          <w:tcPr>
            <w:tcW w:w="8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share of common stock (1)</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$11.85</w:t>
            </w:r>
          </w:p>
        </w:tc>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$16.83-$25.45</w:t>
            </w:r>
          </w:p>
        </w:tc>
      </w:tr>
      <w:tr>
        <w:trPr>
          <w:trHeight w:val="191"/>
        </w:trPr>
        <w:tc>
          <w:tcPr>
            <w:tcW w:w="8100" w:type="dxa"/>
            <w:vAlign w:val="bottom"/>
          </w:tcPr>
          <w:p>
            <w:pPr>
              <w:ind w:left="20"/>
              <w:spacing w:after="0"/>
              <w:rPr>
                <w:sz w:val="20"/>
                <w:szCs w:val="20"/>
                <w:color w:val="auto"/>
              </w:rPr>
            </w:pPr>
            <w:r>
              <w:rPr>
                <w:rFonts w:ascii="Arial" w:cs="Arial" w:eastAsia="Arial" w:hAnsi="Arial"/>
                <w:sz w:val="14"/>
                <w:szCs w:val="14"/>
                <w:color w:val="auto"/>
              </w:rPr>
              <w:t>Expected term in years(2)</w:t>
            </w:r>
          </w:p>
        </w:tc>
        <w:tc>
          <w:tcPr>
            <w:tcW w:w="1400" w:type="dxa"/>
            <w:vAlign w:val="bottom"/>
          </w:tcPr>
          <w:p>
            <w:pPr>
              <w:ind w:left="20"/>
              <w:spacing w:after="0"/>
              <w:rPr>
                <w:sz w:val="20"/>
                <w:szCs w:val="20"/>
                <w:color w:val="auto"/>
              </w:rPr>
            </w:pPr>
            <w:r>
              <w:rPr>
                <w:rFonts w:ascii="Arial" w:cs="Arial" w:eastAsia="Arial" w:hAnsi="Arial"/>
                <w:sz w:val="14"/>
                <w:szCs w:val="14"/>
                <w:color w:val="auto"/>
              </w:rPr>
              <w:t>6.25</w:t>
            </w:r>
          </w:p>
        </w:tc>
        <w:tc>
          <w:tcPr>
            <w:tcW w:w="1720" w:type="dxa"/>
            <w:vAlign w:val="bottom"/>
          </w:tcPr>
          <w:p>
            <w:pPr>
              <w:ind w:left="100"/>
              <w:spacing w:after="0"/>
              <w:rPr>
                <w:sz w:val="20"/>
                <w:szCs w:val="20"/>
                <w:color w:val="auto"/>
              </w:rPr>
            </w:pPr>
            <w:r>
              <w:rPr>
                <w:rFonts w:ascii="Arial" w:cs="Arial" w:eastAsia="Arial" w:hAnsi="Arial"/>
                <w:sz w:val="14"/>
                <w:szCs w:val="14"/>
                <w:color w:val="auto"/>
              </w:rPr>
              <w:t>5.50-6.25</w:t>
            </w:r>
          </w:p>
        </w:tc>
      </w:tr>
      <w:tr>
        <w:trPr>
          <w:trHeight w:val="22"/>
        </w:trPr>
        <w:tc>
          <w:tcPr>
            <w:tcW w:w="8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Volatility(3)</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52%</w:t>
            </w:r>
          </w:p>
        </w:tc>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49.43%-50.87%</w:t>
            </w:r>
          </w:p>
        </w:tc>
      </w:tr>
      <w:tr>
        <w:trPr>
          <w:trHeight w:val="191"/>
        </w:trPr>
        <w:tc>
          <w:tcPr>
            <w:tcW w:w="8100" w:type="dxa"/>
            <w:vAlign w:val="bottom"/>
          </w:tcPr>
          <w:p>
            <w:pPr>
              <w:ind w:left="20"/>
              <w:spacing w:after="0"/>
              <w:rPr>
                <w:sz w:val="20"/>
                <w:szCs w:val="20"/>
                <w:color w:val="auto"/>
              </w:rPr>
            </w:pPr>
            <w:r>
              <w:rPr>
                <w:rFonts w:ascii="Arial" w:cs="Arial" w:eastAsia="Arial" w:hAnsi="Arial"/>
                <w:sz w:val="14"/>
                <w:szCs w:val="14"/>
                <w:color w:val="auto"/>
              </w:rPr>
              <w:t>Risk-free interest rate(4)</w:t>
            </w:r>
          </w:p>
        </w:tc>
        <w:tc>
          <w:tcPr>
            <w:tcW w:w="1400" w:type="dxa"/>
            <w:vAlign w:val="bottom"/>
          </w:tcPr>
          <w:p>
            <w:pPr>
              <w:ind w:left="20"/>
              <w:spacing w:after="0"/>
              <w:rPr>
                <w:sz w:val="20"/>
                <w:szCs w:val="20"/>
                <w:color w:val="auto"/>
              </w:rPr>
            </w:pPr>
            <w:r>
              <w:rPr>
                <w:rFonts w:ascii="Arial" w:cs="Arial" w:eastAsia="Arial" w:hAnsi="Arial"/>
                <w:sz w:val="14"/>
                <w:szCs w:val="14"/>
                <w:color w:val="auto"/>
              </w:rPr>
              <w:t>4%</w:t>
            </w:r>
          </w:p>
        </w:tc>
        <w:tc>
          <w:tcPr>
            <w:tcW w:w="1720" w:type="dxa"/>
            <w:vAlign w:val="bottom"/>
          </w:tcPr>
          <w:p>
            <w:pPr>
              <w:ind w:left="100"/>
              <w:spacing w:after="0"/>
              <w:rPr>
                <w:sz w:val="20"/>
                <w:szCs w:val="20"/>
                <w:color w:val="auto"/>
              </w:rPr>
            </w:pPr>
            <w:r>
              <w:rPr>
                <w:rFonts w:ascii="Arial" w:cs="Arial" w:eastAsia="Arial" w:hAnsi="Arial"/>
                <w:sz w:val="14"/>
                <w:szCs w:val="14"/>
                <w:color w:val="auto"/>
              </w:rPr>
              <w:t>1.7%-3.04%</w:t>
            </w:r>
          </w:p>
        </w:tc>
      </w:tr>
      <w:tr>
        <w:trPr>
          <w:trHeight w:val="22"/>
        </w:trPr>
        <w:tc>
          <w:tcPr>
            <w:tcW w:w="8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1"/>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dividend(5)</w:t>
            </w:r>
          </w:p>
        </w:tc>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0%</w:t>
            </w:r>
          </w:p>
        </w:tc>
        <w:tc>
          <w:tcPr>
            <w:tcW w:w="1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w:t>
            </w:r>
          </w:p>
        </w:tc>
      </w:tr>
      <w:tr>
        <w:trPr>
          <w:trHeight w:val="22"/>
        </w:trPr>
        <w:tc>
          <w:tcPr>
            <w:tcW w:w="8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233"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Equal to closing value on the grant date.</w:t>
      </w:r>
    </w:p>
    <w:p>
      <w:pPr>
        <w:spacing w:after="0" w:line="19" w:lineRule="exact"/>
        <w:rPr>
          <w:rFonts w:ascii="Arial" w:cs="Arial" w:eastAsia="Arial" w:hAnsi="Arial"/>
          <w:sz w:val="14"/>
          <w:szCs w:val="14"/>
          <w:color w:val="auto"/>
        </w:rPr>
      </w:pPr>
    </w:p>
    <w:p>
      <w:pPr>
        <w:ind w:left="380" w:hanging="37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8" w:lineRule="exact"/>
        <w:rPr>
          <w:rFonts w:ascii="Arial" w:cs="Arial" w:eastAsia="Arial" w:hAnsi="Arial"/>
          <w:sz w:val="14"/>
          <w:szCs w:val="14"/>
          <w:color w:val="auto"/>
        </w:rPr>
      </w:pPr>
    </w:p>
    <w:p>
      <w:pPr>
        <w:ind w:left="380" w:hanging="37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Volatility is calculated based on the historical volatility of ACM’s comparable companies in the period equal to the expected term of each grant.</w:t>
      </w:r>
    </w:p>
    <w:p>
      <w:pPr>
        <w:spacing w:after="0" w:line="8" w:lineRule="exact"/>
        <w:rPr>
          <w:rFonts w:ascii="Arial" w:cs="Arial" w:eastAsia="Arial" w:hAnsi="Arial"/>
          <w:sz w:val="14"/>
          <w:szCs w:val="14"/>
          <w:color w:val="auto"/>
        </w:rPr>
      </w:pPr>
    </w:p>
    <w:p>
      <w:pPr>
        <w:ind w:left="380" w:hanging="37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8" w:lineRule="exact"/>
        <w:rPr>
          <w:rFonts w:ascii="Arial" w:cs="Arial" w:eastAsia="Arial" w:hAnsi="Arial"/>
          <w:sz w:val="14"/>
          <w:szCs w:val="14"/>
          <w:color w:val="auto"/>
        </w:rPr>
      </w:pPr>
    </w:p>
    <w:p>
      <w:pPr>
        <w:ind w:left="380" w:hanging="37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Expected dividend is assumed to be 0% as ACM has no history or expectation of paying a dividend on its common stock.</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Non-employee Awards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non-employee share option activities during the six months ended June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Weighted</w:t>
            </w:r>
          </w:p>
        </w:tc>
      </w:tr>
      <w:tr>
        <w:trPr>
          <w:trHeight w:val="170"/>
        </w:trPr>
        <w:tc>
          <w:tcPr>
            <w:tcW w:w="4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b w:val="1"/>
                <w:bCs w:val="1"/>
                <w:color w:val="auto"/>
                <w:w w:val="88"/>
              </w:rPr>
              <w:t>Weighted</w:t>
            </w: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Average</w:t>
            </w:r>
          </w:p>
        </w:tc>
      </w:tr>
      <w:tr>
        <w:trPr>
          <w:trHeight w:val="170"/>
        </w:trPr>
        <w:tc>
          <w:tcPr>
            <w:tcW w:w="4660" w:type="dxa"/>
            <w:vAlign w:val="bottom"/>
          </w:tcPr>
          <w:p>
            <w:pPr>
              <w:spacing w:after="0"/>
              <w:rPr>
                <w:sz w:val="14"/>
                <w:szCs w:val="14"/>
                <w:color w:val="auto"/>
              </w:rPr>
            </w:pPr>
          </w:p>
        </w:tc>
        <w:tc>
          <w:tcPr>
            <w:tcW w:w="1920" w:type="dxa"/>
            <w:vAlign w:val="bottom"/>
          </w:tcPr>
          <w:p>
            <w:pPr>
              <w:jc w:val="right"/>
              <w:ind w:right="569"/>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30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Average Grant</w:t>
            </w:r>
          </w:p>
        </w:tc>
        <w:tc>
          <w:tcPr>
            <w:tcW w:w="220" w:type="dxa"/>
            <w:vAlign w:val="bottom"/>
          </w:tcPr>
          <w:p>
            <w:pPr>
              <w:spacing w:after="0"/>
              <w:rPr>
                <w:sz w:val="14"/>
                <w:szCs w:val="14"/>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b w:val="1"/>
                <w:bCs w:val="1"/>
                <w:color w:val="auto"/>
                <w:w w:val="86"/>
              </w:rPr>
              <w:t>Average</w:t>
            </w: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2"/>
              </w:rPr>
              <w:t>Remaining</w:t>
            </w:r>
          </w:p>
        </w:tc>
      </w:tr>
      <w:tr>
        <w:trPr>
          <w:trHeight w:val="184"/>
        </w:trPr>
        <w:tc>
          <w:tcPr>
            <w:tcW w:w="4660" w:type="dxa"/>
            <w:vAlign w:val="bottom"/>
          </w:tcPr>
          <w:p>
            <w:pPr>
              <w:spacing w:after="0"/>
              <w:rPr>
                <w:sz w:val="16"/>
                <w:szCs w:val="16"/>
                <w:color w:val="auto"/>
              </w:rPr>
            </w:pPr>
          </w:p>
        </w:tc>
        <w:tc>
          <w:tcPr>
            <w:tcW w:w="1920" w:type="dxa"/>
            <w:vAlign w:val="bottom"/>
          </w:tcPr>
          <w:p>
            <w:pPr>
              <w:jc w:val="right"/>
              <w:ind w:right="449"/>
              <w:spacing w:after="0"/>
              <w:rPr>
                <w:sz w:val="20"/>
                <w:szCs w:val="20"/>
                <w:color w:val="auto"/>
              </w:rPr>
            </w:pPr>
            <w:r>
              <w:rPr>
                <w:rFonts w:ascii="Arial" w:cs="Arial" w:eastAsia="Arial" w:hAnsi="Arial"/>
                <w:sz w:val="14"/>
                <w:szCs w:val="14"/>
                <w:b w:val="1"/>
                <w:bCs w:val="1"/>
                <w:color w:val="auto"/>
              </w:rPr>
              <w:t>Option Shares</w:t>
            </w:r>
          </w:p>
        </w:tc>
        <w:tc>
          <w:tcPr>
            <w:tcW w:w="180" w:type="dxa"/>
            <w:vAlign w:val="bottom"/>
          </w:tcPr>
          <w:p>
            <w:pPr>
              <w:spacing w:after="0"/>
              <w:rPr>
                <w:sz w:val="16"/>
                <w:szCs w:val="16"/>
                <w:color w:val="auto"/>
              </w:rPr>
            </w:pPr>
          </w:p>
        </w:tc>
        <w:tc>
          <w:tcPr>
            <w:tcW w:w="130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Date Fair Value</w:t>
            </w:r>
          </w:p>
        </w:tc>
        <w:tc>
          <w:tcPr>
            <w:tcW w:w="220" w:type="dxa"/>
            <w:vAlign w:val="bottom"/>
          </w:tcPr>
          <w:p>
            <w:pPr>
              <w:spacing w:after="0"/>
              <w:rPr>
                <w:sz w:val="16"/>
                <w:szCs w:val="16"/>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b w:val="1"/>
                <w:bCs w:val="1"/>
                <w:color w:val="auto"/>
                <w:w w:val="87"/>
              </w:rPr>
              <w:t>Exercise Price</w:t>
            </w:r>
          </w:p>
        </w:tc>
        <w:tc>
          <w:tcPr>
            <w:tcW w:w="1420" w:type="dxa"/>
            <w:vAlign w:val="bottom"/>
          </w:tcPr>
          <w:p>
            <w:pPr>
              <w:jc w:val="center"/>
              <w:ind w:right="9"/>
              <w:spacing w:after="0"/>
              <w:rPr>
                <w:sz w:val="20"/>
                <w:szCs w:val="20"/>
                <w:color w:val="auto"/>
              </w:rPr>
            </w:pPr>
            <w:r>
              <w:rPr>
                <w:rFonts w:ascii="Arial" w:cs="Arial" w:eastAsia="Arial" w:hAnsi="Arial"/>
                <w:sz w:val="14"/>
                <w:szCs w:val="14"/>
                <w:b w:val="1"/>
                <w:bCs w:val="1"/>
                <w:color w:val="auto"/>
                <w:w w:val="94"/>
              </w:rPr>
              <w:t>Contractual Term</w:t>
            </w:r>
          </w:p>
        </w:tc>
      </w:tr>
      <w:tr>
        <w:trPr>
          <w:trHeight w:val="22"/>
        </w:trPr>
        <w:tc>
          <w:tcPr>
            <w:tcW w:w="4660" w:type="dxa"/>
            <w:vAlign w:val="bottom"/>
            <w:tcBorders>
              <w:bottom w:val="single" w:sz="8" w:color="CFF0FC"/>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Outstanding at December 31, 2022</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1,483,658</w:t>
            </w:r>
          </w:p>
        </w:tc>
        <w:tc>
          <w:tcPr>
            <w:tcW w:w="180" w:type="dxa"/>
            <w:vAlign w:val="bottom"/>
            <w:tcBorders>
              <w:bottom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0.38</w:t>
            </w:r>
          </w:p>
        </w:tc>
        <w:tc>
          <w:tcPr>
            <w:tcW w:w="220" w:type="dxa"/>
            <w:vAlign w:val="bottom"/>
            <w:tcBorders>
              <w:bottom w:val="single" w:sz="8" w:color="CFF0FC"/>
            </w:tcBorders>
            <w:shd w:val="clear" w:color="auto" w:fill="CFF0FC"/>
          </w:tcPr>
          <w:p>
            <w:pPr>
              <w:jc w:val="right"/>
              <w:ind w:right="4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b w:val="1"/>
                <w:bCs w:val="1"/>
                <w:color w:val="auto"/>
              </w:rPr>
              <w:t>1.15</w:t>
            </w:r>
          </w:p>
        </w:tc>
        <w:tc>
          <w:tcPr>
            <w:tcW w:w="142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4"/>
                <w:szCs w:val="14"/>
                <w:b w:val="1"/>
                <w:bCs w:val="1"/>
                <w:color w:val="auto"/>
                <w:w w:val="88"/>
              </w:rPr>
              <w:t>3.68 years</w:t>
            </w:r>
          </w:p>
        </w:tc>
      </w:tr>
      <w:tr>
        <w:trPr>
          <w:trHeight w:val="191"/>
        </w:trPr>
        <w:tc>
          <w:tcPr>
            <w:tcW w:w="466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920" w:type="dxa"/>
            <w:vAlign w:val="bottom"/>
          </w:tcPr>
          <w:p>
            <w:pPr>
              <w:jc w:val="right"/>
              <w:spacing w:after="0"/>
              <w:rPr>
                <w:sz w:val="20"/>
                <w:szCs w:val="20"/>
                <w:color w:val="auto"/>
              </w:rPr>
            </w:pPr>
            <w:r>
              <w:rPr>
                <w:rFonts w:ascii="Arial" w:cs="Arial" w:eastAsia="Arial" w:hAnsi="Arial"/>
                <w:sz w:val="14"/>
                <w:szCs w:val="14"/>
                <w:color w:val="auto"/>
              </w:rPr>
              <w:t>(155,429)</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0.24</w:t>
            </w:r>
          </w:p>
        </w:tc>
        <w:tc>
          <w:tcPr>
            <w:tcW w:w="22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0.57</w:t>
            </w:r>
          </w:p>
        </w:tc>
        <w:tc>
          <w:tcPr>
            <w:tcW w:w="1420" w:type="dxa"/>
            <w:vAlign w:val="bottom"/>
          </w:tcPr>
          <w:p>
            <w:pPr>
              <w:spacing w:after="0"/>
              <w:rPr>
                <w:sz w:val="16"/>
                <w:szCs w:val="16"/>
                <w:color w:val="auto"/>
              </w:rPr>
            </w:pPr>
          </w:p>
        </w:tc>
      </w:tr>
      <w:tr>
        <w:trPr>
          <w:trHeight w:val="22"/>
        </w:trPr>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2"/>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Forfeited/cancelled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(8,103)</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0.22</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color w:val="auto"/>
              </w:rPr>
              <w:t>0.50</w:t>
            </w:r>
          </w:p>
        </w:tc>
        <w:tc>
          <w:tcPr>
            <w:tcW w:w="1420" w:type="dxa"/>
            <w:vAlign w:val="bottom"/>
            <w:tcBorders>
              <w:bottom w:val="single" w:sz="8" w:color="CFF0FC"/>
            </w:tcBorders>
            <w:shd w:val="clear" w:color="auto" w:fill="CFF0FC"/>
          </w:tcPr>
          <w:p>
            <w:pPr>
              <w:spacing w:after="0"/>
              <w:rPr>
                <w:sz w:val="18"/>
                <w:szCs w:val="18"/>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Outstanding at June 30, 2023</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1,320,126</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69"/>
              <w:spacing w:after="0"/>
              <w:rPr>
                <w:sz w:val="20"/>
                <w:szCs w:val="20"/>
                <w:color w:val="auto"/>
              </w:rPr>
            </w:pPr>
            <w:r>
              <w:rPr>
                <w:rFonts w:ascii="Arial" w:cs="Arial" w:eastAsia="Arial" w:hAnsi="Arial"/>
                <w:sz w:val="14"/>
                <w:szCs w:val="14"/>
                <w:b w:val="1"/>
                <w:bCs w:val="1"/>
                <w:color w:val="auto"/>
              </w:rPr>
              <w:t>1.22</w:t>
            </w:r>
          </w:p>
        </w:tc>
        <w:tc>
          <w:tcPr>
            <w:tcW w:w="1420" w:type="dxa"/>
            <w:vAlign w:val="bottom"/>
          </w:tcPr>
          <w:p>
            <w:pPr>
              <w:ind w:left="800"/>
              <w:spacing w:after="0"/>
              <w:rPr>
                <w:sz w:val="20"/>
                <w:szCs w:val="20"/>
                <w:color w:val="auto"/>
              </w:rPr>
            </w:pPr>
            <w:r>
              <w:rPr>
                <w:rFonts w:ascii="Arial" w:cs="Arial" w:eastAsia="Arial" w:hAnsi="Arial"/>
                <w:sz w:val="14"/>
                <w:szCs w:val="14"/>
                <w:b w:val="1"/>
                <w:bCs w:val="1"/>
                <w:color w:val="auto"/>
                <w:w w:val="88"/>
              </w:rPr>
              <w:t>3.04 years</w:t>
            </w:r>
          </w:p>
        </w:tc>
      </w:tr>
      <w:tr>
        <w:trPr>
          <w:trHeight w:val="20"/>
        </w:trPr>
        <w:tc>
          <w:tcPr>
            <w:tcW w:w="4660" w:type="dxa"/>
            <w:vAlign w:val="bottom"/>
            <w:tcBorders>
              <w:bottom w:val="single" w:sz="8" w:color="CFF0FC"/>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r>
      <w:tr>
        <w:trPr>
          <w:trHeight w:val="173"/>
        </w:trPr>
        <w:tc>
          <w:tcPr>
            <w:tcW w:w="4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Vested and exercisable at June 30, 2023</w:t>
            </w: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1,308,876</w:t>
            </w: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22"/>
        </w:trPr>
        <w:tc>
          <w:tcPr>
            <w:tcW w:w="466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r>
    </w:tbl>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2023 and December 31, 2022, $32 and $55, respectively, of total unrecognized non-employee stock-based compensation expense, net of estimated forfeitures, related to stock-based awards were expected to be recognized over a weighted-average period of 0.03 years and 0.06 years, respectively. Total recognized compensation cost may be adjusted for future changes in estimated forfeitures.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ACM Shanghai Option Grants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have a short history of trading on a public market, the expected volatility is estimated with reference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to the average historical volatility of a group of publicly traded companies that are believed to have similar characteristics to ACM Shanghai.</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rPr>
                <w:sz w:val="20"/>
                <w:szCs w:val="20"/>
                <w:color w:val="auto"/>
              </w:rPr>
            </w:pPr>
            <w:r>
              <w:rPr>
                <w:rFonts w:ascii="Arial" w:cs="Arial" w:eastAsia="Arial" w:hAnsi="Arial"/>
                <w:sz w:val="14"/>
                <w:szCs w:val="14"/>
                <w:color w:val="auto"/>
              </w:rPr>
              <w:t>The</w:t>
            </w:r>
          </w:p>
        </w:tc>
        <w:tc>
          <w:tcPr>
            <w:tcW w:w="720" w:type="dxa"/>
            <w:vAlign w:val="bottom"/>
          </w:tcPr>
          <w:p>
            <w:pPr>
              <w:spacing w:after="0"/>
              <w:rPr>
                <w:sz w:val="20"/>
                <w:szCs w:val="20"/>
                <w:color w:val="auto"/>
              </w:rPr>
            </w:pPr>
            <w:r>
              <w:rPr>
                <w:rFonts w:ascii="Arial" w:cs="Arial" w:eastAsia="Arial" w:hAnsi="Arial"/>
                <w:sz w:val="14"/>
                <w:szCs w:val="14"/>
                <w:color w:val="auto"/>
              </w:rPr>
              <w:t>following</w:t>
            </w:r>
          </w:p>
        </w:tc>
        <w:tc>
          <w:tcPr>
            <w:tcW w:w="640" w:type="dxa"/>
            <w:vAlign w:val="bottom"/>
          </w:tcPr>
          <w:p>
            <w:pPr>
              <w:ind w:left="140"/>
              <w:spacing w:after="0"/>
              <w:rPr>
                <w:sz w:val="20"/>
                <w:szCs w:val="20"/>
                <w:color w:val="auto"/>
              </w:rPr>
            </w:pPr>
            <w:r>
              <w:rPr>
                <w:rFonts w:ascii="Arial" w:cs="Arial" w:eastAsia="Arial" w:hAnsi="Arial"/>
                <w:sz w:val="14"/>
                <w:szCs w:val="14"/>
                <w:color w:val="auto"/>
              </w:rPr>
              <w:t>table</w:t>
            </w:r>
          </w:p>
        </w:tc>
        <w:tc>
          <w:tcPr>
            <w:tcW w:w="900" w:type="dxa"/>
            <w:vAlign w:val="bottom"/>
          </w:tcPr>
          <w:p>
            <w:pPr>
              <w:ind w:left="80"/>
              <w:spacing w:after="0"/>
              <w:rPr>
                <w:sz w:val="20"/>
                <w:szCs w:val="20"/>
                <w:color w:val="auto"/>
              </w:rPr>
            </w:pPr>
            <w:r>
              <w:rPr>
                <w:rFonts w:ascii="Arial" w:cs="Arial" w:eastAsia="Arial" w:hAnsi="Arial"/>
                <w:sz w:val="14"/>
                <w:szCs w:val="14"/>
                <w:color w:val="auto"/>
              </w:rPr>
              <w:t>summarizes</w:t>
            </w:r>
          </w:p>
        </w:tc>
        <w:tc>
          <w:tcPr>
            <w:tcW w:w="480" w:type="dxa"/>
            <w:vAlign w:val="bottom"/>
          </w:tcPr>
          <w:p>
            <w:pPr>
              <w:ind w:left="160"/>
              <w:spacing w:after="0"/>
              <w:rPr>
                <w:sz w:val="20"/>
                <w:szCs w:val="20"/>
                <w:color w:val="auto"/>
              </w:rPr>
            </w:pPr>
            <w:r>
              <w:rPr>
                <w:rFonts w:ascii="Arial" w:cs="Arial" w:eastAsia="Arial" w:hAnsi="Arial"/>
                <w:sz w:val="14"/>
                <w:szCs w:val="14"/>
                <w:color w:val="auto"/>
              </w:rPr>
              <w:t>the</w:t>
            </w:r>
          </w:p>
        </w:tc>
        <w:tc>
          <w:tcPr>
            <w:tcW w:w="620" w:type="dxa"/>
            <w:vAlign w:val="bottom"/>
          </w:tcPr>
          <w:p>
            <w:pPr>
              <w:ind w:left="140"/>
              <w:spacing w:after="0"/>
              <w:rPr>
                <w:sz w:val="20"/>
                <w:szCs w:val="20"/>
                <w:color w:val="auto"/>
              </w:rPr>
            </w:pPr>
            <w:r>
              <w:rPr>
                <w:rFonts w:ascii="Arial" w:cs="Arial" w:eastAsia="Arial" w:hAnsi="Arial"/>
                <w:sz w:val="14"/>
                <w:szCs w:val="14"/>
                <w:color w:val="auto"/>
              </w:rPr>
              <w:t>ACM</w:t>
            </w:r>
          </w:p>
        </w:tc>
        <w:tc>
          <w:tcPr>
            <w:tcW w:w="820" w:type="dxa"/>
            <w:vAlign w:val="bottom"/>
          </w:tcPr>
          <w:p>
            <w:pPr>
              <w:ind w:left="160"/>
              <w:spacing w:after="0"/>
              <w:rPr>
                <w:sz w:val="20"/>
                <w:szCs w:val="20"/>
                <w:color w:val="auto"/>
              </w:rPr>
            </w:pPr>
            <w:r>
              <w:rPr>
                <w:rFonts w:ascii="Arial" w:cs="Arial" w:eastAsia="Arial" w:hAnsi="Arial"/>
                <w:sz w:val="14"/>
                <w:szCs w:val="14"/>
                <w:color w:val="auto"/>
              </w:rPr>
              <w:t>Shanghai</w:t>
            </w:r>
          </w:p>
        </w:tc>
        <w:tc>
          <w:tcPr>
            <w:tcW w:w="560" w:type="dxa"/>
            <w:vAlign w:val="bottom"/>
            <w:gridSpan w:val="2"/>
          </w:tcPr>
          <w:p>
            <w:pPr>
              <w:ind w:left="160"/>
              <w:spacing w:after="0"/>
              <w:rPr>
                <w:sz w:val="20"/>
                <w:szCs w:val="20"/>
                <w:color w:val="auto"/>
              </w:rPr>
            </w:pPr>
            <w:r>
              <w:rPr>
                <w:rFonts w:ascii="Arial" w:cs="Arial" w:eastAsia="Arial" w:hAnsi="Arial"/>
                <w:sz w:val="14"/>
                <w:szCs w:val="14"/>
                <w:color w:val="auto"/>
              </w:rPr>
              <w:t>stock</w:t>
            </w:r>
          </w:p>
        </w:tc>
        <w:tc>
          <w:tcPr>
            <w:tcW w:w="620" w:type="dxa"/>
            <w:vAlign w:val="bottom"/>
          </w:tcPr>
          <w:p>
            <w:pPr>
              <w:ind w:left="200"/>
              <w:spacing w:after="0"/>
              <w:rPr>
                <w:sz w:val="20"/>
                <w:szCs w:val="20"/>
                <w:color w:val="auto"/>
              </w:rPr>
            </w:pPr>
            <w:r>
              <w:rPr>
                <w:rFonts w:ascii="Arial" w:cs="Arial" w:eastAsia="Arial" w:hAnsi="Arial"/>
                <w:sz w:val="14"/>
                <w:szCs w:val="14"/>
                <w:color w:val="auto"/>
              </w:rPr>
              <w:t>option</w:t>
            </w:r>
          </w:p>
        </w:tc>
        <w:tc>
          <w:tcPr>
            <w:tcW w:w="900" w:type="dxa"/>
            <w:vAlign w:val="bottom"/>
            <w:gridSpan w:val="2"/>
          </w:tcPr>
          <w:p>
            <w:pPr>
              <w:jc w:val="right"/>
              <w:ind w:right="69"/>
              <w:spacing w:after="0"/>
              <w:rPr>
                <w:sz w:val="20"/>
                <w:szCs w:val="20"/>
                <w:color w:val="auto"/>
              </w:rPr>
            </w:pPr>
            <w:r>
              <w:rPr>
                <w:rFonts w:ascii="Arial" w:cs="Arial" w:eastAsia="Arial" w:hAnsi="Arial"/>
                <w:sz w:val="14"/>
                <w:szCs w:val="14"/>
                <w:color w:val="auto"/>
              </w:rPr>
              <w:t>activities</w:t>
            </w:r>
          </w:p>
        </w:tc>
        <w:tc>
          <w:tcPr>
            <w:tcW w:w="680" w:type="dxa"/>
            <w:vAlign w:val="bottom"/>
          </w:tcPr>
          <w:p>
            <w:pPr>
              <w:ind w:left="160"/>
              <w:spacing w:after="0"/>
              <w:rPr>
                <w:sz w:val="20"/>
                <w:szCs w:val="20"/>
                <w:color w:val="auto"/>
              </w:rPr>
            </w:pPr>
            <w:r>
              <w:rPr>
                <w:rFonts w:ascii="Arial" w:cs="Arial" w:eastAsia="Arial" w:hAnsi="Arial"/>
                <w:sz w:val="14"/>
                <w:szCs w:val="14"/>
                <w:color w:val="auto"/>
              </w:rPr>
              <w:t>during</w:t>
            </w:r>
          </w:p>
        </w:tc>
        <w:tc>
          <w:tcPr>
            <w:tcW w:w="600" w:type="dxa"/>
            <w:vAlign w:val="bottom"/>
          </w:tcPr>
          <w:p>
            <w:pPr>
              <w:jc w:val="right"/>
              <w:ind w:right="209"/>
              <w:spacing w:after="0"/>
              <w:rPr>
                <w:sz w:val="20"/>
                <w:szCs w:val="20"/>
                <w:color w:val="auto"/>
              </w:rPr>
            </w:pPr>
            <w:r>
              <w:rPr>
                <w:rFonts w:ascii="Arial" w:cs="Arial" w:eastAsia="Arial" w:hAnsi="Arial"/>
                <w:sz w:val="14"/>
                <w:szCs w:val="14"/>
                <w:color w:val="auto"/>
              </w:rPr>
              <w:t>the</w:t>
            </w:r>
          </w:p>
        </w:tc>
        <w:tc>
          <w:tcPr>
            <w:tcW w:w="280" w:type="dxa"/>
            <w:vAlign w:val="bottom"/>
          </w:tcPr>
          <w:p>
            <w:pPr>
              <w:ind w:left="20"/>
              <w:spacing w:after="0"/>
              <w:rPr>
                <w:sz w:val="20"/>
                <w:szCs w:val="20"/>
                <w:color w:val="auto"/>
              </w:rPr>
            </w:pPr>
            <w:r>
              <w:rPr>
                <w:rFonts w:ascii="Arial" w:cs="Arial" w:eastAsia="Arial" w:hAnsi="Arial"/>
                <w:sz w:val="14"/>
                <w:szCs w:val="14"/>
                <w:color w:val="auto"/>
              </w:rPr>
              <w:t>six</w:t>
            </w:r>
          </w:p>
        </w:tc>
        <w:tc>
          <w:tcPr>
            <w:tcW w:w="940" w:type="dxa"/>
            <w:vAlign w:val="bottom"/>
          </w:tcPr>
          <w:p>
            <w:pPr>
              <w:ind w:left="220"/>
              <w:spacing w:after="0"/>
              <w:rPr>
                <w:sz w:val="20"/>
                <w:szCs w:val="20"/>
                <w:color w:val="auto"/>
              </w:rPr>
            </w:pPr>
            <w:r>
              <w:rPr>
                <w:rFonts w:ascii="Arial" w:cs="Arial" w:eastAsia="Arial" w:hAnsi="Arial"/>
                <w:sz w:val="14"/>
                <w:szCs w:val="14"/>
                <w:color w:val="auto"/>
              </w:rPr>
              <w:t>months</w:t>
            </w:r>
          </w:p>
        </w:tc>
        <w:tc>
          <w:tcPr>
            <w:tcW w:w="420" w:type="dxa"/>
            <w:vAlign w:val="bottom"/>
          </w:tcPr>
          <w:p>
            <w:pPr>
              <w:spacing w:after="0"/>
              <w:rPr>
                <w:sz w:val="20"/>
                <w:szCs w:val="20"/>
                <w:color w:val="auto"/>
              </w:rPr>
            </w:pPr>
            <w:r>
              <w:rPr>
                <w:rFonts w:ascii="Arial" w:cs="Arial" w:eastAsia="Arial" w:hAnsi="Arial"/>
                <w:sz w:val="14"/>
                <w:szCs w:val="14"/>
                <w:color w:val="auto"/>
              </w:rPr>
              <w:t>ended</w:t>
            </w:r>
          </w:p>
        </w:tc>
        <w:tc>
          <w:tcPr>
            <w:tcW w:w="620" w:type="dxa"/>
            <w:vAlign w:val="bottom"/>
          </w:tcPr>
          <w:p>
            <w:pPr>
              <w:ind w:left="220"/>
              <w:spacing w:after="0"/>
              <w:rPr>
                <w:sz w:val="20"/>
                <w:szCs w:val="20"/>
                <w:color w:val="auto"/>
              </w:rPr>
            </w:pPr>
            <w:r>
              <w:rPr>
                <w:rFonts w:ascii="Arial" w:cs="Arial" w:eastAsia="Arial" w:hAnsi="Arial"/>
                <w:sz w:val="14"/>
                <w:szCs w:val="14"/>
                <w:color w:val="auto"/>
              </w:rPr>
              <w:t>June</w:t>
            </w:r>
          </w:p>
        </w:tc>
        <w:tc>
          <w:tcPr>
            <w:tcW w:w="600" w:type="dxa"/>
            <w:vAlign w:val="bottom"/>
          </w:tcPr>
          <w:p>
            <w:pPr>
              <w:jc w:val="right"/>
              <w:ind w:right="189"/>
              <w:spacing w:after="0"/>
              <w:rPr>
                <w:sz w:val="20"/>
                <w:szCs w:val="20"/>
                <w:color w:val="auto"/>
              </w:rPr>
            </w:pPr>
            <w:r>
              <w:rPr>
                <w:rFonts w:ascii="Arial" w:cs="Arial" w:eastAsia="Arial" w:hAnsi="Arial"/>
                <w:sz w:val="14"/>
                <w:szCs w:val="14"/>
                <w:color w:val="auto"/>
              </w:rPr>
              <w:t>30,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2023:</w:t>
            </w:r>
          </w:p>
        </w:tc>
      </w:tr>
      <w:tr>
        <w:trPr>
          <w:trHeight w:val="198"/>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70"/>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28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auto"/>
                <w:w w:val="91"/>
              </w:rPr>
              <w:t>Option Shares in</w:t>
            </w:r>
          </w:p>
        </w:tc>
        <w:tc>
          <w:tcPr>
            <w:tcW w:w="180" w:type="dxa"/>
            <w:vAlign w:val="bottom"/>
          </w:tcPr>
          <w:p>
            <w:pPr>
              <w:spacing w:after="0"/>
              <w:rPr>
                <w:sz w:val="14"/>
                <w:szCs w:val="14"/>
                <w:color w:val="auto"/>
              </w:rPr>
            </w:pPr>
          </w:p>
        </w:tc>
        <w:tc>
          <w:tcPr>
            <w:tcW w:w="128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93"/>
              </w:rPr>
              <w:t>Average Grant</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4"/>
                <w:szCs w:val="14"/>
                <w:color w:val="auto"/>
              </w:rPr>
            </w:pPr>
          </w:p>
        </w:tc>
        <w:tc>
          <w:tcPr>
            <w:tcW w:w="1220" w:type="dxa"/>
            <w:vAlign w:val="bottom"/>
            <w:gridSpan w:val="2"/>
          </w:tcPr>
          <w:p>
            <w:pPr>
              <w:jc w:val="center"/>
              <w:ind w:left="9"/>
              <w:spacing w:after="0"/>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4"/>
        </w:trPr>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auto"/>
                <w:w w:val="95"/>
              </w:rPr>
              <w:t>ACM Shanghai</w:t>
            </w:r>
          </w:p>
        </w:tc>
        <w:tc>
          <w:tcPr>
            <w:tcW w:w="180" w:type="dxa"/>
            <w:vAlign w:val="bottom"/>
          </w:tcPr>
          <w:p>
            <w:pPr>
              <w:spacing w:after="0"/>
              <w:rPr>
                <w:sz w:val="16"/>
                <w:szCs w:val="16"/>
                <w:color w:val="auto"/>
              </w:rPr>
            </w:pPr>
          </w:p>
        </w:tc>
        <w:tc>
          <w:tcPr>
            <w:tcW w:w="128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92"/>
              </w:rPr>
              <w:t>Date Fair Value</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
        </w:trPr>
        <w:tc>
          <w:tcPr>
            <w:tcW w:w="27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183"/>
        </w:trPr>
        <w:tc>
          <w:tcPr>
            <w:tcW w:w="27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b w:val="1"/>
                <w:bCs w:val="1"/>
                <w:color w:val="auto"/>
              </w:rPr>
              <w:t>Outstanding at December 31, 2022</w:t>
            </w:r>
          </w:p>
        </w:tc>
        <w:tc>
          <w:tcPr>
            <w:tcW w:w="4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5,377,500</w:t>
            </w:r>
          </w:p>
        </w:tc>
        <w:tc>
          <w:tcPr>
            <w:tcW w:w="180" w:type="dxa"/>
            <w:vAlign w:val="bottom"/>
            <w:tcBorders>
              <w:top w:val="single" w:sz="8" w:color="auto"/>
              <w:bottom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0.23</w:t>
            </w:r>
          </w:p>
        </w:tc>
        <w:tc>
          <w:tcPr>
            <w:tcW w:w="280" w:type="dxa"/>
            <w:vAlign w:val="bottom"/>
            <w:tcBorders>
              <w:top w:val="single" w:sz="8" w:color="auto"/>
              <w:bottom w:val="single" w:sz="8" w:color="CFF0FC"/>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1.93</w:t>
            </w:r>
          </w:p>
        </w:tc>
        <w:tc>
          <w:tcPr>
            <w:tcW w:w="620" w:type="dxa"/>
            <w:vAlign w:val="bottom"/>
            <w:tcBorders>
              <w:top w:val="single" w:sz="8" w:color="auto"/>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CFF0FC"/>
            </w:tcBorders>
            <w:gridSpan w:val="2"/>
            <w:shd w:val="clear" w:color="auto" w:fill="CFF0FC"/>
          </w:tcPr>
          <w:p>
            <w:pPr>
              <w:ind w:left="140"/>
              <w:spacing w:after="0"/>
              <w:rPr>
                <w:sz w:val="20"/>
                <w:szCs w:val="20"/>
                <w:color w:val="auto"/>
              </w:rPr>
            </w:pPr>
            <w:r>
              <w:rPr>
                <w:rFonts w:ascii="Arial" w:cs="Arial" w:eastAsia="Arial" w:hAnsi="Arial"/>
                <w:sz w:val="14"/>
                <w:szCs w:val="14"/>
                <w:b w:val="1"/>
                <w:bCs w:val="1"/>
                <w:color w:val="auto"/>
                <w:w w:val="88"/>
              </w:rPr>
              <w:t>1.76 years</w:t>
            </w:r>
          </w:p>
        </w:tc>
        <w:tc>
          <w:tcPr>
            <w:tcW w:w="200" w:type="dxa"/>
            <w:vAlign w:val="bottom"/>
          </w:tcPr>
          <w:p>
            <w:pPr>
              <w:spacing w:after="0"/>
              <w:rPr>
                <w:sz w:val="15"/>
                <w:szCs w:val="15"/>
                <w:color w:val="auto"/>
              </w:rPr>
            </w:pPr>
          </w:p>
        </w:tc>
      </w:tr>
      <w:tr>
        <w:trPr>
          <w:trHeight w:val="191"/>
        </w:trPr>
        <w:tc>
          <w:tcPr>
            <w:tcW w:w="520" w:type="dxa"/>
            <w:vAlign w:val="bottom"/>
          </w:tcPr>
          <w:p>
            <w:pPr>
              <w:ind w:left="20"/>
              <w:spacing w:after="0"/>
              <w:rPr>
                <w:sz w:val="20"/>
                <w:szCs w:val="20"/>
                <w:color w:val="auto"/>
              </w:rPr>
            </w:pPr>
            <w:r>
              <w:rPr>
                <w:rFonts w:ascii="Arial" w:cs="Arial" w:eastAsia="Arial" w:hAnsi="Arial"/>
                <w:sz w:val="14"/>
                <w:szCs w:val="14"/>
                <w:color w:val="auto"/>
                <w:w w:val="89"/>
              </w:rPr>
              <w:t>Exercise</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(2,150,309)</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0.20</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1.88</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
        </w:trPr>
        <w:tc>
          <w:tcPr>
            <w:tcW w:w="1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Forfeited/cancelled</w:t>
            </w:r>
          </w:p>
        </w:tc>
        <w:tc>
          <w:tcPr>
            <w:tcW w:w="6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(92,308)</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1.88</w:t>
            </w: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r>
      <w:tr>
        <w:trPr>
          <w:trHeight w:val="212"/>
        </w:trPr>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Outstanding at June 30, 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3,134,883</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0.23</w:t>
            </w: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1.90</w:t>
            </w:r>
          </w:p>
        </w:tc>
        <w:tc>
          <w:tcPr>
            <w:tcW w:w="620" w:type="dxa"/>
            <w:vAlign w:val="bottom"/>
          </w:tcPr>
          <w:p>
            <w:pPr>
              <w:spacing w:after="0"/>
              <w:rPr>
                <w:sz w:val="18"/>
                <w:szCs w:val="18"/>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1.35 years</w:t>
            </w:r>
          </w:p>
        </w:tc>
      </w:tr>
      <w:tr>
        <w:trPr>
          <w:trHeight w:val="20"/>
        </w:trPr>
        <w:tc>
          <w:tcPr>
            <w:tcW w:w="52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278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Vested and exercisable at June 30, 2023</w:t>
            </w:r>
          </w:p>
        </w:tc>
        <w:tc>
          <w:tcPr>
            <w:tcW w:w="4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492,308</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tcPr>
          <w:p>
            <w:pPr>
              <w:spacing w:after="0"/>
              <w:rPr>
                <w:sz w:val="15"/>
                <w:szCs w:val="15"/>
                <w:color w:val="auto"/>
              </w:rPr>
            </w:pPr>
          </w:p>
        </w:tc>
      </w:tr>
      <w:tr>
        <w:trPr>
          <w:trHeight w:val="22"/>
        </w:trPr>
        <w:tc>
          <w:tcPr>
            <w:tcW w:w="5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months ended June 30, 2023 and 2022, the Company recognized stock-based compensation expense of $2,017 and $1,969, respectively, and during the six months ended June 30, 2023 and 2022, the Company recognized stock-based compensation expense of $69 and $175, respectively, related to stock option grants of ACM Shanghai.</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2023 and December 31, 2022, $76 and $160, respectively, of total unrecognized non-employee stock-based compensation expense, net of estimated forfeitures, related to ACM Shanghai stock-based awards were expected to be recognized over a weighted-average period of 0.4 years and 0.8 years, respectively. Total recognized compensation cost may be adjusted for future changes in estimated forfeitures.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INCOME TAXES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ACM Shanghai has shown a three-year historical cumulative profit and has projections of future income. As a result, the Company does not maintain a valuation allowance.</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accounts for uncertain tax positions in accordance with the authoritative guidance on income taxes under which the Company may only recognize or continue to recognize tax positions that meet a more likely than not threshold.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recognizes accrued interest and penalties related to unrecognized tax benefits as a component of the provision for income taxes.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Company’s effective tax rate differs from statutory rates of 21% for U.S. federal income tax purposes and 15% to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 R&amp;D super deduction. As a result, the Company recorded income tax expense of $10,517 and $3,668 during the six months ended June 30, 2023 and 2022, respectively. The increase in the Company's effective income tax rate for the six months ended June 30, 2023 compared to the same period of the prior year was primarily due to a decreased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w:t>
      </w:r>
    </w:p>
    <w:p>
      <w:pPr>
        <w:spacing w:after="0" w:line="15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Under the change in Section 174 made by the Tax Cuts and Jobs Act of 2017 (the “TCJA”)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Congress is considering legislation, but legislation has not passed, that would defer the capitalization requirement to later years.</w:t>
      </w:r>
    </w:p>
    <w:p>
      <w:pPr>
        <w:spacing w:after="0" w:line="145"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The Company had total unrecognized tax benefits of $8,448 as of both June 30, 2023 and December 31, 2022. The significant increase in 2022 was primarily because the Company claimed a deduction for realized gains on stock option exercises for China-based employees on its Chinese tax return, as well as the uncertainty in the amount of capitalized R&amp;D expenses that would increase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GILTI inclusion. If recognized, the net impact to effective rate, after indirect offset, would be $6,178. The Company will recognize interest and penalties, when they occur, related to uncertain tax provisions as a component of tax expense. For the six months ended June 30, 2023 and 2022, $569 and $106 of interest or penalties was recognized, respectively.</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files income tax returns in the United States and state and foreign jurisdictions. The federal, state and foreign income tax returns are under the statute of limitations subject to tax examinations for the tax years ended December 31, 2001 through December 31, 2022.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four PRC subsidiaries, ACM Shanghai, ACM Wuxi, ACM Beijing and ACM Lingang, are liable for PRC corporate income taxes at the rates of 15%, 25%,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was entitled to a preferential income tax rate of 12.5% from January 1, 2020 to December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tcPr>
          <w:p>
            <w:pPr>
              <w:spacing w:after="0"/>
              <w:rPr>
                <w:sz w:val="20"/>
                <w:szCs w:val="20"/>
                <w:color w:val="auto"/>
              </w:rPr>
            </w:pPr>
            <w:r>
              <w:rPr>
                <w:rFonts w:ascii="Arial" w:cs="Arial" w:eastAsia="Arial" w:hAnsi="Arial"/>
                <w:sz w:val="14"/>
                <w:szCs w:val="14"/>
                <w:color w:val="auto"/>
              </w:rPr>
              <w:t>Income tax expense was as follows: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82"/>
        </w:trPr>
        <w:tc>
          <w:tcPr>
            <w:tcW w:w="4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3"/>
          </w:tcPr>
          <w:p>
            <w:pPr>
              <w:jc w:val="right"/>
              <w:ind w:right="529"/>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72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22"/>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7,638</w:t>
            </w:r>
          </w:p>
        </w:tc>
        <w:tc>
          <w:tcPr>
            <w:tcW w:w="3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7,679</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10,517</w:t>
            </w:r>
          </w:p>
        </w:tc>
        <w:tc>
          <w:tcPr>
            <w:tcW w:w="3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COMMITMENTS AND CONTINGENCIES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Company leases offices under non-cancelable operating lease agreements. See Note 11 for future minimum lease payments under non-cancelable operating lease agreements with initial terms of one year or more.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2023, the Company had $94,793 of open capital commitments.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Covenants in Lingang’s Grant Contract for State-owned Construction Land Use Right in Shanghai City with the China (Shanghai) Pilot Free Trade Zone Lingang Special Area Administration require, among other things, that Lingang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2023 and December 31, 2022, the Company had paid in total $60,961 and $35,376, respectively for its Lingang-related investments.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management has evaluated all such proceedings and claims that existed as of June 30, 2023 or December 31, 2022. In the opinion of management, no provision for liability nor disclosure was required as of June 30, 2023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2023, the Company had no outstanding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21 – SEGMENT INFORMATION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 engaged in the development, manufacture and sale of single-wafer wet cleaning equipment, which have been organized as one reporting segment as the equipment has substantially similar nature and economic characteristics. The Company’s principal operating decision maker, ACM’s Chief Executive Officer, receives and reviews the results of the operations for all major type of equipment as a whole when making decisions about allocating resources and assessing performance of the Company.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geographical reporting, revenue by geographic location is determined by the location of customers’ facilities to which products were shipped. Long-lived assets consist primarily of property, plant and equipment, other long-term assets, and right-of-use assets and are attributed to the geographic location in which they are located.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balance of selected long-lived assets by geography as of June 30, 2023 and December 31, 2022 are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3720" w:type="dxa"/>
            <w:vAlign w:val="bottom"/>
          </w:tcPr>
          <w:p>
            <w:pPr>
              <w:spacing w:after="0"/>
              <w:rPr>
                <w:sz w:val="16"/>
                <w:szCs w:val="16"/>
                <w:color w:val="auto"/>
              </w:rPr>
            </w:pPr>
          </w:p>
        </w:tc>
        <w:tc>
          <w:tcPr>
            <w:tcW w:w="546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Long-lived assets by geography:</w:t>
            </w:r>
          </w:p>
        </w:tc>
        <w:tc>
          <w:tcPr>
            <w:tcW w:w="4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20" w:type="dxa"/>
            <w:vAlign w:val="bottom"/>
            <w:vMerge w:val="continue"/>
          </w:tcPr>
          <w:p>
            <w:pPr>
              <w:spacing w:after="0"/>
              <w:rPr>
                <w:sz w:val="15"/>
                <w:szCs w:val="15"/>
                <w:color w:val="auto"/>
              </w:rPr>
            </w:pPr>
          </w:p>
        </w:tc>
        <w:tc>
          <w:tcPr>
            <w:tcW w:w="4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Mainland China</w:t>
            </w:r>
          </w:p>
        </w:tc>
        <w:tc>
          <w:tcPr>
            <w:tcW w:w="5460" w:type="dxa"/>
            <w:vAlign w:val="bottom"/>
            <w:tcBorders>
              <w:bottom w:val="single" w:sz="8" w:color="CFF0FC"/>
            </w:tcBorders>
            <w:gridSpan w:val="2"/>
            <w:shd w:val="clear" w:color="auto" w:fill="CFF0FC"/>
          </w:tcPr>
          <w:p>
            <w:pPr>
              <w:jc w:val="right"/>
              <w:ind w:right="9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0"/>
              </w:rPr>
              <w:t>164,540</w:t>
            </w:r>
          </w:p>
        </w:tc>
        <w:tc>
          <w:tcPr>
            <w:tcW w:w="240" w:type="dxa"/>
            <w:vAlign w:val="bottom"/>
            <w:tcBorders>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140,481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20" w:type="dxa"/>
            <w:vAlign w:val="bottom"/>
          </w:tcPr>
          <w:p>
            <w:pPr>
              <w:ind w:left="20"/>
              <w:spacing w:after="0"/>
              <w:rPr>
                <w:sz w:val="20"/>
                <w:szCs w:val="20"/>
                <w:color w:val="auto"/>
              </w:rPr>
            </w:pPr>
            <w:r>
              <w:rPr>
                <w:rFonts w:ascii="Arial" w:cs="Arial" w:eastAsia="Arial" w:hAnsi="Arial"/>
                <w:sz w:val="14"/>
                <w:szCs w:val="14"/>
                <w:color w:val="auto"/>
              </w:rPr>
              <w:t>South Korea</w:t>
            </w:r>
          </w:p>
        </w:tc>
        <w:tc>
          <w:tcPr>
            <w:tcW w:w="4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12,721</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United States</w:t>
            </w:r>
          </w:p>
        </w:tc>
        <w:tc>
          <w:tcPr>
            <w:tcW w:w="44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1,239</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44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178,500</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0" w:type="dxa"/>
            <w:vAlign w:val="bottom"/>
            <w:vMerge w:val="restart"/>
          </w:tcPr>
          <w:p>
            <w:pPr>
              <w:jc w:val="right"/>
              <w:ind w:right="2329"/>
              <w:spacing w:after="0"/>
              <w:rPr>
                <w:sz w:val="20"/>
                <w:szCs w:val="20"/>
                <w:color w:val="auto"/>
              </w:rPr>
            </w:pPr>
            <w:r>
              <w:rPr>
                <w:rFonts w:ascii="Arial" w:cs="Arial" w:eastAsia="Arial" w:hAnsi="Arial"/>
                <w:sz w:val="14"/>
                <w:szCs w:val="14"/>
                <w:color w:val="auto"/>
              </w:rPr>
              <w:t>36</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7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ACM RESEARCH,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22 – STATUTORY SURPLUS RESERVE</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accordance with the PRC’s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PRC (“PRC GAAP”).</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Appropriations to the statutory surplus reserve are required to be at least 10% of the after-tax net income determined in accordance with PRC GAAP until the reserve is equal to 50% of the entities’ registered capital. The amount is calculated annually at the end of each calendar year. The balances of statutory reserve funds was $16,881 as of both June 30, 2023 and December 31, 2022, and is presented as statutory reserve on the Company’s condensed consolidated balance sheets.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23 SUBSEQUENT EVENTS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Auditor Resignation</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previously disclosed, on July 21, 2023, the Company was informed by Armanino LLP (“Armanino”), the Company’s current independent registered public accounting firm, that Armanino will resign as the Company’s independent auditor effective as of the earlier of (a) the date the Company engages a new independent registered public accounting firm or (b) the filing of the Company’s Quarterly Report on Form 10-Q for the fiscal quarter ended September 30, 2023.</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Armanino advised the Company that its decision to resign was due to Armanino’s decision to exit from the practice of providing financial statement audit services to all public companies. Armanino is not required to and did not seek the Company’s consent to its decision to resign as the Company’s independent registered public accounting firm. As a result, neither the Company’s Board of Directors nor the Company’s Audit Committee participated in Armanino’s decision to resign.</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light of Armanino’s determination, the Audit Committee of the Company’s Board of Directors has initiated a process to select and appoint a new accounting firm to serve as the Company’s independent registered public accountant commencing with the audit of the Company’s financial statements for the fiscal year ending December 31, 2023.</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Line of Credit</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previously disclosed, on July 25, 2023, the Company entered into a RMB Working Capital Loan Contract (the “Loan Contract”) with China CITIC Bank Co., Ltd. (“China CITIC Bank”). The Loan Contract provides for a RMB 200 million (approximately $28 million based on currency exchange rates as of July 25, 2023) loan credit facility, which term expires on December 21, 2025 (the “Maturity Date”).</w:t>
      </w:r>
    </w:p>
    <w:p>
      <w:pPr>
        <w:spacing w:after="0" w:line="14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Principal outstanding under the Loan Contract bears interest at a rate equal to (a) the latest one-year loan market quotation rate of the National Interbank Funding Center plus (b) 105 basis points, if the withdrawal date is on or prior to January 24, 2024. If the withdrawal date is after January 24, 2024, China CITIC Bank has the right to adjust the interest rate under the Loan Contract in accordance with China CITIC Bank’s relevant interest rate policy at the time. The specific adjustment method of the interest rate shall be set forth in writing signed by us and China CITIC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together with our condensed consolidated financial statements and the related notes and other financial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information included elsewhere in this report and our Annual Report on Form 10-K for the fiscal year ended December 31, 2022, or our Annual Report. The following discussion contains</w:t>
      </w:r>
    </w:p>
    <w:p>
      <w:pPr>
        <w:spacing w:after="0" w:line="20" w:lineRule="exact"/>
        <w:rPr>
          <w:sz w:val="20"/>
          <w:szCs w:val="20"/>
          <w:color w:val="auto"/>
        </w:rPr>
      </w:pPr>
    </w:p>
    <w:p>
      <w:pPr>
        <w:spacing w:after="0" w:line="138" w:lineRule="exact"/>
        <w:rPr>
          <w:sz w:val="20"/>
          <w:szCs w:val="20"/>
          <w:color w:val="auto"/>
        </w:rPr>
      </w:pPr>
      <w:r>
        <w:rPr>
          <w:rFonts w:ascii="Arial" w:cs="Arial" w:eastAsia="Arial" w:hAnsi="Arial"/>
          <w:sz w:val="12"/>
          <w:szCs w:val="12"/>
          <w:i w:val="1"/>
          <w:iCs w:val="1"/>
          <w:color w:val="auto"/>
        </w:rPr>
        <w:t>forward</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looking statements. Factors that could cause 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contribute to these differences include those discussed in Part I, Item 1A. “Risk Factors” in our Annual Report, as well as those discussed below and elsewhere in this report, particularly in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section titled “Item 1A – Risk Factors” in Part II below.</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principal corporate office is located in Fremont, California. We conduct a substantial majority of our product development, manufacturing, support and services in the PRC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82.1%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PRC central government authority in order to continue to list shares of Class A common stock of ACM Research on the Nasdaq Global Select Market. This determination was based on the facts aforementioned and the PRC Company Law, PRC Securities Law, cybersecurity regulations and other relevant laws, regulations and regulatory requirements in the PRC currently in effect. However, if this determination proves to be incorrect, then it could have a material adverse effect on ACM Research. See “Item IA. Risk Factors—Risks Related to International Aspects of Our Business—If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on ACM Shanghai or ACM Research.</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addition, in the ordinary course of business, ACM Shanghai is required to obtain certain operating permits and licenses necessary for it to operate in the PRC,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PRC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PRC regulatory authorities, and it could have a material adverse effect on our business, financial condition, results of operations, reputation and prospects and on the trading price of ACM Research Class A common stock, which could decline in value or become worthless.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 depicts our corporate organization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4446270" cy="1644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46270"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detailed description of how cash is transferred through our organization is set forth under “Note 2 – Summary of Significant Accounting Policies – Cash and Cash Equivalents” to the Consolidated Financial Statements of this report.</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BDO China Shu Lun Pan Certified Public Accountants LLP, or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including registered public accounting firms, such as our prior audit firm, operating in the PRC” in our Annual Report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December 15, 2022, the PCAOB announced that it was able to secure complete access to inspect and investigate PCAOB-registered public accounting firms headquartered in the PRC and Hong Kong in 2022 and vacated its previous December 16, 2021 determination to the contrary. However, whether the PCAOB will continue to be able to satisfactorily conduct inspections of PCAOB-registered public accounting firms headquartered in the PRC and Hong Kong is subject to uncertainty and depends on a number of factors out of our, and our auditor’s, control. PRC authorities will need to ensure that the PCAOB continues to have full access for inspections and investigations in 2023 and beyond. Each year, the PCAOB will determine whether it can inspect and investigate completely audit firms in the PRC and Hong Kong, among other jurisdictions. If the PRC authorities do not allow the PCAOB complete access for inspections and investigations for two consecutive years, the SEC would prohibit trading in the securities of issuers engaging those audit firms, as required under the HFCA Act. Further,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June 30, 2022, and June 15, 2023, stockholders of ACM Research ratified the appointment of Armanino LLP as our independent auditor for the years ended December 31, 2022 and 2023, respectively. Armanino LLP is neither headquartered in the PRC or Hong Kong nor was it subject to the determinations announced by the PCAOB on December 16, 2021, which determinations were vacated by the PCAOB on December 15, 2022, and we do not believe ACM Research will appear on the “Conclusive list of issuers identified under the HFCAA” for a second time.</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July 21, 2023, we were informed by Armanino, that Armanino will resign as our independent auditor effective as of the earlier of (a) the date we engage a new independent registered public accounting firm or (b) the filing of our Quarterly Report on Form 10-Q for the fiscal quarter ended September 30, 2023. In light of Armanino’s determination, the Audit Committee of our Board of Directors has initiated a process to select and appoint a new accounting firm to serve as our independent registered public accountant commencing with the audit of our financial statements for the fiscal year ending December 31, 2023 (note 23).</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the matters discussed above, we are also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in particular the risk factors addressing the following issues:</w:t>
      </w:r>
    </w:p>
    <w:p>
      <w:pPr>
        <w:spacing w:after="0" w:line="146" w:lineRule="exact"/>
        <w:rPr>
          <w:sz w:val="20"/>
          <w:szCs w:val="20"/>
          <w:color w:val="auto"/>
        </w:rPr>
      </w:pPr>
    </w:p>
    <w:p>
      <w:pPr>
        <w:jc w:val="both"/>
        <w:ind w:left="520" w:hanging="515"/>
        <w:spacing w:after="0" w:line="258"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49"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32"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PRC central government may determine to exert additional control over offerings conducted overseas or foreign investment in PRC-based issuers, which could result in a material change in operations of ACM Shanghai and cause significant declines in the value of ACM Research Class A common stock, or make them worthless.</w:t>
      </w:r>
    </w:p>
    <w:p>
      <w:pPr>
        <w:spacing w:after="0" w:line="153" w:lineRule="exact"/>
        <w:rPr>
          <w:sz w:val="20"/>
          <w:szCs w:val="20"/>
          <w:color w:val="auto"/>
        </w:rPr>
      </w:pPr>
    </w:p>
    <w:p>
      <w:pPr>
        <w:jc w:val="both"/>
        <w:spacing w:after="0" w:line="372" w:lineRule="auto"/>
        <w:rPr>
          <w:sz w:val="20"/>
          <w:szCs w:val="20"/>
          <w:color w:val="auto"/>
        </w:rPr>
      </w:pPr>
      <w:r>
        <w:rPr>
          <w:rFonts w:ascii="Arial" w:cs="Arial" w:eastAsia="Arial" w:hAnsi="Arial"/>
          <w:sz w:val="13"/>
          <w:szCs w:val="13"/>
          <w:color w:val="auto"/>
        </w:rPr>
        <w:t>Recent statements and regulatory actions by PRC central government authorities with respect to the use of VIEs and to data security and anti-monopoly concerns have not affected our ability to conduct our business operations in China. For further information, see “Item 1A. Risk Factors —Risks Related to International Aspects of Our Business” in our Annual Report for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Revenue from wet-cleaning and other front-end processing tools totaled $122.4 million, or 84.7% of total revenue, for the three months ended June 30, 2023, as compared to $79.6 million, or 76.2% of total revenue, for the same period in 2022. Revenue from wet-cleaning and other front-end processing tools totaled $178.8 million, or 81.7% of total revenue, for the six months ended June 30, 2023, as compared to $111.3 million, or 75.9% of total revenue, for the same period in 2022. Selling prices for our wet-cleaning and other front-end processing tools range from $0.7 million to more than $5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customers for wet-cleaning and other front-end processing tools have included Huali Microelectronics Corporation, The Huahong Group, SMIC, Shanghai SK Hynix Inc., YMTC and ChangXin Memory Technologies.</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Revenue from advanced packaging, other back-end processing tools, services and spares totaled $22.2 million, or 15.3% of total revenue, for the three months ended June 30, 2023, as compared to $24.8 million, or 23.8% of total revenue, for the same period in 2022. Revenue from advanced packaging, other back-end processing tools, services and spares totaled $40.0 million, or 18.3% of total revenue, for the six months ended June 30, 2023, as compared to $35.3 million, or 24.1% of total revenue, for the same period in 2022. Selling prices for these tools range from $0.5 million to $4 million. Our customers for advanced packaging, and other processing tools have included: Jiangyin Changdian Advanced Packaging Co. Ltd., a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and Wafer Works Corporation, a PRC-based wafer supplier.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estimate, based on third-party reports and on customer and other information, that our current product portfolio addresses approximately $8 billion of the global wafer equipment market. By product line, we estimate an approximately $3.7 billion market opportunity is addressed by our wafer cleaning equipment, $2.9 billion by our furnace equipment, $730 million by our electro-chemical plating or ECP equipment, and more than $650 million by our stress-free polishing, advanced packaging, wafer processing, and other processing equipment. By major equipment segment, Gartner estimates a 2021 worldwide semiconductor wafer fab equipment, or WFE, market size of $88.1 billion, of which $4.1 billion is for wafer cleaning equipment (auto wet stations, single-wafer spray processors, batch spray processors, and other clean process equipment), $3.4 billion is for furnace equipment (tube CVD, oxidation/diffusion furnace, and batch atomic layer deposition), and $764 million is for electro-chemical deposition, or ECD. Based on Gartner’s estimates, total available global market for these equipment segments increased by 30.1% from $6.4 billion in 2020 to $8.3 billion in 2021, and is expected to increase by 8.3% to $8.9 billion in 2022. These segments are part of the worldwide semiconductor WFE market, which based on Gartner’s estimates increased by 10.7% from $88.1 billion in 2021 to $97.5 billion in 2022, and is also expected to increase by 10.7% to $97.5 billion in 2023.</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Since 2009 we have delivered more than 410 wet-cleaning and other front-end processing tools, more than 310 of which have been accepted by customers and thereby generated revenue to us. The balance of the delivered tools are awaiting customer acceptance should contractual conditions be met. To date, a substantial majority of our sales of single-wafer wet-cleaning equipment for front-end manufacturing have been to customers located in Asia, and we anticipate that a substantial majority of our revenue from these products will continue to come from customers located in this region for the foreseeable future.</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begun to add to our efforts to further address customers in North America, Western Europe and Southeast Asia by expanding our direct sales and services teams and increasing our global marketing activities. Our U.S. operation includes sales, marketing and services personnel to expand and support major new customer initiatives for the products of ACM Shanghai to additional regions beyond mainland China. As of June 30, 2023, we have delivered one tool for evaluation to a U.S. lab of a global semiconductor capital equipment vendor, and two tools to the U.S. facility of a major U.S. semiconductor manufacturer. Both of these evaluations are supported by our U.S. and global services team.</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COVID–19</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or related after-effects could continue to result in economic uncertainty and global economic policies that could reduce demand for the Company’s products and its customers’ chips and have a material adverse impact on the Company’s business, operating results and financial condition (note 2). For an explanation of some of the risks we potentially face, please read carefully the information provided under “Item 1A. Risk Factors—Risks Related to the COVID–19 Pandemic,” in our Annual Report.</w:t>
      </w:r>
    </w:p>
    <w:p>
      <w:pPr>
        <w:spacing w:after="0" w:line="14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corporate headquarters are located in Fremont, California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perform. To date we have not experienced absenteeism of management or other key U.S. employees, other than certain of our executive officers being delayed in traveling between the PRC, our California office, and other global locations, and a significant number of ACM Shanghai employees missing work in late 2022 and early 2023 for one or several weeks due to COVID-19 related illness following relaxation of the PRC’s zero-COVID policies in December 2022.</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global supply chain includes components sourced from the PRC, Japan, Taiwan, the United States and Europe. While, to date, we have not experienced material issues with our supply chain beyond the logistics related to the Shanghai facilities of ACM Shanghai, supply chain constraints have intensified due to COVID-19, contributing to global shortages in the supply of semiconductors and other materials, and in some cases the pricing of materials used in the production of our own tools. As with our customers, we continue to be in close contact with our key suppliers to help ensure we are able to identify any potential supply issues that may arise.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ACM Shanghai Dividend</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June 27, 2023, ACM Shanghai held its 2023 Annual Stockholder Meeting in Shanghai, China. During this meeting, the stockholders of ACM Shanghai approved and adopted various resolutions, including a proposed dividend to be paid to the stockholders of ACM Shanghai (including ACM Research). The amount of the planned dividend is RMB 0.372 per share for an aggregate total of approximately RMB 161.28 million ($22.2 million). The dividend accrual of $4.0 million (note 10) reflects the amount payable to the minority shareholders of ACM Shanghai.</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Oregon Lease</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Effective April 1, 2023, we entered an agreement to lease a 10,683 square foot facility in Hillsborough, Oregon beginning April 1, 2023 until August 31, 2030. The facility is being used for our U.S.-based sales and services team to support customer activities in the region.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PRC Government Research and Development Funding</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Lingang is also required to invest certain amounts in the projects.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as follows:</w:t>
      </w:r>
    </w:p>
    <w:p>
      <w:pPr>
        <w:jc w:val="both"/>
        <w:ind w:left="520" w:hanging="515"/>
        <w:spacing w:after="0" w:line="253"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Government subsidies relating to current expenses are recorded as reductions of those expenses in the periods in which the current expenses are recorded. For the three months ended June 30, 2023 and 2022, related government subsidies recognized as reductions of relevant expenses in the consolidated statements of operations and comprehensive income (loss) were $0.3 million and $54,000, respectively. For the six months ended June 30, 2023 and 2022, related government subsidies recognized as reductions of relevant expenses in the consolidated statements of operations and comprehensive income (loss) were $0.8 million and $78,000, respectively.</w:t>
      </w:r>
    </w:p>
    <w:p>
      <w:pPr>
        <w:jc w:val="both"/>
        <w:ind w:left="520" w:hanging="515"/>
        <w:spacing w:after="0" w:line="257"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Government subsidies related to depreciable assets are credited to income over the useful lives of the related assets for which the grant was received. For the three months ended June 30, 2023 and 2022, related government subsidies recognized as other income in the consolidated statements of operations and comprehensive income (loss) were $205,000 and $76,000, respectively. For the six months ended June 30, 2023 and 2022, related government subsidies recognized as other income in the consolidated statements of operations and comprehensive income (loss) were $249,000 and $155,000,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Unearned government subsidies received are deferred for recognition and recorded as other long-term liabilities (note 13) in the balance sheet until the criteria for such recognition are satisfied.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Attributable to Non-Controlling Interests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In May 2023, ACM's ownership declined to 82.1% due to the exercise of 2,150,309 stock options related to ACM Shanghai shares (note 18). As a result, we reflect the portion of our net income allocable to the minority holders of ACM Shanghai shares as net income attributable to non-controlling interests.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There were no significant changes in our critical accounting policies or significant judgments or estimates during the three months ended June 30, 2023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For information regarding the impact of recently adopted accounting standards, refer to Note 2 to the condensed consolidated financial statements included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A discussion of recent accounting pronouncements is included in our Annual Report and is updated in Note 2 to the condensed consolidated financial statements included in this report.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Arial" w:cs="Arial" w:eastAsia="Arial" w:hAnsi="Arial"/>
                <w:sz w:val="14"/>
                <w:szCs w:val="14"/>
                <w:b w:val="1"/>
                <w:bCs w:val="1"/>
                <w:color w:val="auto"/>
              </w:rPr>
              <w:t>Results of Operations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40"/>
        </w:trPr>
        <w:tc>
          <w:tcPr>
            <w:tcW w:w="6260" w:type="dxa"/>
            <w:vAlign w:val="bottom"/>
            <w:gridSpan w:val="4"/>
          </w:tcPr>
          <w:p>
            <w:pPr>
              <w:spacing w:after="0"/>
              <w:rPr>
                <w:sz w:val="20"/>
                <w:szCs w:val="20"/>
                <w:color w:val="auto"/>
              </w:rPr>
            </w:pPr>
            <w:r>
              <w:rPr>
                <w:rFonts w:ascii="Arial" w:cs="Arial" w:eastAsia="Arial" w:hAnsi="Arial"/>
                <w:sz w:val="14"/>
                <w:szCs w:val="14"/>
                <w:color w:val="auto"/>
                <w:w w:val="93"/>
              </w:rPr>
              <w:t>The following table sets forth our results of operations for the periods presented, as percentages of revenue.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2"/>
        </w:trPr>
        <w:tc>
          <w:tcPr>
            <w:tcW w:w="4200" w:type="dxa"/>
            <w:vAlign w:val="bottom"/>
          </w:tcPr>
          <w:p>
            <w:pPr>
              <w:spacing w:after="0"/>
              <w:rPr>
                <w:sz w:val="24"/>
                <w:szCs w:val="24"/>
                <w:color w:val="auto"/>
              </w:rPr>
            </w:pPr>
          </w:p>
        </w:tc>
        <w:tc>
          <w:tcPr>
            <w:tcW w:w="314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3840" w:type="dxa"/>
            <w:vAlign w:val="bottom"/>
            <w:gridSpan w:val="4"/>
          </w:tcPr>
          <w:p>
            <w:pPr>
              <w:ind w:left="740"/>
              <w:spacing w:after="0"/>
              <w:rPr>
                <w:sz w:val="20"/>
                <w:szCs w:val="20"/>
                <w:color w:val="auto"/>
              </w:rPr>
            </w:pPr>
            <w:r>
              <w:rPr>
                <w:rFonts w:ascii="Arial" w:cs="Arial" w:eastAsia="Arial" w:hAnsi="Arial"/>
                <w:sz w:val="14"/>
                <w:szCs w:val="14"/>
                <w:b w:val="1"/>
                <w:bCs w:val="1"/>
                <w:color w:val="auto"/>
              </w:rPr>
              <w:t>Six Months Ended June 30,</w:t>
            </w:r>
          </w:p>
        </w:tc>
      </w:tr>
      <w:tr>
        <w:trPr>
          <w:trHeight w:val="22"/>
        </w:trPr>
        <w:tc>
          <w:tcPr>
            <w:tcW w:w="4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4200" w:type="dxa"/>
            <w:vAlign w:val="bottom"/>
          </w:tcPr>
          <w:p>
            <w:pPr>
              <w:spacing w:after="0"/>
              <w:rPr>
                <w:sz w:val="15"/>
                <w:szCs w:val="15"/>
                <w:color w:val="auto"/>
              </w:rPr>
            </w:pPr>
          </w:p>
        </w:tc>
        <w:tc>
          <w:tcPr>
            <w:tcW w:w="1540" w:type="dxa"/>
            <w:vAlign w:val="bottom"/>
          </w:tcPr>
          <w:p>
            <w:pPr>
              <w:jc w:val="right"/>
              <w:ind w:right="5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2"/>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620" w:type="dxa"/>
            <w:vAlign w:val="bottom"/>
            <w:gridSpan w:val="2"/>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5"/>
                <w:szCs w:val="15"/>
                <w:color w:val="auto"/>
              </w:rPr>
            </w:pPr>
          </w:p>
        </w:tc>
      </w:tr>
      <w:tr>
        <w:trPr>
          <w:trHeight w:val="22"/>
        </w:trPr>
        <w:tc>
          <w:tcPr>
            <w:tcW w:w="4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700" w:type="dxa"/>
            <w:vAlign w:val="bottom"/>
          </w:tcPr>
          <w:p>
            <w:pPr>
              <w:spacing w:after="0"/>
              <w:rPr>
                <w:sz w:val="15"/>
                <w:szCs w:val="15"/>
                <w:color w:val="auto"/>
              </w:rPr>
            </w:pPr>
          </w:p>
        </w:tc>
      </w:tr>
      <w:tr>
        <w:trPr>
          <w:trHeight w:val="207"/>
        </w:trPr>
        <w:tc>
          <w:tcPr>
            <w:tcW w:w="42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56.4</w:t>
            </w:r>
          </w:p>
        </w:tc>
        <w:tc>
          <w:tcPr>
            <w:tcW w:w="700" w:type="dxa"/>
            <w:vAlign w:val="bottom"/>
          </w:tcPr>
          <w:p>
            <w:pPr>
              <w:spacing w:after="0"/>
              <w:rPr>
                <w:sz w:val="17"/>
                <w:szCs w:val="17"/>
                <w:color w:val="auto"/>
              </w:rPr>
            </w:pPr>
          </w:p>
        </w:tc>
      </w:tr>
      <w:tr>
        <w:trPr>
          <w:trHeight w:val="203"/>
        </w:trPr>
        <w:tc>
          <w:tcPr>
            <w:tcW w:w="4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Gross margin</w:t>
            </w:r>
          </w:p>
        </w:tc>
        <w:tc>
          <w:tcPr>
            <w:tcW w:w="154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42.3</w:t>
            </w:r>
          </w:p>
        </w:tc>
        <w:tc>
          <w:tcPr>
            <w:tcW w:w="16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49.6</w:t>
            </w:r>
          </w:p>
        </w:tc>
        <w:tc>
          <w:tcPr>
            <w:tcW w:w="16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43.6</w:t>
            </w:r>
          </w:p>
        </w:tc>
        <w:tc>
          <w:tcPr>
            <w:tcW w:w="700" w:type="dxa"/>
            <w:vAlign w:val="bottom"/>
          </w:tcPr>
          <w:p>
            <w:pPr>
              <w:spacing w:after="0"/>
              <w:rPr>
                <w:sz w:val="17"/>
                <w:szCs w:val="17"/>
                <w:color w:val="auto"/>
              </w:rPr>
            </w:pPr>
          </w:p>
        </w:tc>
      </w:tr>
      <w:tr>
        <w:trPr>
          <w:trHeight w:val="187"/>
        </w:trPr>
        <w:tc>
          <w:tcPr>
            <w:tcW w:w="42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Operating expenses:</w:t>
            </w:r>
          </w:p>
        </w:tc>
        <w:tc>
          <w:tcPr>
            <w:tcW w:w="154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r>
      <w:tr>
        <w:trPr>
          <w:trHeight w:val="22"/>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4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Sales and marketing</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7.9</w:t>
            </w:r>
          </w:p>
        </w:tc>
        <w:tc>
          <w:tcPr>
            <w:tcW w:w="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7.3</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9.5</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9.8</w:t>
            </w:r>
          </w:p>
        </w:tc>
        <w:tc>
          <w:tcPr>
            <w:tcW w:w="700" w:type="dxa"/>
            <w:vAlign w:val="bottom"/>
          </w:tcPr>
          <w:p>
            <w:pPr>
              <w:spacing w:after="0"/>
              <w:rPr>
                <w:sz w:val="16"/>
                <w:szCs w:val="16"/>
                <w:color w:val="auto"/>
              </w:rPr>
            </w:pPr>
          </w:p>
        </w:tc>
      </w:tr>
      <w:tr>
        <w:trPr>
          <w:trHeight w:val="191"/>
        </w:trPr>
        <w:tc>
          <w:tcPr>
            <w:tcW w:w="42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10.9</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15.6</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19.6</w:t>
            </w:r>
          </w:p>
        </w:tc>
        <w:tc>
          <w:tcPr>
            <w:tcW w:w="700" w:type="dxa"/>
            <w:vAlign w:val="bottom"/>
          </w:tcPr>
          <w:p>
            <w:pPr>
              <w:spacing w:after="0"/>
              <w:rPr>
                <w:sz w:val="16"/>
                <w:szCs w:val="16"/>
                <w:color w:val="auto"/>
              </w:rPr>
            </w:pPr>
          </w:p>
        </w:tc>
      </w:tr>
      <w:tr>
        <w:trPr>
          <w:trHeight w:val="22"/>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2"/>
        </w:trPr>
        <w:tc>
          <w:tcPr>
            <w:tcW w:w="4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General and administrative</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4.9</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6.6</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6.8</w:t>
            </w:r>
          </w:p>
        </w:tc>
        <w:tc>
          <w:tcPr>
            <w:tcW w:w="700" w:type="dxa"/>
            <w:vAlign w:val="bottom"/>
          </w:tcPr>
          <w:p>
            <w:pPr>
              <w:spacing w:after="0"/>
              <w:rPr>
                <w:sz w:val="18"/>
                <w:szCs w:val="18"/>
                <w:color w:val="auto"/>
              </w:rPr>
            </w:pPr>
          </w:p>
        </w:tc>
      </w:tr>
      <w:tr>
        <w:trPr>
          <w:trHeight w:val="181"/>
        </w:trPr>
        <w:tc>
          <w:tcPr>
            <w:tcW w:w="4200" w:type="dxa"/>
            <w:vAlign w:val="bottom"/>
          </w:tcPr>
          <w:p>
            <w:pPr>
              <w:ind w:left="280"/>
              <w:spacing w:after="0"/>
              <w:rPr>
                <w:sz w:val="20"/>
                <w:szCs w:val="20"/>
                <w:color w:val="auto"/>
              </w:rPr>
            </w:pPr>
            <w:r>
              <w:rPr>
                <w:rFonts w:ascii="Arial" w:cs="Arial" w:eastAsia="Arial" w:hAnsi="Arial"/>
                <w:sz w:val="14"/>
                <w:szCs w:val="14"/>
                <w:color w:val="auto"/>
              </w:rPr>
              <w:t>Total operating expenses, net</w:t>
            </w:r>
          </w:p>
        </w:tc>
        <w:tc>
          <w:tcPr>
            <w:tcW w:w="15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36.2</w:t>
            </w:r>
          </w:p>
        </w:tc>
        <w:tc>
          <w:tcPr>
            <w:tcW w:w="700" w:type="dxa"/>
            <w:vAlign w:val="bottom"/>
          </w:tcPr>
          <w:p>
            <w:pPr>
              <w:spacing w:after="0"/>
              <w:rPr>
                <w:sz w:val="15"/>
                <w:szCs w:val="15"/>
                <w:color w:val="auto"/>
              </w:rPr>
            </w:pP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4"/>
                <w:szCs w:val="14"/>
                <w:color w:val="auto"/>
              </w:rPr>
              <w:t>Income from operations</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21.1</w:t>
            </w:r>
          </w:p>
        </w:tc>
        <w:tc>
          <w:tcPr>
            <w:tcW w:w="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19.2</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17.9</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7.4</w:t>
            </w:r>
          </w:p>
        </w:tc>
        <w:tc>
          <w:tcPr>
            <w:tcW w:w="700" w:type="dxa"/>
            <w:vAlign w:val="bottom"/>
          </w:tcPr>
          <w:p>
            <w:pPr>
              <w:spacing w:after="0"/>
              <w:rPr>
                <w:sz w:val="15"/>
                <w:szCs w:val="15"/>
                <w:color w:val="auto"/>
              </w:rPr>
            </w:pPr>
          </w:p>
        </w:tc>
      </w:tr>
      <w:tr>
        <w:trPr>
          <w:trHeight w:val="191"/>
        </w:trPr>
        <w:tc>
          <w:tcPr>
            <w:tcW w:w="4200" w:type="dxa"/>
            <w:vAlign w:val="bottom"/>
          </w:tcPr>
          <w:p>
            <w:pPr>
              <w:ind w:left="20"/>
              <w:spacing w:after="0"/>
              <w:rPr>
                <w:sz w:val="20"/>
                <w:szCs w:val="20"/>
                <w:color w:val="auto"/>
              </w:rPr>
            </w:pPr>
            <w:r>
              <w:rPr>
                <w:rFonts w:ascii="Arial" w:cs="Arial" w:eastAsia="Arial" w:hAnsi="Arial"/>
                <w:sz w:val="14"/>
                <w:szCs w:val="14"/>
                <w:color w:val="auto"/>
              </w:rPr>
              <w:t>Interest income, net</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1.8</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2.3</w:t>
            </w:r>
          </w:p>
        </w:tc>
        <w:tc>
          <w:tcPr>
            <w:tcW w:w="700" w:type="dxa"/>
            <w:vAlign w:val="bottom"/>
          </w:tcPr>
          <w:p>
            <w:pPr>
              <w:spacing w:after="0"/>
              <w:rPr>
                <w:sz w:val="16"/>
                <w:szCs w:val="16"/>
                <w:color w:val="auto"/>
              </w:rPr>
            </w:pPr>
          </w:p>
        </w:tc>
      </w:tr>
      <w:tr>
        <w:trPr>
          <w:trHeight w:val="22"/>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Realized gain from sale of trading securities</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0.0</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3.6</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0.0</w:t>
            </w:r>
          </w:p>
        </w:tc>
        <w:tc>
          <w:tcPr>
            <w:tcW w:w="700" w:type="dxa"/>
            <w:vAlign w:val="bottom"/>
          </w:tcPr>
          <w:p>
            <w:pPr>
              <w:spacing w:after="0"/>
              <w:rPr>
                <w:sz w:val="16"/>
                <w:szCs w:val="16"/>
                <w:color w:val="auto"/>
              </w:rPr>
            </w:pPr>
          </w:p>
        </w:tc>
      </w:tr>
      <w:tr>
        <w:trPr>
          <w:trHeight w:val="191"/>
        </w:trPr>
        <w:tc>
          <w:tcPr>
            <w:tcW w:w="4200" w:type="dxa"/>
            <w:vAlign w:val="bottom"/>
          </w:tcPr>
          <w:p>
            <w:pPr>
              <w:ind w:left="20"/>
              <w:spacing w:after="0"/>
              <w:rPr>
                <w:sz w:val="20"/>
                <w:szCs w:val="20"/>
                <w:color w:val="auto"/>
              </w:rPr>
            </w:pPr>
            <w:r>
              <w:rPr>
                <w:rFonts w:ascii="Arial" w:cs="Arial" w:eastAsia="Arial" w:hAnsi="Arial"/>
                <w:sz w:val="14"/>
                <w:szCs w:val="14"/>
                <w:color w:val="auto"/>
              </w:rPr>
              <w:t>Unrealized loss on trading securities</w:t>
            </w:r>
          </w:p>
        </w:tc>
        <w:tc>
          <w:tcPr>
            <w:tcW w:w="1540" w:type="dxa"/>
            <w:vAlign w:val="bottom"/>
          </w:tcPr>
          <w:p>
            <w:pPr>
              <w:jc w:val="right"/>
              <w:ind w:right="6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(0.4)</w:t>
            </w:r>
          </w:p>
        </w:tc>
        <w:tc>
          <w:tcPr>
            <w:tcW w:w="1620" w:type="dxa"/>
            <w:vAlign w:val="bottom"/>
            <w:gridSpan w:val="2"/>
          </w:tcPr>
          <w:p>
            <w:pPr>
              <w:jc w:val="right"/>
              <w:ind w:right="49"/>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69"/>
              <w:spacing w:after="0"/>
              <w:rPr>
                <w:sz w:val="20"/>
                <w:szCs w:val="20"/>
                <w:color w:val="auto"/>
              </w:rPr>
            </w:pPr>
            <w:r>
              <w:rPr>
                <w:rFonts w:ascii="Arial" w:cs="Arial" w:eastAsia="Arial" w:hAnsi="Arial"/>
                <w:sz w:val="14"/>
                <w:szCs w:val="14"/>
                <w:color w:val="auto"/>
              </w:rPr>
              <w:t>(2.9)</w:t>
            </w:r>
          </w:p>
        </w:tc>
        <w:tc>
          <w:tcPr>
            <w:tcW w:w="700" w:type="dxa"/>
            <w:vAlign w:val="bottom"/>
          </w:tcPr>
          <w:p>
            <w:pPr>
              <w:spacing w:after="0"/>
              <w:rPr>
                <w:sz w:val="16"/>
                <w:szCs w:val="16"/>
                <w:color w:val="auto"/>
              </w:rPr>
            </w:pPr>
          </w:p>
        </w:tc>
      </w:tr>
      <w:tr>
        <w:trPr>
          <w:trHeight w:val="22"/>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benefit, net</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2.4</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1.1</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1.9</w:t>
            </w:r>
          </w:p>
        </w:tc>
        <w:tc>
          <w:tcPr>
            <w:tcW w:w="700" w:type="dxa"/>
            <w:vAlign w:val="bottom"/>
          </w:tcPr>
          <w:p>
            <w:pPr>
              <w:spacing w:after="0"/>
              <w:rPr>
                <w:sz w:val="16"/>
                <w:szCs w:val="16"/>
                <w:color w:val="auto"/>
              </w:rPr>
            </w:pPr>
          </w:p>
        </w:tc>
      </w:tr>
      <w:tr>
        <w:trPr>
          <w:trHeight w:val="191"/>
        </w:trPr>
        <w:tc>
          <w:tcPr>
            <w:tcW w:w="4200" w:type="dxa"/>
            <w:vAlign w:val="bottom"/>
          </w:tcPr>
          <w:p>
            <w:pPr>
              <w:ind w:left="20"/>
              <w:spacing w:after="0"/>
              <w:rPr>
                <w:sz w:val="20"/>
                <w:szCs w:val="20"/>
                <w:color w:val="auto"/>
              </w:rPr>
            </w:pPr>
            <w:r>
              <w:rPr>
                <w:rFonts w:ascii="Arial" w:cs="Arial" w:eastAsia="Arial" w:hAnsi="Arial"/>
                <w:sz w:val="14"/>
                <w:szCs w:val="14"/>
                <w:color w:val="auto"/>
              </w:rPr>
              <w:t>Equity income in net income of affiliates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0.5</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1.8</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0.3</w:t>
            </w:r>
          </w:p>
        </w:tc>
        <w:tc>
          <w:tcPr>
            <w:tcW w:w="700" w:type="dxa"/>
            <w:vAlign w:val="bottom"/>
          </w:tcPr>
          <w:p>
            <w:pPr>
              <w:spacing w:after="0"/>
              <w:rPr>
                <w:sz w:val="16"/>
                <w:szCs w:val="16"/>
                <w:color w:val="auto"/>
              </w:rPr>
            </w:pP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4"/>
                <w:szCs w:val="14"/>
                <w:color w:val="auto"/>
              </w:rPr>
              <w:t>Income before income taxes</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28.6</w:t>
            </w:r>
          </w:p>
        </w:tc>
        <w:tc>
          <w:tcPr>
            <w:tcW w:w="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23.5</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24.3</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9.0</w:t>
            </w:r>
          </w:p>
        </w:tc>
        <w:tc>
          <w:tcPr>
            <w:tcW w:w="700" w:type="dxa"/>
            <w:vAlign w:val="bottom"/>
          </w:tcPr>
          <w:p>
            <w:pPr>
              <w:spacing w:after="0"/>
              <w:rPr>
                <w:sz w:val="15"/>
                <w:szCs w:val="15"/>
                <w:color w:val="auto"/>
              </w:rPr>
            </w:pPr>
          </w:p>
        </w:tc>
      </w:tr>
      <w:tr>
        <w:trPr>
          <w:trHeight w:val="191"/>
        </w:trPr>
        <w:tc>
          <w:tcPr>
            <w:tcW w:w="4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540" w:type="dxa"/>
            <w:vAlign w:val="bottom"/>
          </w:tcPr>
          <w:p>
            <w:pPr>
              <w:jc w:val="right"/>
              <w:ind w:right="69"/>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(7.4)</w:t>
            </w:r>
          </w:p>
        </w:tc>
        <w:tc>
          <w:tcPr>
            <w:tcW w:w="1620" w:type="dxa"/>
            <w:vAlign w:val="bottom"/>
            <w:gridSpan w:val="2"/>
          </w:tcPr>
          <w:p>
            <w:pPr>
              <w:jc w:val="right"/>
              <w:ind w:right="49"/>
              <w:spacing w:after="0"/>
              <w:rPr>
                <w:sz w:val="20"/>
                <w:szCs w:val="20"/>
                <w:color w:val="auto"/>
              </w:rPr>
            </w:pPr>
            <w:r>
              <w:rPr>
                <w:rFonts w:ascii="Arial" w:cs="Arial" w:eastAsia="Arial" w:hAnsi="Arial"/>
                <w:sz w:val="14"/>
                <w:szCs w:val="14"/>
                <w:color w:val="auto"/>
              </w:rPr>
              <w:t>(4.8)</w:t>
            </w:r>
          </w:p>
        </w:tc>
        <w:tc>
          <w:tcPr>
            <w:tcW w:w="1620" w:type="dxa"/>
            <w:vAlign w:val="bottom"/>
            <w:gridSpan w:val="2"/>
          </w:tcPr>
          <w:p>
            <w:pPr>
              <w:jc w:val="right"/>
              <w:ind w:right="69"/>
              <w:spacing w:after="0"/>
              <w:rPr>
                <w:sz w:val="20"/>
                <w:szCs w:val="20"/>
                <w:color w:val="auto"/>
              </w:rPr>
            </w:pPr>
            <w:r>
              <w:rPr>
                <w:rFonts w:ascii="Arial" w:cs="Arial" w:eastAsia="Arial" w:hAnsi="Arial"/>
                <w:sz w:val="14"/>
                <w:szCs w:val="14"/>
                <w:color w:val="auto"/>
              </w:rPr>
              <w:t>(2.5)</w:t>
            </w:r>
          </w:p>
        </w:tc>
        <w:tc>
          <w:tcPr>
            <w:tcW w:w="700" w:type="dxa"/>
            <w:vAlign w:val="bottom"/>
          </w:tcPr>
          <w:p>
            <w:pPr>
              <w:spacing w:after="0"/>
              <w:rPr>
                <w:sz w:val="16"/>
                <w:szCs w:val="16"/>
                <w:color w:val="auto"/>
              </w:rPr>
            </w:pP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42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4"/>
                <w:szCs w:val="14"/>
                <w:color w:val="auto"/>
              </w:rPr>
              <w:t>Net income</w:t>
            </w:r>
          </w:p>
        </w:tc>
        <w:tc>
          <w:tcPr>
            <w:tcW w:w="1540" w:type="dxa"/>
            <w:vAlign w:val="bottom"/>
            <w:tcBorders>
              <w:bottom w:val="single" w:sz="8" w:color="CFF0FC"/>
            </w:tcBorders>
            <w:shd w:val="clear" w:color="auto" w:fill="CFF0FC"/>
          </w:tcPr>
          <w:p>
            <w:pPr>
              <w:jc w:val="right"/>
              <w:ind w:right="109"/>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rPr>
              <w:t>16.1</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19.5</w:t>
            </w:r>
          </w:p>
        </w:tc>
        <w:tc>
          <w:tcPr>
            <w:tcW w:w="1620" w:type="dxa"/>
            <w:vAlign w:val="bottom"/>
            <w:tcBorders>
              <w:bottom w:val="single" w:sz="8" w:color="CFF0FC"/>
            </w:tcBorders>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6.5</w:t>
            </w:r>
          </w:p>
        </w:tc>
        <w:tc>
          <w:tcPr>
            <w:tcW w:w="700" w:type="dxa"/>
            <w:vAlign w:val="bottom"/>
          </w:tcPr>
          <w:p>
            <w:pPr>
              <w:spacing w:after="0"/>
              <w:rPr>
                <w:sz w:val="15"/>
                <w:szCs w:val="15"/>
                <w:color w:val="auto"/>
              </w:rPr>
            </w:pPr>
          </w:p>
        </w:tc>
      </w:tr>
      <w:tr>
        <w:trPr>
          <w:trHeight w:val="191"/>
        </w:trPr>
        <w:tc>
          <w:tcPr>
            <w:tcW w:w="4200" w:type="dxa"/>
            <w:vAlign w:val="bottom"/>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4.3</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3.9</w:t>
            </w:r>
          </w:p>
        </w:tc>
        <w:tc>
          <w:tcPr>
            <w:tcW w:w="1620" w:type="dxa"/>
            <w:vAlign w:val="bottom"/>
            <w:gridSpan w:val="2"/>
          </w:tcPr>
          <w:p>
            <w:pPr>
              <w:jc w:val="right"/>
              <w:ind w:right="89"/>
              <w:spacing w:after="0"/>
              <w:rPr>
                <w:sz w:val="20"/>
                <w:szCs w:val="20"/>
                <w:color w:val="auto"/>
              </w:rPr>
            </w:pPr>
            <w:r>
              <w:rPr>
                <w:rFonts w:ascii="Arial" w:cs="Arial" w:eastAsia="Arial" w:hAnsi="Arial"/>
                <w:sz w:val="14"/>
                <w:szCs w:val="14"/>
                <w:color w:val="auto"/>
              </w:rPr>
              <w:t>1.9</w:t>
            </w:r>
          </w:p>
        </w:tc>
        <w:tc>
          <w:tcPr>
            <w:tcW w:w="700" w:type="dxa"/>
            <w:vAlign w:val="bottom"/>
          </w:tcPr>
          <w:p>
            <w:pPr>
              <w:spacing w:after="0"/>
              <w:rPr>
                <w:sz w:val="16"/>
                <w:szCs w:val="16"/>
                <w:color w:val="auto"/>
              </w:rPr>
            </w:pP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 attributable to ACM Research, Inc.</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18.6 %</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11.8 %</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15.6 %</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4.6 %</w:t>
            </w:r>
          </w:p>
        </w:tc>
        <w:tc>
          <w:tcPr>
            <w:tcW w:w="700" w:type="dxa"/>
            <w:vAlign w:val="bottom"/>
          </w:tcPr>
          <w:p>
            <w:pPr>
              <w:spacing w:after="0"/>
              <w:rPr>
                <w:sz w:val="19"/>
                <w:szCs w:val="19"/>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Three Months Ended June 30, 2023 and 2022</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4180" w:type="dxa"/>
            <w:vAlign w:val="bottom"/>
          </w:tcPr>
          <w:p>
            <w:pPr>
              <w:spacing w:after="0"/>
              <w:rPr>
                <w:sz w:val="20"/>
                <w:szCs w:val="20"/>
                <w:color w:val="auto"/>
              </w:rPr>
            </w:pPr>
            <w:r>
              <w:rPr>
                <w:rFonts w:ascii="Arial" w:cs="Arial" w:eastAsia="Arial" w:hAnsi="Arial"/>
                <w:sz w:val="14"/>
                <w:szCs w:val="14"/>
                <w:i w:val="1"/>
                <w:iCs w:val="1"/>
                <w:color w:val="auto"/>
              </w:rPr>
              <w:t>Revenue</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180" w:type="dxa"/>
            <w:vAlign w:val="bottom"/>
          </w:tcPr>
          <w:p>
            <w:pPr>
              <w:spacing w:after="0"/>
              <w:rPr>
                <w:sz w:val="24"/>
                <w:szCs w:val="24"/>
                <w:color w:val="auto"/>
              </w:rPr>
            </w:pPr>
          </w:p>
        </w:tc>
        <w:tc>
          <w:tcPr>
            <w:tcW w:w="2560" w:type="dxa"/>
            <w:vAlign w:val="bottom"/>
            <w:gridSpan w:val="4"/>
          </w:tcPr>
          <w:p>
            <w:pPr>
              <w:ind w:left="640"/>
              <w:spacing w:after="0"/>
              <w:rPr>
                <w:sz w:val="20"/>
                <w:szCs w:val="20"/>
                <w:color w:val="auto"/>
              </w:rPr>
            </w:pPr>
            <w:r>
              <w:rPr>
                <w:rFonts w:ascii="Arial" w:cs="Arial" w:eastAsia="Arial" w:hAnsi="Arial"/>
                <w:sz w:val="14"/>
                <w:szCs w:val="14"/>
                <w:b w:val="1"/>
                <w:bCs w:val="1"/>
                <w:color w:val="auto"/>
                <w:w w:val="95"/>
              </w:rPr>
              <w:t>Three Months Ended June 30,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Absolute Change</w:t>
            </w: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6"/>
                <w:szCs w:val="16"/>
                <w:color w:val="auto"/>
              </w:rPr>
            </w:pPr>
          </w:p>
        </w:tc>
        <w:tc>
          <w:tcPr>
            <w:tcW w:w="980" w:type="dxa"/>
            <w:vAlign w:val="bottom"/>
          </w:tcPr>
          <w:p>
            <w:pPr>
              <w:ind w:left="640"/>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189"/>
              <w:spacing w:after="0"/>
              <w:rPr>
                <w:sz w:val="20"/>
                <w:szCs w:val="20"/>
                <w:color w:val="auto"/>
              </w:rPr>
            </w:pPr>
            <w:r>
              <w:rPr>
                <w:rFonts w:ascii="Arial" w:cs="Arial" w:eastAsia="Arial" w:hAnsi="Arial"/>
                <w:sz w:val="14"/>
                <w:szCs w:val="14"/>
                <w:b w:val="1"/>
                <w:bCs w:val="1"/>
                <w:color w:val="auto"/>
              </w:rPr>
              <w:t>2023 v 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Revenue</w:t>
            </w: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144,577</w:t>
            </w:r>
          </w:p>
        </w:tc>
        <w:tc>
          <w:tcPr>
            <w:tcW w:w="10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104,395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40,182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Single wafer cleaning, Tahoe and semi-critical cleaning equipment</w:t>
            </w: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112,528</w:t>
            </w:r>
          </w:p>
        </w:tc>
        <w:tc>
          <w:tcPr>
            <w:tcW w:w="10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72,583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39,945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ECP (front-end and packaging), furnace and other technologies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19,117</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20,500</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Advanced packaging (excluding ECP), services &amp; spares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12,932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11,312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 by Product Category</w:t>
            </w: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144,577</w:t>
            </w: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104,395</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38.5 %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Wet-cleaning and other front-end processing tools</w:t>
            </w: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122,415</w:t>
            </w:r>
          </w:p>
        </w:tc>
        <w:tc>
          <w:tcPr>
            <w:tcW w:w="10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79,553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42,862</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Advanced packaging, other processing tools, services and spares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22,162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24,842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 Front and Back-End</w:t>
            </w: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144,577</w:t>
            </w: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104,395</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38.5 %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increase in revenue for three months ended June 30, 2023 as compared to the same period in 2022 was driven by higher sales of single wafer cleaning, Tahoe and semi-critical cleaning equipment, and higher sales of Advance packaging (excluding ECP), and services and spares, which were partly offset by a decline in ECP (front-end and packaging), furnace and other technologies. Contribution to revenue from customer acceptances increased versus the prior-year period due to the acceptance of several tools that resulted in the recognition of revenue for multiple tools that had been previously delivered to certain customers. The increased demand from PRC-based customers is due in part to their longer term commitment to increase production capacity to achieve a greater share of the global semiconductor market.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20" w:type="dxa"/>
            <w:vAlign w:val="bottom"/>
          </w:tcPr>
          <w:p>
            <w:pPr>
              <w:spacing w:after="0"/>
              <w:rPr>
                <w:sz w:val="20"/>
                <w:szCs w:val="20"/>
                <w:color w:val="auto"/>
              </w:rPr>
            </w:pPr>
            <w:r>
              <w:rPr>
                <w:rFonts w:ascii="Arial" w:cs="Arial" w:eastAsia="Arial" w:hAnsi="Arial"/>
                <w:sz w:val="14"/>
                <w:szCs w:val="14"/>
                <w:i w:val="1"/>
                <w:iCs w:val="1"/>
                <w:color w:val="auto"/>
              </w:rPr>
              <w:t>Cost of Revenue and Gross Margin</w:t>
            </w: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2780" w:type="dxa"/>
            <w:vAlign w:val="bottom"/>
            <w:gridSpan w:val="3"/>
          </w:tcPr>
          <w:p>
            <w:pPr>
              <w:jc w:val="center"/>
              <w:ind w:left="549"/>
              <w:spacing w:after="0"/>
              <w:rPr>
                <w:sz w:val="20"/>
                <w:szCs w:val="20"/>
                <w:color w:val="auto"/>
              </w:rPr>
            </w:pPr>
            <w:r>
              <w:rPr>
                <w:rFonts w:ascii="Arial" w:cs="Arial" w:eastAsia="Arial" w:hAnsi="Arial"/>
                <w:sz w:val="14"/>
                <w:szCs w:val="14"/>
                <w:b w:val="1"/>
                <w:bCs w:val="1"/>
                <w:color w:val="auto"/>
                <w:w w:val="92"/>
              </w:rPr>
              <w:t>Three Months Ended June 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128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2023 v 2022</w:t>
            </w:r>
          </w:p>
        </w:tc>
        <w:tc>
          <w:tcPr>
            <w:tcW w:w="128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40" w:type="dxa"/>
            <w:vAlign w:val="bottom"/>
            <w:gridSpan w:val="2"/>
          </w:tcPr>
          <w:p>
            <w:pPr>
              <w:jc w:val="center"/>
              <w:ind w:right="329"/>
              <w:spacing w:after="0"/>
              <w:rPr>
                <w:sz w:val="20"/>
                <w:szCs w:val="20"/>
                <w:color w:val="auto"/>
              </w:rPr>
            </w:pPr>
            <w:r>
              <w:rPr>
                <w:rFonts w:ascii="Arial" w:cs="Arial" w:eastAsia="Arial" w:hAnsi="Arial"/>
                <w:sz w:val="14"/>
                <w:szCs w:val="14"/>
                <w:i w:val="1"/>
                <w:iCs w:val="1"/>
                <w:color w:val="auto"/>
                <w:w w:val="92"/>
              </w:rPr>
              <w:t>(in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tcBorders>
              <w:bottom w:val="single" w:sz="8" w:color="CFF0FC"/>
            </w:tcBorders>
            <w:shd w:val="clear" w:color="auto" w:fill="CFF0FC"/>
          </w:tcPr>
          <w:p>
            <w:pPr>
              <w:jc w:val="right"/>
              <w:ind w:right="86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149"/>
              <w:spacing w:after="0"/>
              <w:rPr>
                <w:sz w:val="20"/>
                <w:szCs w:val="20"/>
                <w:color w:val="auto"/>
              </w:rPr>
            </w:pPr>
            <w:r>
              <w:rPr>
                <w:rFonts w:ascii="Arial" w:cs="Arial" w:eastAsia="Arial" w:hAnsi="Arial"/>
                <w:sz w:val="14"/>
                <w:szCs w:val="14"/>
                <w:color w:val="auto"/>
                <w:w w:val="97"/>
              </w:rPr>
              <w:t>75,938</w:t>
            </w:r>
          </w:p>
        </w:tc>
        <w:tc>
          <w:tcPr>
            <w:tcW w:w="1080" w:type="dxa"/>
            <w:vAlign w:val="bottom"/>
            <w:tcBorders>
              <w:bottom w:val="single" w:sz="8" w:color="CFF0FC"/>
            </w:tcBorders>
            <w:shd w:val="clear" w:color="auto" w:fill="CFF0FC"/>
          </w:tcPr>
          <w:p>
            <w:pPr>
              <w:jc w:val="right"/>
              <w:ind w:right="88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w w:val="97"/>
              </w:rPr>
              <w:t>60,238</w:t>
            </w:r>
          </w:p>
        </w:tc>
        <w:tc>
          <w:tcPr>
            <w:tcW w:w="1880" w:type="dxa"/>
            <w:vAlign w:val="bottom"/>
            <w:tcBorders>
              <w:bottom w:val="single" w:sz="8" w:color="CFF0FC"/>
            </w:tcBorders>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26.1 %  $</w:t>
            </w:r>
          </w:p>
        </w:tc>
        <w:tc>
          <w:tcPr>
            <w:tcW w:w="12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4"/>
                <w:szCs w:val="14"/>
                <w:color w:val="auto"/>
                <w:w w:val="97"/>
              </w:rPr>
              <w:t>15,700</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Pr>
          <w:p>
            <w:pPr>
              <w:spacing w:after="0"/>
              <w:rPr>
                <w:sz w:val="16"/>
                <w:szCs w:val="16"/>
                <w:color w:val="auto"/>
              </w:rPr>
            </w:pPr>
          </w:p>
        </w:tc>
        <w:tc>
          <w:tcPr>
            <w:tcW w:w="660" w:type="dxa"/>
            <w:vAlign w:val="bottom"/>
          </w:tcPr>
          <w:p>
            <w:pPr>
              <w:jc w:val="right"/>
              <w:ind w:right="149"/>
              <w:spacing w:after="0"/>
              <w:rPr>
                <w:sz w:val="20"/>
                <w:szCs w:val="20"/>
                <w:color w:val="auto"/>
              </w:rPr>
            </w:pPr>
            <w:r>
              <w:rPr>
                <w:rFonts w:ascii="Arial" w:cs="Arial" w:eastAsia="Arial" w:hAnsi="Arial"/>
                <w:sz w:val="14"/>
                <w:szCs w:val="14"/>
                <w:color w:val="auto"/>
                <w:w w:val="97"/>
              </w:rPr>
              <w:t>68,639</w:t>
            </w:r>
          </w:p>
        </w:tc>
        <w:tc>
          <w:tcPr>
            <w:tcW w:w="108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w w:val="97"/>
              </w:rPr>
              <w:t>44,157</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55.4 %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ind w:left="840"/>
              <w:spacing w:after="0"/>
              <w:rPr>
                <w:sz w:val="20"/>
                <w:szCs w:val="20"/>
                <w:color w:val="auto"/>
              </w:rPr>
            </w:pPr>
            <w:r>
              <w:rPr>
                <w:rFonts w:ascii="Arial" w:cs="Arial" w:eastAsia="Arial" w:hAnsi="Arial"/>
                <w:sz w:val="14"/>
                <w:szCs w:val="14"/>
                <w:color w:val="auto"/>
                <w:w w:val="97"/>
              </w:rPr>
              <w:t>24,482</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margin</w:t>
            </w: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47.5 %</w:t>
            </w: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42.3 %</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5.2 %</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ind w:left="840"/>
              <w:spacing w:after="0"/>
              <w:rPr>
                <w:sz w:val="20"/>
                <w:szCs w:val="20"/>
                <w:color w:val="auto"/>
              </w:rPr>
            </w:pPr>
            <w:r>
              <w:rPr>
                <w:rFonts w:ascii="Arial" w:cs="Arial" w:eastAsia="Arial" w:hAnsi="Arial"/>
                <w:sz w:val="14"/>
                <w:szCs w:val="14"/>
                <w:color w:val="auto"/>
                <w:w w:val="84"/>
              </w:rPr>
              <w:t>518 bps</w:t>
            </w:r>
          </w:p>
        </w:tc>
        <w:tc>
          <w:tcPr>
            <w:tcW w:w="0" w:type="dxa"/>
            <w:vAlign w:val="bottom"/>
          </w:tcPr>
          <w:p>
            <w:pPr>
              <w:spacing w:after="0"/>
              <w:rPr>
                <w:sz w:val="1"/>
                <w:szCs w:val="1"/>
                <w:color w:val="auto"/>
              </w:rPr>
            </w:pPr>
          </w:p>
        </w:tc>
      </w:tr>
      <w:tr>
        <w:trPr>
          <w:trHeight w:val="22"/>
        </w:trPr>
        <w:tc>
          <w:tcPr>
            <w:tcW w:w="36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Cost of revenue and gross profit increased in the three months ended June 30, 2023 as compared to the corresponding period in 2022 due to the increased sales volume, and an increase in gross margin. The increased gross margin versus the prior-year period was due to a favorable revenue mix between tools within our product categories, improved gross margins for specific product lines, and a favorable impact from fluctuations in the RMB to U.S. dollar exchange rate, which was partly offset by an inventory reserve of $2.9 million (note 5) recorded during the period.</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60" w:type="dxa"/>
            <w:vAlign w:val="bottom"/>
          </w:tcPr>
          <w:p>
            <w:pPr>
              <w:spacing w:after="0"/>
              <w:rPr>
                <w:sz w:val="20"/>
                <w:szCs w:val="20"/>
                <w:color w:val="auto"/>
              </w:rPr>
            </w:pPr>
            <w:r>
              <w:rPr>
                <w:rFonts w:ascii="Arial" w:cs="Arial" w:eastAsia="Arial" w:hAnsi="Arial"/>
                <w:sz w:val="14"/>
                <w:szCs w:val="14"/>
                <w:i w:val="1"/>
                <w:iCs w:val="1"/>
                <w:color w:val="auto"/>
              </w:rPr>
              <w:t>Operating Expenses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160" w:type="dxa"/>
            <w:vAlign w:val="bottom"/>
          </w:tcPr>
          <w:p>
            <w:pPr>
              <w:spacing w:after="0"/>
              <w:rPr>
                <w:sz w:val="24"/>
                <w:szCs w:val="24"/>
                <w:color w:val="auto"/>
              </w:rPr>
            </w:pPr>
          </w:p>
        </w:tc>
        <w:tc>
          <w:tcPr>
            <w:tcW w:w="268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7"/>
              </w:rPr>
              <w:t>% Change</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w w:val="93"/>
              </w:rPr>
              <w:t>Absolute Change</w:t>
            </w: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60"/>
              <w:spacing w:after="0"/>
              <w:rPr>
                <w:sz w:val="20"/>
                <w:szCs w:val="20"/>
                <w:color w:val="auto"/>
              </w:rPr>
            </w:pPr>
            <w:r>
              <w:rPr>
                <w:rFonts w:ascii="Arial" w:cs="Arial" w:eastAsia="Arial" w:hAnsi="Arial"/>
                <w:sz w:val="14"/>
                <w:szCs w:val="14"/>
                <w:b w:val="1"/>
                <w:bCs w:val="1"/>
                <w:color w:val="auto"/>
                <w:w w:val="87"/>
              </w:rPr>
              <w:t>2023 v 2022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9"/>
              <w:spacing w:after="0"/>
              <w:rPr>
                <w:sz w:val="20"/>
                <w:szCs w:val="20"/>
                <w:color w:val="auto"/>
              </w:rPr>
            </w:pPr>
            <w:r>
              <w:rPr>
                <w:rFonts w:ascii="Arial" w:cs="Arial" w:eastAsia="Arial" w:hAnsi="Arial"/>
                <w:sz w:val="14"/>
                <w:szCs w:val="14"/>
                <w:b w:val="1"/>
                <w:bCs w:val="1"/>
                <w:color w:val="auto"/>
              </w:rPr>
              <w:t>2023 v 2022</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gridSpan w:val="3"/>
          </w:tcPr>
          <w:p>
            <w:pPr>
              <w:jc w:val="right"/>
              <w:ind w:right="589"/>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Sales and marketing expense</w:t>
            </w:r>
          </w:p>
        </w:tc>
        <w:tc>
          <w:tcPr>
            <w:tcW w:w="1020" w:type="dxa"/>
            <w:vAlign w:val="bottom"/>
            <w:tcBorders>
              <w:bottom w:val="single" w:sz="8" w:color="CFF0FC"/>
            </w:tcBorders>
            <w:shd w:val="clear" w:color="auto" w:fill="CFF0FC"/>
          </w:tcPr>
          <w:p>
            <w:pPr>
              <w:jc w:val="right"/>
              <w:ind w:right="8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11,439</w:t>
            </w:r>
          </w:p>
        </w:tc>
        <w:tc>
          <w:tcPr>
            <w:tcW w:w="1120" w:type="dxa"/>
            <w:vAlign w:val="bottom"/>
            <w:tcBorders>
              <w:bottom w:val="single" w:sz="8" w:color="CFF0FC"/>
            </w:tcBorders>
            <w:gridSpan w:val="2"/>
            <w:shd w:val="clear" w:color="auto" w:fill="CFF0FC"/>
          </w:tcPr>
          <w:p>
            <w:pPr>
              <w:jc w:val="right"/>
              <w:ind w:right="8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7,664</w:t>
            </w:r>
          </w:p>
        </w:tc>
        <w:tc>
          <w:tcPr>
            <w:tcW w:w="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7"/>
              </w:rPr>
              <w:t>49.3 %</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3,775</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Research and development expense</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20,064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11,367</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7"/>
              </w:rPr>
              <w:t>76.5 %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8,697</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w:t>
            </w:r>
          </w:p>
        </w:tc>
        <w:tc>
          <w:tcPr>
            <w:tcW w:w="10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6,706</w:t>
            </w: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5,091</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7"/>
              </w:rPr>
              <w:t>31.7 %</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38,209</w:t>
            </w:r>
          </w:p>
        </w:tc>
        <w:tc>
          <w:tcPr>
            <w:tcW w:w="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24,122</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7"/>
              </w:rPr>
              <w:t>58.4 %</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14,087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 xml:space="preserve">Sales and marketing expense </w:t>
      </w:r>
      <w:r>
        <w:rPr>
          <w:rFonts w:ascii="Arial" w:cs="Arial" w:eastAsia="Arial" w:hAnsi="Arial"/>
          <w:sz w:val="14"/>
          <w:szCs w:val="14"/>
          <w:color w:val="auto"/>
        </w:rPr>
        <w:t>increased in the three months ended June 30, 2023 as compared to the corresponding period in 2022, due an increase of $3.0 million in costs for personnel, commissions,</w:t>
      </w:r>
      <w:r>
        <w:rPr>
          <w:rFonts w:ascii="Arial" w:cs="Arial" w:eastAsia="Arial" w:hAnsi="Arial"/>
          <w:sz w:val="14"/>
          <w:szCs w:val="14"/>
          <w:i w:val="1"/>
          <w:iCs w:val="1"/>
          <w:color w:val="auto"/>
        </w:rPr>
        <w:t xml:space="preserve"> </w:t>
      </w:r>
      <w:r>
        <w:rPr>
          <w:rFonts w:ascii="Arial" w:cs="Arial" w:eastAsia="Arial" w:hAnsi="Arial"/>
          <w:sz w:val="14"/>
          <w:szCs w:val="14"/>
          <w:color w:val="auto"/>
        </w:rPr>
        <w:t>outside services, travel &amp; entertainment and professional services, and $0.8 million higher costs for supplies and spare parts for promotional tools.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Sales and marketing expense consists primarily of:</w:t>
      </w:r>
    </w:p>
    <w:p>
      <w:pPr>
        <w:spacing w:after="0" w:line="179" w:lineRule="exact"/>
        <w:rPr>
          <w:sz w:val="20"/>
          <w:szCs w:val="20"/>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compensation of personnel associated with pre- and after-sale services and support and other sales and marketing activities, including stock-based compensation;</w:t>
      </w:r>
    </w:p>
    <w:p>
      <w:pPr>
        <w:spacing w:after="0" w:line="19" w:lineRule="exact"/>
        <w:rPr>
          <w:rFonts w:ascii="Arial" w:cs="Arial" w:eastAsia="Arial" w:hAnsi="Arial"/>
          <w:sz w:val="14"/>
          <w:szCs w:val="14"/>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sales commissions paid to independent sales representatives;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fees paid to sales consultants;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 of trade shows;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of tools built for promotional purposes for current or potential new customers;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travel and entertainment; and</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allocated overhead for rent and utilities.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Research and development expense </w:t>
      </w:r>
      <w:r>
        <w:rPr>
          <w:rFonts w:ascii="Arial" w:cs="Arial" w:eastAsia="Arial" w:hAnsi="Arial"/>
          <w:sz w:val="14"/>
          <w:szCs w:val="14"/>
          <w:color w:val="auto"/>
        </w:rPr>
        <w:t>increased in the three months ended June 30, 2023 as compared to the corresponding period in 2022, reflecting an increase of $7.3 million in costs of components,</w:t>
      </w:r>
      <w:r>
        <w:rPr>
          <w:rFonts w:ascii="Arial" w:cs="Arial" w:eastAsia="Arial" w:hAnsi="Arial"/>
          <w:sz w:val="14"/>
          <w:szCs w:val="14"/>
          <w:i w:val="1"/>
          <w:iCs w:val="1"/>
          <w:color w:val="auto"/>
        </w:rPr>
        <w:t xml:space="preserve"> </w:t>
      </w:r>
      <w:r>
        <w:rPr>
          <w:rFonts w:ascii="Arial" w:cs="Arial" w:eastAsia="Arial" w:hAnsi="Arial"/>
          <w:sz w:val="14"/>
          <w:szCs w:val="14"/>
          <w:color w:val="auto"/>
        </w:rPr>
        <w:t>costs of tools built for product development purposes, and costs of other research and development supplies, and an increase of $2.7 million for personnel, stock-based compensation, and travel and entertainment costs to support product development, offset by a decrease of $1.3 million in other R&amp;D-related costs.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expense represented 13.9% and 10.9% of our revenue in the three months ended June 30, 2023 and 2022, respectively. Without reduction by grant amounts received from PRC governmental authorities (see ‘</w:t>
      </w:r>
      <w:r>
        <w:rPr>
          <w:rFonts w:ascii="Arial" w:cs="Arial" w:eastAsia="Arial" w:hAnsi="Arial"/>
          <w:sz w:val="14"/>
          <w:szCs w:val="14"/>
          <w:i w:val="1"/>
          <w:iCs w:val="1"/>
          <w:color w:val="auto"/>
        </w:rPr>
        <w:t>–</w:t>
      </w:r>
      <w:r>
        <w:rPr>
          <w:rFonts w:ascii="Arial" w:cs="Arial" w:eastAsia="Arial" w:hAnsi="Arial"/>
          <w:sz w:val="14"/>
          <w:szCs w:val="14"/>
          <w:color w:val="auto"/>
        </w:rPr>
        <w:t>PRC Government Research and Development Funding’’), gross research and development expense totaled $20.3 million, or 14.1% of total revenue, in the three months ended June 30, 2023 as compared to $11.4 million, or 10.9% of revenue, in the corresponding period in 2022.</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Research and development expense relates to the development of new products and processes and encompasses our research, development and customer support activities. Research and development expense consists primarily of:</w:t>
      </w:r>
    </w:p>
    <w:p>
      <w:pPr>
        <w:spacing w:after="0" w:line="132" w:lineRule="exact"/>
        <w:rPr>
          <w:sz w:val="20"/>
          <w:szCs w:val="20"/>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compensation of personnel associated with our research and development activities, including stock based compensation;</w:t>
      </w:r>
    </w:p>
    <w:p>
      <w:pPr>
        <w:spacing w:after="0" w:line="19"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of components and other research and development supplies;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of tools built for product development purposes;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travel expense associated with the research of technical requirements for product development purposes and testing of concepts under consideration;</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costs of software used for research and development purposes; and</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allocated overhead for rent and utilities.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5" w:name="page46"/>
    <w:bookmarkEnd w:id="4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32" w:lineRule="exact"/>
        <w:rPr>
          <w:sz w:val="20"/>
          <w:szCs w:val="20"/>
          <w:color w:val="auto"/>
        </w:rPr>
      </w:pPr>
    </w:p>
    <w:p>
      <w:pPr>
        <w:spacing w:after="0" w:line="321" w:lineRule="auto"/>
        <w:rPr>
          <w:sz w:val="20"/>
          <w:szCs w:val="20"/>
          <w:color w:val="auto"/>
        </w:rPr>
      </w:pPr>
      <w:r>
        <w:rPr>
          <w:rFonts w:ascii="Arial" w:cs="Arial" w:eastAsia="Arial" w:hAnsi="Arial"/>
          <w:sz w:val="13"/>
          <w:szCs w:val="13"/>
          <w:i w:val="1"/>
          <w:iCs w:val="1"/>
          <w:color w:val="auto"/>
        </w:rPr>
        <w:t xml:space="preserve">General and administrative expense </w:t>
      </w:r>
      <w:r>
        <w:rPr>
          <w:rFonts w:ascii="Arial" w:cs="Arial" w:eastAsia="Arial" w:hAnsi="Arial"/>
          <w:sz w:val="13"/>
          <w:szCs w:val="13"/>
          <w:color w:val="auto"/>
        </w:rPr>
        <w:t>increased in the three months ended June 30, 2023 by $1.6 million as compared to the corresponding period in 2022, primarily reflecting a $1.7 million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in personnel, professional services and other general and administrative-related cost, and a $0.2 million increase in bad debt reserves, offset by $0.3 million decrease in 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 expense consists primarily of:</w:t>
      </w:r>
    </w:p>
    <w:p>
      <w:pPr>
        <w:spacing w:after="0" w:line="179" w:lineRule="exact"/>
        <w:rPr>
          <w:sz w:val="20"/>
          <w:szCs w:val="20"/>
          <w:color w:val="auto"/>
        </w:rPr>
      </w:pPr>
    </w:p>
    <w:p>
      <w:pPr>
        <w:ind w:left="900" w:hanging="51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compensation of executive, accounting and finance, human resources, information technology, and other administrative personnel, including stock-based compensation;</w:t>
      </w:r>
    </w:p>
    <w:p>
      <w:pPr>
        <w:spacing w:after="0" w:line="30" w:lineRule="exact"/>
        <w:rPr>
          <w:rFonts w:ascii="Arial" w:cs="Arial" w:eastAsia="Arial" w:hAnsi="Arial"/>
          <w:sz w:val="13"/>
          <w:szCs w:val="13"/>
          <w:color w:val="auto"/>
        </w:rPr>
      </w:pPr>
    </w:p>
    <w:p>
      <w:pPr>
        <w:ind w:left="900" w:hanging="513"/>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professional fees, including accounting and corporate legal and defense fees;</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corporate expenses including insurance;</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bad debt reserve; and</w:t>
      </w:r>
    </w:p>
    <w:p>
      <w:pPr>
        <w:spacing w:after="0" w:line="8" w:lineRule="exact"/>
        <w:rPr>
          <w:rFonts w:ascii="Arial" w:cs="Arial" w:eastAsia="Arial" w:hAnsi="Arial"/>
          <w:sz w:val="14"/>
          <w:szCs w:val="14"/>
          <w:color w:val="auto"/>
        </w:rPr>
      </w:pPr>
    </w:p>
    <w:p>
      <w:pPr>
        <w:ind w:left="900" w:hanging="513"/>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allocated overhead for rent and utilities.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the PRC.</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Pr>
          <w:p>
            <w:pPr>
              <w:spacing w:after="0"/>
              <w:rPr>
                <w:sz w:val="20"/>
                <w:szCs w:val="20"/>
                <w:color w:val="auto"/>
              </w:rPr>
            </w:pPr>
            <w:r>
              <w:rPr>
                <w:rFonts w:ascii="Arial" w:cs="Arial" w:eastAsia="Arial" w:hAnsi="Arial"/>
                <w:sz w:val="14"/>
                <w:szCs w:val="14"/>
                <w:i w:val="1"/>
                <w:iCs w:val="1"/>
                <w:color w:val="auto"/>
              </w:rPr>
              <w:t>Interest income, net, Other Income, net</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680" w:type="dxa"/>
            <w:vAlign w:val="bottom"/>
          </w:tcPr>
          <w:p>
            <w:pPr>
              <w:spacing w:after="0"/>
              <w:rPr>
                <w:sz w:val="24"/>
                <w:szCs w:val="24"/>
                <w:color w:val="auto"/>
              </w:rPr>
            </w:pPr>
          </w:p>
        </w:tc>
        <w:tc>
          <w:tcPr>
            <w:tcW w:w="2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line="20" w:lineRule="exact"/>
              <w:rPr>
                <w:sz w:val="1"/>
                <w:szCs w:val="1"/>
                <w:color w:val="auto"/>
              </w:rPr>
            </w:pPr>
          </w:p>
        </w:tc>
        <w:tc>
          <w:tcPr>
            <w:tcW w:w="13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w w:val="93"/>
              </w:rPr>
              <w:t>Absolute Change</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Arial" w:cs="Arial" w:eastAsia="Arial" w:hAnsi="Arial"/>
                <w:sz w:val="14"/>
                <w:szCs w:val="14"/>
                <w:b w:val="1"/>
                <w:bCs w:val="1"/>
                <w:color w:val="auto"/>
              </w:rPr>
              <w:t>2023 v 2022</w:t>
            </w:r>
          </w:p>
        </w:tc>
        <w:tc>
          <w:tcPr>
            <w:tcW w:w="140" w:type="dxa"/>
            <w:vAlign w:val="bottom"/>
          </w:tcPr>
          <w:p>
            <w:pPr>
              <w:spacing w:after="0"/>
              <w:rPr>
                <w:sz w:val="16"/>
                <w:szCs w:val="16"/>
                <w:color w:val="auto"/>
              </w:rPr>
            </w:pPr>
          </w:p>
        </w:tc>
        <w:tc>
          <w:tcPr>
            <w:tcW w:w="1320" w:type="dxa"/>
            <w:vAlign w:val="bottom"/>
          </w:tcPr>
          <w:p>
            <w:pPr>
              <w:jc w:val="right"/>
              <w:ind w:right="309"/>
              <w:spacing w:after="0"/>
              <w:rPr>
                <w:sz w:val="20"/>
                <w:szCs w:val="20"/>
                <w:color w:val="auto"/>
              </w:rPr>
            </w:pPr>
            <w:r>
              <w:rPr>
                <w:rFonts w:ascii="Arial" w:cs="Arial" w:eastAsia="Arial" w:hAnsi="Arial"/>
                <w:sz w:val="14"/>
                <w:szCs w:val="14"/>
                <w:b w:val="1"/>
                <w:bCs w:val="1"/>
                <w:color w:val="auto"/>
              </w:rPr>
              <w:t>2023 v 2022</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060" w:type="dxa"/>
            <w:vAlign w:val="bottom"/>
            <w:tcBorders>
              <w:bottom w:val="single" w:sz="8" w:color="CFF0FC"/>
            </w:tcBorders>
            <w:shd w:val="clear" w:color="auto" w:fill="CFF0FC"/>
          </w:tcPr>
          <w:p>
            <w:pPr>
              <w:jc w:val="right"/>
              <w:ind w:right="90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2,346</w:t>
            </w:r>
          </w:p>
        </w:tc>
        <w:tc>
          <w:tcPr>
            <w:tcW w:w="1140" w:type="dxa"/>
            <w:vAlign w:val="bottom"/>
            <w:tcBorders>
              <w:bottom w:val="single" w:sz="8" w:color="CFF0FC"/>
            </w:tcBorders>
            <w:gridSpan w:val="2"/>
            <w:shd w:val="clear" w:color="auto" w:fill="CFF0FC"/>
          </w:tcPr>
          <w:p>
            <w:pPr>
              <w:jc w:val="right"/>
              <w:ind w:right="9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2,144</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112.1 %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 net</w:t>
            </w: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1,697</w:t>
            </w:r>
          </w:p>
        </w:tc>
        <w:tc>
          <w:tcPr>
            <w:tcW w:w="1140" w:type="dxa"/>
            <w:vAlign w:val="bottom"/>
            <w:gridSpan w:val="2"/>
            <w:shd w:val="clear" w:color="auto" w:fill="CFF0FC"/>
          </w:tcPr>
          <w:p>
            <w:pPr>
              <w:jc w:val="right"/>
              <w:ind w:right="9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net</w:t>
            </w: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3,724</w:t>
            </w:r>
          </w:p>
        </w:tc>
        <w:tc>
          <w:tcPr>
            <w:tcW w:w="1140" w:type="dxa"/>
            <w:vAlign w:val="bottom"/>
            <w:gridSpan w:val="2"/>
            <w:shd w:val="clear" w:color="auto" w:fill="CFF0FC"/>
          </w:tcPr>
          <w:p>
            <w:pPr>
              <w:jc w:val="right"/>
              <w:ind w:right="9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48.7 %</w:t>
            </w:r>
          </w:p>
        </w:tc>
        <w:tc>
          <w:tcPr>
            <w:tcW w:w="100" w:type="dxa"/>
            <w:vAlign w:val="bottom"/>
            <w:shd w:val="clear" w:color="auto" w:fill="CFF0FC"/>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2"/>
        </w:trPr>
        <w:tc>
          <w:tcPr>
            <w:tcW w:w="36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Interest income (expense), net consists of interest earned on our cash and cash equivalents, restricted cash accounts, and short term and long term time deposits, offset by interest expense incurred from outstanding short-term and long-term borrowings. Interest income (expense), net decreased in the three months ended June 30, 2023 as compared to the corresponding period in 2022, due to higher interest income related to higher interest rates applied to a lower balance of cash and cash equivalents, restricted cash accounts, and short-term and long-term time deposits, more than offset by higher interest expense related to a higher balance of total borrowings.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Other income (expense), net primarily reflects (a) losses recognized from the impact of exchange rates on our foreign currency-denominated working-capital transactions which were $2.7 million and $2.4 million for the three months ended June 30, 2023 and 2022, respectively, (b) depreciation of assets acquired with government subsidies, as described under “—PRC Government Research and Development Funding” above, and other factors.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Realized gain and unrealized loss from trading securities, and equity income in net income of affiliates.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98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58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 v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2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gain from sale of trading securities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center"/>
              <w:ind w:left="609"/>
              <w:spacing w:after="0"/>
              <w:rPr>
                <w:sz w:val="20"/>
                <w:szCs w:val="20"/>
                <w:color w:val="auto"/>
              </w:rPr>
            </w:pPr>
            <w:r>
              <w:rPr>
                <w:rFonts w:ascii="Arial" w:cs="Arial" w:eastAsia="Arial" w:hAnsi="Arial"/>
                <w:sz w:val="14"/>
                <w:szCs w:val="14"/>
                <w:color w:val="auto"/>
                <w:w w:val="91"/>
              </w:rPr>
              <w:t>3,919</w:t>
            </w:r>
          </w:p>
        </w:tc>
        <w:tc>
          <w:tcPr>
            <w:tcW w:w="54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center"/>
              <w:ind w:left="809"/>
              <w:spacing w:after="0"/>
              <w:rPr>
                <w:sz w:val="20"/>
                <w:szCs w:val="20"/>
                <w:color w:val="auto"/>
              </w:rPr>
            </w:pPr>
            <w:r>
              <w:rPr>
                <w:rFonts w:ascii="Arial" w:cs="Arial" w:eastAsia="Arial" w:hAnsi="Arial"/>
                <w:sz w:val="14"/>
                <w:szCs w:val="14"/>
                <w:color w:val="auto"/>
                <w:w w:val="91"/>
              </w:rPr>
              <w:t>3,919</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Arial" w:cs="Arial" w:eastAsia="Arial" w:hAnsi="Arial"/>
                <w:sz w:val="14"/>
                <w:szCs w:val="14"/>
                <w:color w:val="auto"/>
              </w:rPr>
              <w:t>Unrealized loss on trading securities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center"/>
              <w:ind w:left="569"/>
              <w:spacing w:after="0"/>
              <w:rPr>
                <w:sz w:val="20"/>
                <w:szCs w:val="20"/>
                <w:color w:val="auto"/>
              </w:rPr>
            </w:pPr>
            <w:r>
              <w:rPr>
                <w:rFonts w:ascii="Arial" w:cs="Arial" w:eastAsia="Arial" w:hAnsi="Arial"/>
                <w:sz w:val="14"/>
                <w:szCs w:val="14"/>
                <w:color w:val="auto"/>
                <w:w w:val="90"/>
              </w:rPr>
              <w:t>(2,455)</w:t>
            </w:r>
          </w:p>
        </w:tc>
        <w:tc>
          <w:tcPr>
            <w:tcW w:w="54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480.4 %</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left="809"/>
              <w:spacing w:after="0"/>
              <w:rPr>
                <w:sz w:val="20"/>
                <w:szCs w:val="20"/>
                <w:color w:val="auto"/>
              </w:rPr>
            </w:pPr>
            <w:r>
              <w:rPr>
                <w:rFonts w:ascii="Arial" w:cs="Arial" w:eastAsia="Arial" w:hAnsi="Arial"/>
                <w:sz w:val="14"/>
                <w:szCs w:val="14"/>
                <w:color w:val="auto"/>
                <w:w w:val="90"/>
              </w:rPr>
              <w:t>(2,032)</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income in net income of affiliates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91"/>
              </w:rPr>
              <w:t>3,920</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730.5 %</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1"/>
              </w:rPr>
              <w:t>3,448</w:t>
            </w:r>
          </w:p>
        </w:tc>
        <w:tc>
          <w:tcPr>
            <w:tcW w:w="0" w:type="dxa"/>
            <w:vAlign w:val="bottom"/>
          </w:tcPr>
          <w:p>
            <w:pPr>
              <w:spacing w:after="0"/>
              <w:rPr>
                <w:sz w:val="1"/>
                <w:szCs w:val="1"/>
                <w:color w:val="auto"/>
              </w:rPr>
            </w:pPr>
          </w:p>
        </w:tc>
      </w:tr>
      <w:tr>
        <w:trPr>
          <w:trHeight w:val="22"/>
        </w:trPr>
        <w:tc>
          <w:tcPr>
            <w:tcW w:w="40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recorded a realized gain from sale of trading securities of $3.9 million for the three months ended June 30, 2023 due to a sale of ACM Shanghai’s indirect investment in SMIC shares on the STAR Market as is described in Note 15 to the condensed consolidated financial statements included in this report.</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recorded an unrealized loss on trading securities of $2.5 million for the three months ended June 30, 2023 as compared to an unrealized loss of $0.4 million for the same period in 2022, based on a change in market value of ACM Shanghai’s indirect investments in certain publicly traded securities on China's stock markets as described in Note 15 to the condensed consolidated financial statements included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Equity income in net income of affiliates increased by $3.9 million for the three months ended June 30, 2023 due to an increase of net income from investments in affiliates (Note 14).</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presents components of income tax expense for the indicated periods:</w:t>
      </w:r>
    </w:p>
    <w:p>
      <w:pPr>
        <w:spacing w:after="0" w:line="217"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28575</wp:posOffset>
            </wp:positionV>
            <wp:extent cx="20815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42" w:lineRule="exact"/>
        <w:rPr>
          <w:sz w:val="20"/>
          <w:szCs w:val="20"/>
          <w:color w:val="auto"/>
        </w:rPr>
      </w:pPr>
    </w:p>
    <w:p>
      <w:pPr>
        <w:ind w:left="6320"/>
        <w:spacing w:after="0"/>
        <w:tabs>
          <w:tab w:leader="none" w:pos="79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28575</wp:posOffset>
            </wp:positionV>
            <wp:extent cx="208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81530" cy="13335"/>
                    </a:xfrm>
                    <a:prstGeom prst="rect">
                      <a:avLst/>
                    </a:prstGeom>
                    <a:noFill/>
                  </pic:spPr>
                </pic:pic>
              </a:graphicData>
            </a:graphic>
          </wp:anchor>
        </w:drawing>
      </w:r>
    </w:p>
    <w:p>
      <w:pPr>
        <w:spacing w:after="0" w:line="56" w:lineRule="exact"/>
        <w:rPr>
          <w:sz w:val="20"/>
          <w:szCs w:val="20"/>
          <w:color w:val="auto"/>
        </w:rPr>
      </w:pPr>
    </w:p>
    <w:p>
      <w:pPr>
        <w:ind w:left="69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672455" cy="161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2455" cy="161925"/>
                    </a:xfrm>
                    <a:prstGeom prst="rect">
                      <a:avLst/>
                    </a:prstGeom>
                    <a:noFill/>
                  </pic:spPr>
                </pic:pic>
              </a:graphicData>
            </a:graphic>
          </wp:anchor>
        </w:drawing>
      </w:r>
    </w:p>
    <w:p>
      <w:pPr>
        <w:spacing w:after="0" w:line="52" w:lineRule="exact"/>
        <w:rPr>
          <w:sz w:val="20"/>
          <w:szCs w:val="20"/>
          <w:color w:val="auto"/>
        </w:rPr>
      </w:pPr>
    </w:p>
    <w:p>
      <w:pPr>
        <w:ind w:left="20"/>
        <w:spacing w:after="0"/>
        <w:tabs>
          <w:tab w:leader="none" w:pos="5660" w:val="left"/>
          <w:tab w:leader="none" w:pos="6860" w:val="left"/>
          <w:tab w:leader="none" w:pos="7340" w:val="left"/>
          <w:tab w:leader="none" w:pos="8540" w:val="left"/>
        </w:tabs>
        <w:rPr>
          <w:sz w:val="20"/>
          <w:szCs w:val="20"/>
          <w:color w:val="auto"/>
        </w:rPr>
      </w:pPr>
      <w:r>
        <w:rPr>
          <w:rFonts w:ascii="Arial" w:cs="Arial" w:eastAsia="Arial" w:hAnsi="Arial"/>
          <w:sz w:val="14"/>
          <w:szCs w:val="14"/>
          <w:color w:val="auto"/>
        </w:rPr>
        <w:t>Total income tax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7,638</w:t>
        <w:tab/>
        <w:t>$</w:t>
      </w:r>
      <w:r>
        <w:rPr>
          <w:sz w:val="20"/>
          <w:szCs w:val="20"/>
          <w:color w:val="auto"/>
        </w:rPr>
        <w:tab/>
      </w:r>
      <w:r>
        <w:rPr>
          <w:rFonts w:ascii="Arial" w:cs="Arial" w:eastAsia="Arial" w:hAnsi="Arial"/>
          <w:sz w:val="12"/>
          <w:szCs w:val="12"/>
          <w:color w:val="auto"/>
        </w:rPr>
        <w:t>7,679</w:t>
      </w:r>
    </w:p>
    <w:p>
      <w:pPr>
        <w:spacing w:after="0" w:line="32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recognized a tax expense of $7.6 million for the three months ended June 30, 2023 as compared to a tax expense of $7.7 million for the prior year period. The tax expense for the three months ended June 30, 2023 primarily resulted from the tax effect of a decrease in our effective income tax rate applied to an operating profit for the period. The decrease in our effective income tax rate for the three months ended June 30, 2023 compared to the same period of the prior year was primarily due to an increased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 The tax benefit in the three months ended June 30, 2022 was primarily due to a higher effective tax rate applied to a pre-tax net income for the period.</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effective tax rate differs from statutory rates of 21% for U.S. federal income tax purposes and 15% to 25% for Chinese income tax purposes due to the treatment of stock-based compensation including the impact from stock option exercises and non-US research expenses. Our PRC subsidiaries, ACM Shanghai, ACM Wuxi, Inc., ACM Lingang, and ACM Beijing are liable for PRC corporate income taxes at the rates of 15%, 25%, 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was entitled to a preferential income tax rate of 12.5% from January 1, 2020 to December 31, 2022.</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Under the change in Section 174 made by the Tax Cuts and Jobs Act of 2017 (the “TCJA”) which became effective on January 1, 2022, the Company is required to capitalize, and subsequently amortize R&amp;D expenses over fifteen years for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research activities conducted outside of the U.S. The capitalization of overseas R&amp;D expenses results in a significant increase in the Company’s global intangible low-taxed income inclusion.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Congress is considering legislation, but legislation has not passed, that would repeal defer the capitalization requirement to later years.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file income tax returns in the United States and state and foreign jurisdictions. Those federal, state and foreign income tax returns are under the statute of limitations subject to tax examinations for 2001 through 2022.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20"/>
                <w:szCs w:val="20"/>
                <w:color w:val="auto"/>
              </w:rPr>
            </w:pPr>
            <w:r>
              <w:rPr>
                <w:rFonts w:ascii="Arial" w:cs="Arial" w:eastAsia="Arial" w:hAnsi="Arial"/>
                <w:sz w:val="14"/>
                <w:szCs w:val="14"/>
                <w:i w:val="1"/>
                <w:iCs w:val="1"/>
                <w:color w:val="auto"/>
              </w:rPr>
              <w:t>Net Income Attributable to Non-Controlling Interests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480" w:type="dxa"/>
            <w:vAlign w:val="bottom"/>
          </w:tcPr>
          <w:p>
            <w:pPr>
              <w:spacing w:after="0"/>
              <w:rPr>
                <w:sz w:val="24"/>
                <w:szCs w:val="24"/>
                <w:color w:val="auto"/>
              </w:rPr>
            </w:pPr>
          </w:p>
        </w:tc>
        <w:tc>
          <w:tcPr>
            <w:tcW w:w="2700" w:type="dxa"/>
            <w:vAlign w:val="bottom"/>
            <w:gridSpan w:val="3"/>
          </w:tcPr>
          <w:p>
            <w:pPr>
              <w:jc w:val="center"/>
              <w:ind w:left="449"/>
              <w:spacing w:after="0"/>
              <w:rPr>
                <w:sz w:val="20"/>
                <w:szCs w:val="20"/>
                <w:color w:val="auto"/>
              </w:rPr>
            </w:pPr>
            <w:r>
              <w:rPr>
                <w:rFonts w:ascii="Arial" w:cs="Arial" w:eastAsia="Arial" w:hAnsi="Arial"/>
                <w:sz w:val="14"/>
                <w:szCs w:val="14"/>
                <w:b w:val="1"/>
                <w:bCs w:val="1"/>
                <w:color w:val="auto"/>
                <w:w w:val="91"/>
              </w:rPr>
              <w:t>Three Months Ended 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2023 v 2022</w:t>
            </w: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gridSpan w:val="2"/>
          </w:tcPr>
          <w:p>
            <w:pPr>
              <w:jc w:val="center"/>
              <w:ind w:right="449"/>
              <w:spacing w:after="0"/>
              <w:rPr>
                <w:sz w:val="20"/>
                <w:szCs w:val="20"/>
                <w:color w:val="auto"/>
              </w:rPr>
            </w:pPr>
            <w:r>
              <w:rPr>
                <w:rFonts w:ascii="Arial" w:cs="Arial" w:eastAsia="Arial" w:hAnsi="Arial"/>
                <w:sz w:val="14"/>
                <w:szCs w:val="14"/>
                <w:i w:val="1"/>
                <w:iCs w:val="1"/>
                <w:color w:val="auto"/>
                <w:w w:val="90"/>
              </w:rPr>
              <w:t>(in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6,772</w:t>
            </w:r>
          </w:p>
        </w:tc>
        <w:tc>
          <w:tcPr>
            <w:tcW w:w="1120" w:type="dxa"/>
            <w:vAlign w:val="bottom"/>
            <w:shd w:val="clear" w:color="auto" w:fill="CFF0FC"/>
          </w:tcPr>
          <w:p>
            <w:pPr>
              <w:jc w:val="right"/>
              <w:ind w:right="8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4,512</w:t>
            </w: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50.1 %  $</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ACM Research owns 82.1% of ACM Shanghai’s (note 1) outstanding shares which is reflected in our consolidated financial statements (note 2). We reflect the portion of net income allocable to the minority holders of ACM Shanghai shares as net income attributable to non-controlling interests.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20"/>
                <w:szCs w:val="20"/>
                <w:color w:val="auto"/>
              </w:rPr>
            </w:pPr>
            <w:r>
              <w:rPr>
                <w:rFonts w:ascii="Arial" w:cs="Arial" w:eastAsia="Arial" w:hAnsi="Arial"/>
                <w:sz w:val="14"/>
                <w:szCs w:val="14"/>
                <w:i w:val="1"/>
                <w:iCs w:val="1"/>
                <w:color w:val="auto"/>
              </w:rPr>
              <w:t>Foreign currency translation adjustment</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3"/>
          </w:tcPr>
          <w:p>
            <w:pPr>
              <w:jc w:val="center"/>
              <w:ind w:right="289"/>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2023 v 2022</w:t>
            </w: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2"/>
          </w:tcPr>
          <w:p>
            <w:pPr>
              <w:jc w:val="center"/>
              <w:ind w:left="649"/>
              <w:spacing w:after="0"/>
              <w:rPr>
                <w:sz w:val="20"/>
                <w:szCs w:val="20"/>
                <w:color w:val="auto"/>
              </w:rPr>
            </w:pPr>
            <w:r>
              <w:rPr>
                <w:rFonts w:ascii="Arial" w:cs="Arial" w:eastAsia="Arial" w:hAnsi="Arial"/>
                <w:sz w:val="14"/>
                <w:szCs w:val="14"/>
                <w:i w:val="1"/>
                <w:iCs w:val="1"/>
                <w:color w:val="auto"/>
                <w:w w:val="90"/>
              </w:rPr>
              <w:t>(in thousands)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(35,269)</w:t>
            </w:r>
          </w:p>
        </w:tc>
        <w:tc>
          <w:tcPr>
            <w:tcW w:w="560" w:type="dxa"/>
            <w:vAlign w:val="bottom"/>
            <w:shd w:val="clear" w:color="auto" w:fill="CFF0FC"/>
          </w:tcPr>
          <w:p>
            <w:pPr>
              <w:jc w:val="right"/>
              <w:ind w:right="3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(40,372)</w:t>
            </w: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(12.6)%  $</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recorded a foreign currency translation adjustment of $(35.3) million for the three months ended June 30, 2023, as compared to $(40.4) million for the same period in 2022, based on the net effect of RMB to dollar exchange rate fluctuations for the period on the converted value of ACM Shanghai’s RMB-denominated balances to U.S. dollar equivalents. The amounts for both years was especially large due to a significant weakening of the RMB versus the U.S. dollar during the periods on a large balance of RMB-demonominated assets.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jc w:val="right"/>
              <w:ind w:right="469"/>
              <w:spacing w:after="0"/>
              <w:rPr>
                <w:sz w:val="20"/>
                <w:szCs w:val="20"/>
                <w:color w:val="auto"/>
              </w:rPr>
            </w:pPr>
            <w:r>
              <w:rPr>
                <w:rFonts w:ascii="Arial" w:cs="Arial" w:eastAsia="Arial" w:hAnsi="Arial"/>
                <w:sz w:val="14"/>
                <w:szCs w:val="14"/>
                <w:i w:val="1"/>
                <w:iCs w:val="1"/>
                <w:color w:val="auto"/>
                <w:w w:val="91"/>
              </w:rPr>
              <w:t>Comprehensive income (loss) attributable to non-controlling interests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4480" w:type="dxa"/>
            <w:vAlign w:val="bottom"/>
          </w:tcPr>
          <w:p>
            <w:pPr>
              <w:spacing w:after="0"/>
              <w:rPr>
                <w:sz w:val="24"/>
                <w:szCs w:val="24"/>
                <w:color w:val="auto"/>
              </w:rPr>
            </w:pPr>
          </w:p>
        </w:tc>
        <w:tc>
          <w:tcPr>
            <w:tcW w:w="2680" w:type="dxa"/>
            <w:vAlign w:val="bottom"/>
            <w:gridSpan w:val="3"/>
          </w:tcPr>
          <w:p>
            <w:pPr>
              <w:jc w:val="center"/>
              <w:ind w:left="469"/>
              <w:spacing w:after="0"/>
              <w:rPr>
                <w:sz w:val="20"/>
                <w:szCs w:val="20"/>
                <w:color w:val="auto"/>
              </w:rPr>
            </w:pPr>
            <w:r>
              <w:rPr>
                <w:rFonts w:ascii="Arial" w:cs="Arial" w:eastAsia="Arial" w:hAnsi="Arial"/>
                <w:sz w:val="14"/>
                <w:szCs w:val="14"/>
                <w:b w:val="1"/>
                <w:bCs w:val="1"/>
                <w:color w:val="auto"/>
                <w:w w:val="91"/>
              </w:rPr>
              <w:t>Three Months Ended 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2023 v 2022</w:t>
            </w: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gridSpan w:val="2"/>
          </w:tcPr>
          <w:p>
            <w:pPr>
              <w:jc w:val="center"/>
              <w:ind w:right="409"/>
              <w:spacing w:after="0"/>
              <w:rPr>
                <w:sz w:val="20"/>
                <w:szCs w:val="20"/>
                <w:color w:val="auto"/>
              </w:rPr>
            </w:pPr>
            <w:r>
              <w:rPr>
                <w:rFonts w:ascii="Arial" w:cs="Arial" w:eastAsia="Arial" w:hAnsi="Arial"/>
                <w:sz w:val="14"/>
                <w:szCs w:val="14"/>
                <w:i w:val="1"/>
                <w:iCs w:val="1"/>
                <w:color w:val="auto"/>
                <w:w w:val="92"/>
              </w:rPr>
              <w:t>(in thousands)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8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92"/>
              </w:rPr>
              <w:t>Comprehensive income (loss) attributable to non-controlling interests</w:t>
            </w: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652</w:t>
            </w:r>
          </w:p>
        </w:tc>
        <w:tc>
          <w:tcPr>
            <w:tcW w:w="1100" w:type="dxa"/>
            <w:vAlign w:val="bottom"/>
            <w:shd w:val="clear" w:color="auto" w:fill="CFF0FC"/>
          </w:tcPr>
          <w:p>
            <w:pPr>
              <w:jc w:val="right"/>
              <w:ind w:right="869"/>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(129.0)%  $</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22"/>
        </w:trPr>
        <w:tc>
          <w:tcPr>
            <w:tcW w:w="44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Comprehensive income attributable to non-controlling interests increased by $2.9 million for the three months ended June 30, 2023 due to change in net income generated from the non-controlling interests as impacted from foreign exchange rate fluctuations.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Six Months Ended June 30, 2023 and 2022</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4180" w:type="dxa"/>
            <w:vAlign w:val="bottom"/>
          </w:tcPr>
          <w:p>
            <w:pPr>
              <w:spacing w:after="0"/>
              <w:rPr>
                <w:sz w:val="20"/>
                <w:szCs w:val="20"/>
                <w:color w:val="auto"/>
              </w:rPr>
            </w:pPr>
            <w:r>
              <w:rPr>
                <w:rFonts w:ascii="Arial" w:cs="Arial" w:eastAsia="Arial" w:hAnsi="Arial"/>
                <w:sz w:val="14"/>
                <w:szCs w:val="14"/>
                <w:i w:val="1"/>
                <w:iCs w:val="1"/>
                <w:color w:val="auto"/>
              </w:rPr>
              <w:t>Revenue</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180" w:type="dxa"/>
            <w:vAlign w:val="bottom"/>
          </w:tcPr>
          <w:p>
            <w:pPr>
              <w:spacing w:after="0"/>
              <w:rPr>
                <w:sz w:val="24"/>
                <w:szCs w:val="24"/>
                <w:color w:val="auto"/>
              </w:rPr>
            </w:pPr>
          </w:p>
        </w:tc>
        <w:tc>
          <w:tcPr>
            <w:tcW w:w="2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209"/>
              <w:spacing w:after="0"/>
              <w:rPr>
                <w:sz w:val="20"/>
                <w:szCs w:val="20"/>
                <w:color w:val="auto"/>
              </w:rPr>
            </w:pPr>
            <w:r>
              <w:rPr>
                <w:rFonts w:ascii="Arial" w:cs="Arial" w:eastAsia="Arial" w:hAnsi="Arial"/>
                <w:sz w:val="14"/>
                <w:szCs w:val="14"/>
                <w:b w:val="1"/>
                <w:bCs w:val="1"/>
                <w:color w:val="auto"/>
              </w:rPr>
              <w:t>2023 v 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218,833</w:t>
            </w:r>
          </w:p>
        </w:tc>
        <w:tc>
          <w:tcPr>
            <w:tcW w:w="10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146,581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49.3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72,252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Single wafer cleaning, Tahoe and semi-critical cleaning equipment</w:t>
            </w: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149,142</w:t>
            </w:r>
          </w:p>
        </w:tc>
        <w:tc>
          <w:tcPr>
            <w:tcW w:w="10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98,616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51.2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50,526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ECP (front-end and packaging), furnace and other technologies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45,715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32,748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Advanced packaging (excluding ECP), services &amp; spares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23,976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15,217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8,759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 by Product Category</w:t>
            </w: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218,833</w:t>
            </w: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146,581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49.3 %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Wet-cleaning and other front-end processing tools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178,797</w:t>
            </w:r>
          </w:p>
        </w:tc>
        <w:tc>
          <w:tcPr>
            <w:tcW w:w="10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111,254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67,543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Advanced packaging, other processing tools, services and spares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40,036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35,327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 Front and Back-End</w:t>
            </w: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218,833</w:t>
            </w: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146,581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49.3 %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increase in revenue for six months ended June 30, 2023 as compared to the same period in 2022 was driven by higher sales of single wafer cleaning, Tahoe and semi-critical cleaning equipment, increased contribution from ECP (front-end and packaging), furnace and other technologies, and higher sales of Advance packaging (excluding ECP), and services and spares. Contribution to revenue from customer acceptances increased versus the prior-year period due to the acceptance of several tools that resulted in the recognition of revenue for multiple tools that had been previously delivered to certain customers. The increased demand from PRC-based customers is due in part to their longer term commitment to increase production capacity to achieve a greater share of the global semiconductor market.</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Shanghai operations were adversely impacted by a continuation of effects related to the cessation of China's zero-COVID policies in late 2022 that extended into early 2023, and the continued impact from a recent increase in restrictions implemented by the U.S. Department of Commerce and other countries for PRC-based semiconductor producers (note 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20" w:type="dxa"/>
            <w:vAlign w:val="bottom"/>
          </w:tcPr>
          <w:p>
            <w:pPr>
              <w:spacing w:after="0"/>
              <w:rPr>
                <w:sz w:val="20"/>
                <w:szCs w:val="20"/>
                <w:color w:val="auto"/>
              </w:rPr>
            </w:pPr>
            <w:r>
              <w:rPr>
                <w:rFonts w:ascii="Arial" w:cs="Arial" w:eastAsia="Arial" w:hAnsi="Arial"/>
                <w:sz w:val="14"/>
                <w:szCs w:val="14"/>
                <w:i w:val="1"/>
                <w:iCs w:val="1"/>
                <w:color w:val="auto"/>
              </w:rPr>
              <w:t>Cost of Revenue and Gross Margin</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260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w w:val="91"/>
              </w:rPr>
              <w:t>Six Months Ended June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128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2023 v 2022</w:t>
            </w:r>
          </w:p>
        </w:tc>
        <w:tc>
          <w:tcPr>
            <w:tcW w:w="128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gridSpan w:val="2"/>
          </w:tcPr>
          <w:p>
            <w:pPr>
              <w:jc w:val="center"/>
              <w:ind w:right="229"/>
              <w:spacing w:after="0"/>
              <w:rPr>
                <w:sz w:val="20"/>
                <w:szCs w:val="20"/>
                <w:color w:val="auto"/>
              </w:rPr>
            </w:pPr>
            <w:r>
              <w:rPr>
                <w:rFonts w:ascii="Arial" w:cs="Arial" w:eastAsia="Arial" w:hAnsi="Arial"/>
                <w:sz w:val="14"/>
                <w:szCs w:val="14"/>
                <w:i w:val="1"/>
                <w:iCs w:val="1"/>
                <w:color w:val="auto"/>
                <w:w w:val="92"/>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920" w:type="dxa"/>
            <w:vAlign w:val="bottom"/>
            <w:tcBorders>
              <w:bottom w:val="single" w:sz="8" w:color="CFF0FC"/>
            </w:tcBorders>
            <w:shd w:val="clear" w:color="auto" w:fill="CFF0FC"/>
          </w:tcPr>
          <w:p>
            <w:pPr>
              <w:jc w:val="right"/>
              <w:ind w:right="7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FF0FC"/>
            </w:tcBorders>
            <w:shd w:val="clear" w:color="auto" w:fill="CFF0FC"/>
          </w:tcPr>
          <w:p>
            <w:pPr>
              <w:jc w:val="right"/>
              <w:ind w:right="149"/>
              <w:spacing w:after="0"/>
              <w:rPr>
                <w:sz w:val="20"/>
                <w:szCs w:val="20"/>
                <w:color w:val="auto"/>
              </w:rPr>
            </w:pPr>
            <w:r>
              <w:rPr>
                <w:rFonts w:ascii="Arial" w:cs="Arial" w:eastAsia="Arial" w:hAnsi="Arial"/>
                <w:sz w:val="14"/>
                <w:szCs w:val="14"/>
                <w:color w:val="auto"/>
                <w:w w:val="86"/>
              </w:rPr>
              <w:t>110,208</w:t>
            </w:r>
          </w:p>
        </w:tc>
        <w:tc>
          <w:tcPr>
            <w:tcW w:w="1000" w:type="dxa"/>
            <w:vAlign w:val="bottom"/>
            <w:tcBorders>
              <w:bottom w:val="single" w:sz="8" w:color="CFF0FC"/>
            </w:tcBorders>
            <w:shd w:val="clear" w:color="auto" w:fill="CFF0FC"/>
          </w:tcPr>
          <w:p>
            <w:pPr>
              <w:jc w:val="right"/>
              <w:ind w:right="8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w w:val="93"/>
              </w:rPr>
              <w:t>82,738</w:t>
            </w:r>
          </w:p>
        </w:tc>
        <w:tc>
          <w:tcPr>
            <w:tcW w:w="1880" w:type="dxa"/>
            <w:vAlign w:val="bottom"/>
            <w:tcBorders>
              <w:bottom w:val="single" w:sz="8" w:color="CFF0FC"/>
            </w:tcBorders>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33.2 %  $</w:t>
            </w:r>
          </w:p>
        </w:tc>
        <w:tc>
          <w:tcPr>
            <w:tcW w:w="12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4"/>
                <w:szCs w:val="14"/>
                <w:color w:val="auto"/>
                <w:w w:val="97"/>
              </w:rPr>
              <w:t>27,470</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920" w:type="dxa"/>
            <w:vAlign w:val="bottom"/>
          </w:tcPr>
          <w:p>
            <w:pPr>
              <w:spacing w:after="0"/>
              <w:rPr>
                <w:sz w:val="16"/>
                <w:szCs w:val="16"/>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color w:val="auto"/>
                <w:w w:val="86"/>
              </w:rPr>
              <w:t>108,625</w:t>
            </w:r>
          </w:p>
        </w:tc>
        <w:tc>
          <w:tcPr>
            <w:tcW w:w="1000" w:type="dxa"/>
            <w:vAlign w:val="bottom"/>
          </w:tcPr>
          <w:p>
            <w:pPr>
              <w:spacing w:after="0"/>
              <w:rPr>
                <w:sz w:val="16"/>
                <w:szCs w:val="16"/>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w w:val="93"/>
              </w:rPr>
              <w:t>63,843</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70.1 %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ind w:left="840"/>
              <w:spacing w:after="0"/>
              <w:rPr>
                <w:sz w:val="20"/>
                <w:szCs w:val="20"/>
                <w:color w:val="auto"/>
              </w:rPr>
            </w:pPr>
            <w:r>
              <w:rPr>
                <w:rFonts w:ascii="Arial" w:cs="Arial" w:eastAsia="Arial" w:hAnsi="Arial"/>
                <w:sz w:val="14"/>
                <w:szCs w:val="14"/>
                <w:color w:val="auto"/>
                <w:w w:val="97"/>
              </w:rPr>
              <w:t>44,782</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margin</w:t>
            </w:r>
          </w:p>
        </w:tc>
        <w:tc>
          <w:tcPr>
            <w:tcW w:w="9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49.6 %</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43.6 %</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6.0 %</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ind w:left="820"/>
              <w:spacing w:after="0"/>
              <w:rPr>
                <w:sz w:val="20"/>
                <w:szCs w:val="20"/>
                <w:color w:val="auto"/>
              </w:rPr>
            </w:pPr>
            <w:r>
              <w:rPr>
                <w:rFonts w:ascii="Arial" w:cs="Arial" w:eastAsia="Arial" w:hAnsi="Arial"/>
                <w:sz w:val="14"/>
                <w:szCs w:val="14"/>
                <w:color w:val="auto"/>
                <w:w w:val="88"/>
              </w:rPr>
              <w:t>608 bps</w:t>
            </w:r>
          </w:p>
        </w:tc>
        <w:tc>
          <w:tcPr>
            <w:tcW w:w="0" w:type="dxa"/>
            <w:vAlign w:val="bottom"/>
          </w:tcPr>
          <w:p>
            <w:pPr>
              <w:spacing w:after="0"/>
              <w:rPr>
                <w:sz w:val="1"/>
                <w:szCs w:val="1"/>
                <w:color w:val="auto"/>
              </w:rPr>
            </w:pPr>
          </w:p>
        </w:tc>
      </w:tr>
      <w:tr>
        <w:trPr>
          <w:trHeight w:val="22"/>
        </w:trPr>
        <w:tc>
          <w:tcPr>
            <w:tcW w:w="36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Cost of revenue and gross profit increased in the six months ended June 30, 2023 as compared to the corresponding period in 2022 due to the increased sales volume, and an increase in gross margin. The increased gross margin versus the prior-year period was primarily due to a favorable revenue mix between tools within our product categories, improved gross margins for specific product lines, and a favorable impact from fluctuations in the RMB to U.S. dollar exchange rate, which was partly offset by an inventory reserve of $3.2 million (note 5) recorded during the period.</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60" w:type="dxa"/>
            <w:vAlign w:val="bottom"/>
          </w:tcPr>
          <w:p>
            <w:pPr>
              <w:spacing w:after="0"/>
              <w:rPr>
                <w:sz w:val="20"/>
                <w:szCs w:val="20"/>
                <w:color w:val="auto"/>
              </w:rPr>
            </w:pPr>
            <w:r>
              <w:rPr>
                <w:rFonts w:ascii="Arial" w:cs="Arial" w:eastAsia="Arial" w:hAnsi="Arial"/>
                <w:sz w:val="14"/>
                <w:szCs w:val="14"/>
                <w:i w:val="1"/>
                <w:iCs w:val="1"/>
                <w:color w:val="auto"/>
              </w:rPr>
              <w:t>Operating Expenses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160" w:type="dxa"/>
            <w:vAlign w:val="bottom"/>
          </w:tcPr>
          <w:p>
            <w:pPr>
              <w:spacing w:after="0"/>
              <w:rPr>
                <w:sz w:val="24"/>
                <w:szCs w:val="24"/>
                <w:color w:val="auto"/>
              </w:rPr>
            </w:pPr>
          </w:p>
        </w:tc>
        <w:tc>
          <w:tcPr>
            <w:tcW w:w="250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 Change</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w w:val="93"/>
              </w:rPr>
              <w:t>Absolute Change</w:t>
            </w: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460"/>
              <w:spacing w:after="0"/>
              <w:rPr>
                <w:sz w:val="20"/>
                <w:szCs w:val="20"/>
                <w:color w:val="auto"/>
              </w:rPr>
            </w:pPr>
            <w:r>
              <w:rPr>
                <w:rFonts w:ascii="Arial" w:cs="Arial" w:eastAsia="Arial" w:hAnsi="Arial"/>
                <w:sz w:val="14"/>
                <w:szCs w:val="14"/>
                <w:b w:val="1"/>
                <w:bCs w:val="1"/>
                <w:color w:val="auto"/>
                <w:w w:val="87"/>
              </w:rPr>
              <w:t>2023 v 2022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9"/>
              <w:spacing w:after="0"/>
              <w:rPr>
                <w:sz w:val="20"/>
                <w:szCs w:val="20"/>
                <w:color w:val="auto"/>
              </w:rPr>
            </w:pPr>
            <w:r>
              <w:rPr>
                <w:rFonts w:ascii="Arial" w:cs="Arial" w:eastAsia="Arial" w:hAnsi="Arial"/>
                <w:sz w:val="14"/>
                <w:szCs w:val="14"/>
                <w:b w:val="1"/>
                <w:bCs w:val="1"/>
                <w:color w:val="auto"/>
              </w:rPr>
              <w:t>2023 v 2022</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gridSpan w:val="3"/>
          </w:tcPr>
          <w:p>
            <w:pPr>
              <w:jc w:val="right"/>
              <w:ind w:right="509"/>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Sales and marketing expense</w:t>
            </w:r>
          </w:p>
        </w:tc>
        <w:tc>
          <w:tcPr>
            <w:tcW w:w="940" w:type="dxa"/>
            <w:vAlign w:val="bottom"/>
            <w:tcBorders>
              <w:bottom w:val="single" w:sz="8" w:color="CFF0FC"/>
            </w:tcBorders>
            <w:shd w:val="clear" w:color="auto" w:fill="CFF0FC"/>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20,776</w:t>
            </w:r>
          </w:p>
        </w:tc>
        <w:tc>
          <w:tcPr>
            <w:tcW w:w="1040" w:type="dxa"/>
            <w:vAlign w:val="bottom"/>
            <w:tcBorders>
              <w:bottom w:val="single" w:sz="8" w:color="CFF0FC"/>
            </w:tcBorders>
            <w:gridSpan w:val="2"/>
            <w:shd w:val="clear" w:color="auto" w:fill="CFF0FC"/>
          </w:tcPr>
          <w:p>
            <w:pPr>
              <w:jc w:val="right"/>
              <w:ind w:right="7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14,361</w:t>
            </w:r>
          </w:p>
        </w:tc>
        <w:tc>
          <w:tcPr>
            <w:tcW w:w="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7"/>
              </w:rPr>
              <w:t>44.7 %</w:t>
            </w:r>
          </w:p>
        </w:tc>
        <w:tc>
          <w:tcPr>
            <w:tcW w:w="240" w:type="dxa"/>
            <w:vAlign w:val="bottom"/>
            <w:tcBorders>
              <w:bottom w:val="single" w:sz="8" w:color="CFF0FC"/>
            </w:tcBorders>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6,415</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Research and development expense</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34,093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28,713</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7"/>
              </w:rPr>
              <w:t>18.7 %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w:t>
            </w:r>
          </w:p>
        </w:tc>
        <w:tc>
          <w:tcPr>
            <w:tcW w:w="9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14,464</w:t>
            </w:r>
          </w:p>
        </w:tc>
        <w:tc>
          <w:tcPr>
            <w:tcW w:w="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10,040</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7"/>
              </w:rPr>
              <w:t>44.1 %</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4,424</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69,333</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53,114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7"/>
              </w:rPr>
              <w:t>30.5 %</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16,219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i w:val="1"/>
          <w:iCs w:val="1"/>
          <w:color w:val="auto"/>
        </w:rPr>
        <w:t xml:space="preserve">Sales and marketing expense </w:t>
      </w:r>
      <w:r>
        <w:rPr>
          <w:rFonts w:ascii="Arial" w:cs="Arial" w:eastAsia="Arial" w:hAnsi="Arial"/>
          <w:sz w:val="13"/>
          <w:szCs w:val="13"/>
          <w:color w:val="auto"/>
        </w:rPr>
        <w:t>increased in the six months ended June 30, 2023 as compared to the corresponding period in 2022, reflecting an increase of an increase of $3.7 million due to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costs for personnel, commissions, outside services, travel &amp; entertainment and other costs, and $2.7 million in higher costs for supplies and spare parts for promotional tools.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Research and development expense </w:t>
      </w:r>
      <w:r>
        <w:rPr>
          <w:rFonts w:ascii="Arial" w:cs="Arial" w:eastAsia="Arial" w:hAnsi="Arial"/>
          <w:sz w:val="14"/>
          <w:szCs w:val="14"/>
          <w:color w:val="auto"/>
        </w:rPr>
        <w:t>increased in the six months ended June 30, 2023 as compared to the corresponding period in 2022, reflecting an increase of $5.2 million for personnel, stock-based</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and travel and entertainment costs to support product development, an increase of $1.1 million in costs of components, costs of tools built for product development purposes, and a net decrease of $0.1 million in outside services and other R&amp;D-related costs.</w:t>
      </w:r>
    </w:p>
    <w:p>
      <w:pPr>
        <w:spacing w:after="0" w:line="14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Research and development expense represented 15.6% and 19.6% of our revenue in the six months ended June 30, 2023 and 2022, respectively. Without reduction by grant amounts received from PRC governmental authorities (see ‘</w:t>
      </w:r>
      <w:r>
        <w:rPr>
          <w:rFonts w:ascii="Arial" w:cs="Arial" w:eastAsia="Arial" w:hAnsi="Arial"/>
          <w:sz w:val="13"/>
          <w:szCs w:val="13"/>
          <w:i w:val="1"/>
          <w:iCs w:val="1"/>
          <w:color w:val="auto"/>
        </w:rPr>
        <w:t>–</w:t>
      </w:r>
      <w:r>
        <w:rPr>
          <w:rFonts w:ascii="Arial" w:cs="Arial" w:eastAsia="Arial" w:hAnsi="Arial"/>
          <w:sz w:val="13"/>
          <w:szCs w:val="13"/>
          <w:color w:val="auto"/>
        </w:rPr>
        <w:t>PRC Government Research and Development Funding’’), gross research and development expense totaled $34.1 million,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15.9% of total revenue, in the six months ended June 30, 2023 as compared to $28.7 million, or 19.6% of revenue, in the corresponding period in 2022.</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3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i w:val="1"/>
          <w:iCs w:val="1"/>
          <w:color w:val="auto"/>
        </w:rPr>
        <w:t xml:space="preserve">General and administrative expense </w:t>
      </w:r>
      <w:r>
        <w:rPr>
          <w:rFonts w:ascii="Arial" w:cs="Arial" w:eastAsia="Arial" w:hAnsi="Arial"/>
          <w:sz w:val="13"/>
          <w:szCs w:val="13"/>
          <w:color w:val="auto"/>
        </w:rPr>
        <w:t>increased in the three months ended June 30, 2023 as compared to the corresponding period in 2022, primarily reflecting a $2.3 million increase in personnel</w:t>
      </w:r>
      <w:r>
        <w:rPr>
          <w:rFonts w:ascii="Arial" w:cs="Arial" w:eastAsia="Arial" w:hAnsi="Arial"/>
          <w:sz w:val="13"/>
          <w:szCs w:val="13"/>
          <w:i w:val="1"/>
          <w:iCs w:val="1"/>
          <w:color w:val="auto"/>
        </w:rPr>
        <w:t xml:space="preserve"> </w:t>
      </w:r>
      <w:r>
        <w:rPr>
          <w:rFonts w:ascii="Arial" w:cs="Arial" w:eastAsia="Arial" w:hAnsi="Arial"/>
          <w:sz w:val="13"/>
          <w:szCs w:val="13"/>
          <w:color w:val="auto"/>
        </w:rPr>
        <w:t>costs, a $1.9 million increase in professional services, a $1.1 million increase in other general and administrative related cost, and a $0.5 million increase in bad debt reserves.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as a public company in the PRC.</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Pr>
          <w:p>
            <w:pPr>
              <w:spacing w:after="0"/>
              <w:rPr>
                <w:sz w:val="20"/>
                <w:szCs w:val="20"/>
                <w:color w:val="auto"/>
              </w:rPr>
            </w:pPr>
            <w:r>
              <w:rPr>
                <w:rFonts w:ascii="Arial" w:cs="Arial" w:eastAsia="Arial" w:hAnsi="Arial"/>
                <w:sz w:val="14"/>
                <w:szCs w:val="14"/>
                <w:i w:val="1"/>
                <w:iCs w:val="1"/>
                <w:color w:val="auto"/>
                <w:w w:val="97"/>
              </w:rPr>
              <w:t>Interest income (expense), net, Other Income (expense), net</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680" w:type="dxa"/>
            <w:vAlign w:val="bottom"/>
          </w:tcPr>
          <w:p>
            <w:pPr>
              <w:spacing w:after="0"/>
              <w:rPr>
                <w:sz w:val="24"/>
                <w:szCs w:val="24"/>
                <w:color w:val="auto"/>
              </w:rPr>
            </w:pPr>
          </w:p>
        </w:tc>
        <w:tc>
          <w:tcPr>
            <w:tcW w:w="25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line="20" w:lineRule="exact"/>
              <w:rPr>
                <w:sz w:val="1"/>
                <w:szCs w:val="1"/>
                <w:color w:val="auto"/>
              </w:rPr>
            </w:pPr>
          </w:p>
        </w:tc>
        <w:tc>
          <w:tcPr>
            <w:tcW w:w="13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0"/>
              </w:rPr>
              <w:t>Absolute Change</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Arial" w:cs="Arial" w:eastAsia="Arial" w:hAnsi="Arial"/>
                <w:sz w:val="14"/>
                <w:szCs w:val="14"/>
                <w:b w:val="1"/>
                <w:bCs w:val="1"/>
                <w:color w:val="auto"/>
              </w:rPr>
              <w:t>2023 v 2022</w:t>
            </w:r>
          </w:p>
        </w:tc>
        <w:tc>
          <w:tcPr>
            <w:tcW w:w="140" w:type="dxa"/>
            <w:vAlign w:val="bottom"/>
          </w:tcPr>
          <w:p>
            <w:pPr>
              <w:spacing w:after="0"/>
              <w:rPr>
                <w:sz w:val="16"/>
                <w:szCs w:val="16"/>
                <w:color w:val="auto"/>
              </w:rPr>
            </w:pPr>
          </w:p>
        </w:tc>
        <w:tc>
          <w:tcPr>
            <w:tcW w:w="132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2023 v 2022</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tcBorders>
              <w:bottom w:val="single" w:sz="8" w:color="CFF0FC"/>
            </w:tcBorders>
            <w:shd w:val="clear" w:color="auto" w:fill="CFF0FC"/>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FF0FC"/>
            </w:tcBorders>
            <w:shd w:val="clear" w:color="auto" w:fill="CFF0FC"/>
          </w:tcPr>
          <w:p>
            <w:pPr>
              <w:jc w:val="center"/>
              <w:ind w:left="9"/>
              <w:spacing w:after="0"/>
              <w:rPr>
                <w:sz w:val="20"/>
                <w:szCs w:val="20"/>
                <w:color w:val="auto"/>
              </w:rPr>
            </w:pPr>
            <w:r>
              <w:rPr>
                <w:rFonts w:ascii="Arial" w:cs="Arial" w:eastAsia="Arial" w:hAnsi="Arial"/>
                <w:sz w:val="14"/>
                <w:szCs w:val="14"/>
                <w:color w:val="auto"/>
                <w:w w:val="91"/>
              </w:rPr>
              <w:t>4,131</w:t>
            </w:r>
          </w:p>
        </w:tc>
        <w:tc>
          <w:tcPr>
            <w:tcW w:w="1060" w:type="dxa"/>
            <w:vAlign w:val="bottom"/>
            <w:tcBorders>
              <w:bottom w:val="single" w:sz="8" w:color="CFF0FC"/>
            </w:tcBorders>
            <w:gridSpan w:val="2"/>
            <w:shd w:val="clear" w:color="auto" w:fill="CFF0FC"/>
          </w:tcPr>
          <w:p>
            <w:pPr>
              <w:jc w:val="right"/>
              <w:ind w:right="8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3,949</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center"/>
              <w:ind w:left="909"/>
              <w:spacing w:after="0"/>
              <w:rPr>
                <w:sz w:val="20"/>
                <w:szCs w:val="20"/>
                <w:color w:val="auto"/>
              </w:rPr>
            </w:pPr>
            <w:r>
              <w:rPr>
                <w:rFonts w:ascii="Arial" w:cs="Arial" w:eastAsia="Arial" w:hAnsi="Arial"/>
                <w:sz w:val="14"/>
                <w:szCs w:val="14"/>
                <w:color w:val="auto"/>
                <w:w w:val="94"/>
              </w:rPr>
              <w:t>182</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4"/>
              </w:rPr>
              <w:t>(1,344)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(567)</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137.0 %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left="889"/>
              <w:spacing w:after="0"/>
              <w:rPr>
                <w:sz w:val="20"/>
                <w:szCs w:val="20"/>
                <w:color w:val="auto"/>
              </w:rPr>
            </w:pPr>
            <w:r>
              <w:rPr>
                <w:rFonts w:ascii="Arial" w:cs="Arial" w:eastAsia="Arial" w:hAnsi="Arial"/>
                <w:sz w:val="14"/>
                <w:szCs w:val="14"/>
                <w:color w:val="auto"/>
                <w:w w:val="97"/>
              </w:rPr>
              <w:t>(777)</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 net</w:t>
            </w:r>
          </w:p>
        </w:tc>
        <w:tc>
          <w:tcPr>
            <w:tcW w:w="940" w:type="dxa"/>
            <w:vAlign w:val="bottom"/>
            <w:shd w:val="clear" w:color="auto" w:fill="CFF0FC"/>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center"/>
              <w:ind w:left="9"/>
              <w:spacing w:after="0"/>
              <w:rPr>
                <w:sz w:val="20"/>
                <w:szCs w:val="20"/>
                <w:color w:val="auto"/>
              </w:rPr>
            </w:pPr>
            <w:r>
              <w:rPr>
                <w:rFonts w:ascii="Arial" w:cs="Arial" w:eastAsia="Arial" w:hAnsi="Arial"/>
                <w:sz w:val="14"/>
                <w:szCs w:val="14"/>
                <w:color w:val="auto"/>
                <w:w w:val="91"/>
              </w:rPr>
              <w:t>2,787</w:t>
            </w:r>
          </w:p>
        </w:tc>
        <w:tc>
          <w:tcPr>
            <w:tcW w:w="1060" w:type="dxa"/>
            <w:vAlign w:val="bottom"/>
            <w:gridSpan w:val="2"/>
            <w:shd w:val="clear" w:color="auto" w:fill="CFF0FC"/>
          </w:tcPr>
          <w:p>
            <w:pPr>
              <w:jc w:val="right"/>
              <w:ind w:right="8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-17.6 %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center"/>
              <w:ind w:left="889"/>
              <w:spacing w:after="0"/>
              <w:rPr>
                <w:sz w:val="20"/>
                <w:szCs w:val="20"/>
                <w:color w:val="auto"/>
              </w:rPr>
            </w:pPr>
            <w:r>
              <w:rPr>
                <w:rFonts w:ascii="Arial" w:cs="Arial" w:eastAsia="Arial" w:hAnsi="Arial"/>
                <w:sz w:val="14"/>
                <w:szCs w:val="14"/>
                <w:color w:val="auto"/>
                <w:w w:val="97"/>
              </w:rPr>
              <w:t>(595)</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net</w:t>
            </w:r>
          </w:p>
        </w:tc>
        <w:tc>
          <w:tcPr>
            <w:tcW w:w="940" w:type="dxa"/>
            <w:vAlign w:val="bottom"/>
            <w:shd w:val="clear" w:color="auto" w:fill="CFF0FC"/>
          </w:tcPr>
          <w:p>
            <w:pPr>
              <w:jc w:val="right"/>
              <w:ind w:right="78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center"/>
              <w:ind w:left="9"/>
              <w:spacing w:after="0"/>
              <w:rPr>
                <w:sz w:val="20"/>
                <w:szCs w:val="20"/>
                <w:color w:val="auto"/>
              </w:rPr>
            </w:pPr>
            <w:r>
              <w:rPr>
                <w:rFonts w:ascii="Arial" w:cs="Arial" w:eastAsia="Arial" w:hAnsi="Arial"/>
                <w:sz w:val="14"/>
                <w:szCs w:val="14"/>
                <w:color w:val="auto"/>
                <w:w w:val="91"/>
              </w:rPr>
              <w:t>2,306</w:t>
            </w:r>
          </w:p>
        </w:tc>
        <w:tc>
          <w:tcPr>
            <w:tcW w:w="1060" w:type="dxa"/>
            <w:vAlign w:val="bottom"/>
            <w:gridSpan w:val="2"/>
            <w:shd w:val="clear" w:color="auto" w:fill="CFF0FC"/>
          </w:tcPr>
          <w:p>
            <w:pPr>
              <w:jc w:val="right"/>
              <w:ind w:right="8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-15.9 %</w:t>
            </w:r>
          </w:p>
        </w:tc>
        <w:tc>
          <w:tcPr>
            <w:tcW w:w="100" w:type="dxa"/>
            <w:vAlign w:val="bottom"/>
            <w:shd w:val="clear" w:color="auto" w:fill="CFF0FC"/>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7"/>
              </w:rPr>
              <w:t>(436)</w:t>
            </w:r>
          </w:p>
        </w:tc>
        <w:tc>
          <w:tcPr>
            <w:tcW w:w="0" w:type="dxa"/>
            <w:vAlign w:val="bottom"/>
          </w:tcPr>
          <w:p>
            <w:pPr>
              <w:spacing w:after="0"/>
              <w:rPr>
                <w:sz w:val="1"/>
                <w:szCs w:val="1"/>
                <w:color w:val="auto"/>
              </w:rPr>
            </w:pPr>
          </w:p>
        </w:tc>
      </w:tr>
      <w:tr>
        <w:trPr>
          <w:trHeight w:val="22"/>
        </w:trPr>
        <w:tc>
          <w:tcPr>
            <w:tcW w:w="36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Interest income, net consists of interest earned on our cash and equivalents, restricted cash accounts, and short term and long term time deposits, offset by interest expense incurred from outstanding short-term and long-term borrowings. Interest income, net decreased in the six months ended June 30, 2023 as compared to the corresponding period in 2022, due to higher interest income related to higher interest rates applied to a lower balance of cash and equivalents, restricted cash accounts, and short term and long term time deposits, offset by higher interest expense related to a higher balance of total borrowings.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Other income, net primarily reflects (a) gains (losses) due to the impact of exchange rates on our foreign currency-denominated working-capital transactions which were $1.7 million gains and ($0.6 million) losses for the six months ended June 30, 2023 and 2022, respectively and (b) depreciation of assets acquired with government subsidies, as described under “—PRC Government Research and Development Funding” above, and other factors.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Realized gain and unrealized loss from trading securities, and equity income in net income of affiliates.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88"/>
              </w:rPr>
              <w:t>Absolute Change</w:t>
            </w: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98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5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2023 v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2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gain from sale of trading securities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center"/>
              <w:ind w:left="629"/>
              <w:spacing w:after="0"/>
              <w:rPr>
                <w:sz w:val="20"/>
                <w:szCs w:val="20"/>
                <w:color w:val="auto"/>
              </w:rPr>
            </w:pPr>
            <w:r>
              <w:rPr>
                <w:rFonts w:ascii="Arial" w:cs="Arial" w:eastAsia="Arial" w:hAnsi="Arial"/>
                <w:sz w:val="14"/>
                <w:szCs w:val="14"/>
                <w:color w:val="auto"/>
                <w:w w:val="85"/>
              </w:rPr>
              <w:t>7,913</w:t>
            </w:r>
          </w:p>
        </w:tc>
        <w:tc>
          <w:tcPr>
            <w:tcW w:w="58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Arial" w:cs="Arial" w:eastAsia="Arial" w:hAnsi="Arial"/>
                <w:sz w:val="14"/>
                <w:szCs w:val="14"/>
                <w:color w:val="auto"/>
              </w:rPr>
              <w:t>Unrealized loss on trading securities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center"/>
              <w:ind w:left="609"/>
              <w:spacing w:after="0"/>
              <w:rPr>
                <w:sz w:val="20"/>
                <w:szCs w:val="20"/>
                <w:color w:val="auto"/>
              </w:rPr>
            </w:pPr>
            <w:r>
              <w:rPr>
                <w:rFonts w:ascii="Arial" w:cs="Arial" w:eastAsia="Arial" w:hAnsi="Arial"/>
                <w:sz w:val="14"/>
                <w:szCs w:val="14"/>
                <w:color w:val="auto"/>
                <w:w w:val="90"/>
              </w:rPr>
              <w:t>(3,109)</w:t>
            </w:r>
          </w:p>
        </w:tc>
        <w:tc>
          <w:tcPr>
            <w:tcW w:w="58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(4,281)</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(27.4)%</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1,172</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income in net income of affiliates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center"/>
              <w:ind w:left="629"/>
              <w:spacing w:after="0"/>
              <w:rPr>
                <w:sz w:val="20"/>
                <w:szCs w:val="20"/>
                <w:color w:val="auto"/>
              </w:rPr>
            </w:pPr>
            <w:r>
              <w:rPr>
                <w:rFonts w:ascii="Arial" w:cs="Arial" w:eastAsia="Arial" w:hAnsi="Arial"/>
                <w:sz w:val="14"/>
                <w:szCs w:val="14"/>
                <w:color w:val="auto"/>
                <w:w w:val="85"/>
              </w:rPr>
              <w:t>3,888</w:t>
            </w:r>
          </w:p>
        </w:tc>
        <w:tc>
          <w:tcPr>
            <w:tcW w:w="58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869.6 %</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0"/>
        </w:trPr>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jc w:val="right"/>
              <w:ind w:right="329"/>
              <w:spacing w:after="0"/>
              <w:rPr>
                <w:sz w:val="20"/>
                <w:szCs w:val="20"/>
                <w:color w:val="auto"/>
              </w:rPr>
            </w:pPr>
            <w:r>
              <w:rPr>
                <w:rFonts w:ascii="Arial" w:cs="Arial" w:eastAsia="Arial" w:hAnsi="Arial"/>
                <w:sz w:val="14"/>
                <w:szCs w:val="14"/>
                <w:color w:val="auto"/>
              </w:rPr>
              <w:t>51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1" w:name="page52"/>
    <w:bookmarkEnd w:id="5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recorded a realized gain from sale of trading securities of $7.9 million for the six months ended June 30, 2023 due to a sale of ACM Shanghai’s indirect investment in SMIC shares on the STAR Market as is described in note 15 to the condensed consolidated financial statements included in this report.</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recorded an unrealized loss on trading securities of $3.1 million for the six months ended June 30, 2023 as compared to an unrealized loss of $4.3 million for the same period in 2022, based on a change in market value of ACM Shanghai’s indirect investments in certain publicly traded securities on China's stock markets as described in note 15 to the condensed consolidated financial statements included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Equity income in net income of affiliates increased by $3.5 million for the three months ended June 30, 2023 due to an increase of net income from investments in affiliates (note 14).</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presents components of income tax expense for the indicated periods:</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28575</wp:posOffset>
            </wp:positionV>
            <wp:extent cx="194691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6910" cy="6985"/>
                    </a:xfrm>
                    <a:prstGeom prst="rect">
                      <a:avLst/>
                    </a:prstGeom>
                    <a:noFill/>
                  </pic:spPr>
                </pic:pic>
              </a:graphicData>
            </a:graphic>
          </wp:anchor>
        </w:drawing>
      </w:r>
    </w:p>
    <w:p>
      <w:pPr>
        <w:spacing w:after="0" w:line="42" w:lineRule="exact"/>
        <w:rPr>
          <w:sz w:val="20"/>
          <w:szCs w:val="20"/>
          <w:color w:val="auto"/>
        </w:rPr>
      </w:pPr>
    </w:p>
    <w:p>
      <w:pPr>
        <w:ind w:left="8820"/>
        <w:spacing w:after="0"/>
        <w:tabs>
          <w:tab w:leader="none" w:pos="103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28575</wp:posOffset>
            </wp:positionV>
            <wp:extent cx="194691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6910" cy="13335"/>
                    </a:xfrm>
                    <a:prstGeom prst="rect">
                      <a:avLst/>
                    </a:prstGeom>
                    <a:noFill/>
                  </pic:spPr>
                </pic:pic>
              </a:graphicData>
            </a:graphic>
          </wp:anchor>
        </w:drawing>
      </w:r>
    </w:p>
    <w:p>
      <w:pPr>
        <w:spacing w:after="0" w:line="56" w:lineRule="exact"/>
        <w:rPr>
          <w:sz w:val="20"/>
          <w:szCs w:val="20"/>
          <w:color w:val="auto"/>
        </w:rPr>
      </w:pPr>
    </w:p>
    <w:p>
      <w:pPr>
        <w:ind w:left="93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61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61925"/>
                    </a:xfrm>
                    <a:prstGeom prst="rect">
                      <a:avLst/>
                    </a:prstGeom>
                    <a:noFill/>
                  </pic:spPr>
                </pic:pic>
              </a:graphicData>
            </a:graphic>
          </wp:anchor>
        </w:drawing>
      </w:r>
    </w:p>
    <w:p>
      <w:pPr>
        <w:spacing w:after="0" w:line="52" w:lineRule="exact"/>
        <w:rPr>
          <w:sz w:val="20"/>
          <w:szCs w:val="20"/>
          <w:color w:val="auto"/>
        </w:rPr>
      </w:pPr>
    </w:p>
    <w:p>
      <w:pPr>
        <w:ind w:left="20"/>
        <w:spacing w:after="0"/>
        <w:tabs>
          <w:tab w:leader="none" w:pos="8200" w:val="left"/>
          <w:tab w:leader="none" w:pos="9240" w:val="left"/>
          <w:tab w:leader="none" w:pos="9780" w:val="left"/>
          <w:tab w:leader="none" w:pos="10880" w:val="left"/>
        </w:tabs>
        <w:rPr>
          <w:sz w:val="20"/>
          <w:szCs w:val="20"/>
          <w:color w:val="auto"/>
        </w:rPr>
      </w:pPr>
      <w:r>
        <w:rPr>
          <w:rFonts w:ascii="Arial" w:cs="Arial" w:eastAsia="Arial" w:hAnsi="Arial"/>
          <w:sz w:val="14"/>
          <w:szCs w:val="14"/>
          <w:color w:val="auto"/>
        </w:rPr>
        <w:t>Total income tax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10,517</w:t>
        <w:tab/>
        <w:t>$</w:t>
      </w:r>
      <w:r>
        <w:rPr>
          <w:sz w:val="20"/>
          <w:szCs w:val="20"/>
          <w:color w:val="auto"/>
        </w:rPr>
        <w:tab/>
      </w:r>
      <w:r>
        <w:rPr>
          <w:rFonts w:ascii="Arial" w:cs="Arial" w:eastAsia="Arial" w:hAnsi="Arial"/>
          <w:sz w:val="12"/>
          <w:szCs w:val="12"/>
          <w:color w:val="auto"/>
        </w:rPr>
        <w:t>3,668</w:t>
      </w:r>
    </w:p>
    <w:p>
      <w:pPr>
        <w:spacing w:after="0" w:line="31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recognized a tax expense of $10.5 million for the six months ended June 30, 2023 as compared to a tax expense of $3.7 million for the prior year period. The tax expense for the six months ended June 30, 2023 primarily resulted from the tax effect of a decrease in our effective income tax rate applied to an operating profit for the period. The decrease in our effective income tax rate for the six months ended June 30, 2023 compared to the same period of the prior year was primarily due to an decreased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 The tax expense in the six months ended June 30, 2022 was primarily due to a higher effective tax rate applied to a pre-tax net income for the period.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20"/>
                <w:szCs w:val="20"/>
                <w:color w:val="auto"/>
              </w:rPr>
            </w:pPr>
            <w:r>
              <w:rPr>
                <w:rFonts w:ascii="Arial" w:cs="Arial" w:eastAsia="Arial" w:hAnsi="Arial"/>
                <w:sz w:val="14"/>
                <w:szCs w:val="14"/>
                <w:i w:val="1"/>
                <w:iCs w:val="1"/>
                <w:color w:val="auto"/>
              </w:rPr>
              <w:t>Net Income Attributable to Non-Controlling Interests</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020" w:type="dxa"/>
            <w:vAlign w:val="bottom"/>
          </w:tcPr>
          <w:p>
            <w:pPr>
              <w:spacing w:after="0"/>
              <w:rPr>
                <w:sz w:val="24"/>
                <w:szCs w:val="24"/>
                <w:color w:val="auto"/>
              </w:rPr>
            </w:pPr>
          </w:p>
        </w:tc>
        <w:tc>
          <w:tcPr>
            <w:tcW w:w="2560" w:type="dxa"/>
            <w:vAlign w:val="bottom"/>
            <w:gridSpan w:val="3"/>
          </w:tcPr>
          <w:p>
            <w:pPr>
              <w:jc w:val="center"/>
              <w:ind w:left="409"/>
              <w:spacing w:after="0"/>
              <w:rPr>
                <w:sz w:val="20"/>
                <w:szCs w:val="20"/>
                <w:color w:val="auto"/>
              </w:rPr>
            </w:pPr>
            <w:r>
              <w:rPr>
                <w:rFonts w:ascii="Arial" w:cs="Arial" w:eastAsia="Arial" w:hAnsi="Arial"/>
                <w:sz w:val="14"/>
                <w:szCs w:val="14"/>
                <w:b w:val="1"/>
                <w:bCs w:val="1"/>
                <w:color w:val="auto"/>
                <w:w w:val="90"/>
              </w:rPr>
              <w:t>Six Months Ended June 30,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0"/>
              </w:rPr>
              <w:t>Absolute Change</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2023 v 2022</w:t>
            </w: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gridSpan w:val="2"/>
          </w:tcPr>
          <w:p>
            <w:pPr>
              <w:jc w:val="center"/>
              <w:ind w:right="409"/>
              <w:spacing w:after="0"/>
              <w:rPr>
                <w:sz w:val="20"/>
                <w:szCs w:val="20"/>
                <w:color w:val="auto"/>
              </w:rPr>
            </w:pPr>
            <w:r>
              <w:rPr>
                <w:rFonts w:ascii="Arial" w:cs="Arial" w:eastAsia="Arial" w:hAnsi="Arial"/>
                <w:sz w:val="14"/>
                <w:szCs w:val="14"/>
                <w:i w:val="1"/>
                <w:iCs w:val="1"/>
                <w:color w:val="auto"/>
                <w:w w:val="90"/>
              </w:rPr>
              <w:t>(in thousands)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0" w:type="dxa"/>
            <w:vAlign w:val="bottom"/>
            <w:shd w:val="clear" w:color="auto" w:fill="CFF0FC"/>
          </w:tcPr>
          <w:p>
            <w:pPr>
              <w:jc w:val="right"/>
              <w:ind w:right="82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8,590</w:t>
            </w:r>
          </w:p>
        </w:tc>
        <w:tc>
          <w:tcPr>
            <w:tcW w:w="1060" w:type="dxa"/>
            <w:vAlign w:val="bottom"/>
            <w:shd w:val="clear" w:color="auto" w:fill="CFF0FC"/>
          </w:tcPr>
          <w:p>
            <w:pPr>
              <w:jc w:val="right"/>
              <w:ind w:right="829"/>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2,855</w:t>
            </w: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200.9 %  $</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5,735</w:t>
            </w:r>
          </w:p>
        </w:tc>
        <w:tc>
          <w:tcPr>
            <w:tcW w:w="0" w:type="dxa"/>
            <w:vAlign w:val="bottom"/>
          </w:tcPr>
          <w:p>
            <w:pPr>
              <w:spacing w:after="0"/>
              <w:rPr>
                <w:sz w:val="1"/>
                <w:szCs w:val="1"/>
                <w:color w:val="auto"/>
              </w:rPr>
            </w:pPr>
          </w:p>
        </w:tc>
      </w:tr>
      <w:tr>
        <w:trPr>
          <w:trHeight w:val="22"/>
        </w:trPr>
        <w:tc>
          <w:tcPr>
            <w:tcW w:w="50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ACM Research owns 82.1% of the outstanding shares of ACM Shanghai (note 1) which is reflected in our consolidated financial statements (note 2). We reflect the portion of net income allocable to the minority holders of ACM Shanghai shares as net income attributable to non-controlling interests.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20"/>
                <w:szCs w:val="20"/>
                <w:color w:val="auto"/>
              </w:rPr>
            </w:pPr>
            <w:r>
              <w:rPr>
                <w:rFonts w:ascii="Arial" w:cs="Arial" w:eastAsia="Arial" w:hAnsi="Arial"/>
                <w:sz w:val="14"/>
                <w:szCs w:val="14"/>
                <w:i w:val="1"/>
                <w:iCs w:val="1"/>
                <w:color w:val="auto"/>
              </w:rPr>
              <w:t>Foreign currency translation adjustment</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3"/>
          </w:tcPr>
          <w:p>
            <w:pPr>
              <w:jc w:val="center"/>
              <w:ind w:right="269"/>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0"/>
              </w:rPr>
              <w:t>Absolute Change</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69"/>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9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2023 v 2022</w:t>
            </w: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ind w:left="609"/>
              <w:spacing w:after="0"/>
              <w:rPr>
                <w:sz w:val="20"/>
                <w:szCs w:val="20"/>
                <w:color w:val="auto"/>
              </w:rPr>
            </w:pPr>
            <w:r>
              <w:rPr>
                <w:rFonts w:ascii="Arial" w:cs="Arial" w:eastAsia="Arial" w:hAnsi="Arial"/>
                <w:sz w:val="14"/>
                <w:szCs w:val="14"/>
                <w:i w:val="1"/>
                <w:iCs w:val="1"/>
                <w:color w:val="auto"/>
                <w:w w:val="90"/>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(25,846)</w:t>
            </w:r>
          </w:p>
        </w:tc>
        <w:tc>
          <w:tcPr>
            <w:tcW w:w="540" w:type="dxa"/>
            <w:vAlign w:val="bottom"/>
            <w:shd w:val="clear" w:color="auto" w:fill="CFF0FC"/>
          </w:tcPr>
          <w:p>
            <w:pPr>
              <w:jc w:val="right"/>
              <w:ind w:right="3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(37,918)</w:t>
            </w: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(31.8)%  $</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12,072</w:t>
            </w:r>
          </w:p>
        </w:tc>
        <w:tc>
          <w:tcPr>
            <w:tcW w:w="0" w:type="dxa"/>
            <w:vAlign w:val="bottom"/>
          </w:tcPr>
          <w:p>
            <w:pPr>
              <w:spacing w:after="0"/>
              <w:rPr>
                <w:sz w:val="1"/>
                <w:szCs w:val="1"/>
                <w:color w:val="auto"/>
              </w:rPr>
            </w:pPr>
          </w:p>
        </w:tc>
      </w:tr>
      <w:tr>
        <w:trPr>
          <w:trHeight w:val="22"/>
        </w:trPr>
        <w:tc>
          <w:tcPr>
            <w:tcW w:w="50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recorded a foreign currency translation adjustment of $(25.7) million for the six months ended June 30, 2023, as compared to $(37.9) million for the same period in 2022, based on the net effect of RMB to dollar exchange rate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fluctuations for the period on the converted value of ACM Shanghai’s RMB-denominated balances to U.S. dollar equivalents. The amounts for both years was especially large due to a significant weakening of the RMB versus the U.S. dollar during the periods on a large balance of RMB-demonominated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40" w:type="dxa"/>
            <w:vAlign w:val="bottom"/>
          </w:tcPr>
          <w:p>
            <w:pPr>
              <w:jc w:val="right"/>
              <w:ind w:right="1029"/>
              <w:spacing w:after="0"/>
              <w:rPr>
                <w:sz w:val="20"/>
                <w:szCs w:val="20"/>
                <w:color w:val="auto"/>
              </w:rPr>
            </w:pPr>
            <w:r>
              <w:rPr>
                <w:rFonts w:ascii="Arial" w:cs="Arial" w:eastAsia="Arial" w:hAnsi="Arial"/>
                <w:sz w:val="14"/>
                <w:szCs w:val="14"/>
                <w:i w:val="1"/>
                <w:iCs w:val="1"/>
                <w:color w:val="auto"/>
                <w:w w:val="91"/>
              </w:rPr>
              <w:t>Comprehensive income (loss) attributable to non-controlling interests</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5040" w:type="dxa"/>
            <w:vAlign w:val="bottom"/>
          </w:tcPr>
          <w:p>
            <w:pPr>
              <w:spacing w:after="0"/>
              <w:rPr>
                <w:sz w:val="24"/>
                <w:szCs w:val="24"/>
                <w:color w:val="auto"/>
              </w:rPr>
            </w:pPr>
          </w:p>
        </w:tc>
        <w:tc>
          <w:tcPr>
            <w:tcW w:w="250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90"/>
              </w:rPr>
              <w:t>Six Months Ended 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0"/>
              </w:rPr>
              <w:t>Absolute Change</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2023 v 2022</w:t>
            </w: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2023 v 2022</w:t>
            </w: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center"/>
              <w:ind w:right="369"/>
              <w:spacing w:after="0"/>
              <w:rPr>
                <w:sz w:val="20"/>
                <w:szCs w:val="20"/>
                <w:color w:val="auto"/>
              </w:rPr>
            </w:pPr>
            <w:r>
              <w:rPr>
                <w:rFonts w:ascii="Arial" w:cs="Arial" w:eastAsia="Arial" w:hAnsi="Arial"/>
                <w:sz w:val="14"/>
                <w:szCs w:val="14"/>
                <w:i w:val="1"/>
                <w:iCs w:val="1"/>
                <w:color w:val="auto"/>
                <w:w w:val="90"/>
              </w:rPr>
              <w:t>(in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shd w:val="clear" w:color="auto" w:fill="CFF0FC"/>
          </w:tcPr>
          <w:p>
            <w:pPr>
              <w:jc w:val="right"/>
              <w:ind w:right="1009"/>
              <w:spacing w:after="0"/>
              <w:rPr>
                <w:sz w:val="20"/>
                <w:szCs w:val="20"/>
                <w:color w:val="auto"/>
              </w:rPr>
            </w:pPr>
            <w:r>
              <w:rPr>
                <w:rFonts w:ascii="Arial" w:cs="Arial" w:eastAsia="Arial" w:hAnsi="Arial"/>
                <w:sz w:val="14"/>
                <w:szCs w:val="14"/>
                <w:color w:val="auto"/>
                <w:w w:val="92"/>
              </w:rPr>
              <w:t>Comprehensive income (loss) attributable to non-controlling interests</w:t>
            </w:r>
          </w:p>
        </w:tc>
        <w:tc>
          <w:tcPr>
            <w:tcW w:w="980" w:type="dxa"/>
            <w:vAlign w:val="bottom"/>
            <w:shd w:val="clear" w:color="auto" w:fill="CFF0FC"/>
          </w:tcPr>
          <w:p>
            <w:pPr>
              <w:jc w:val="right"/>
              <w:ind w:right="82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4,114</w:t>
            </w:r>
          </w:p>
        </w:tc>
        <w:tc>
          <w:tcPr>
            <w:tcW w:w="1020" w:type="dxa"/>
            <w:vAlign w:val="bottom"/>
            <w:shd w:val="clear" w:color="auto" w:fill="CFF0FC"/>
          </w:tcPr>
          <w:p>
            <w:pPr>
              <w:jc w:val="right"/>
              <w:ind w:right="7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(3,321)</w:t>
            </w: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(223.9)%  $</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7,435</w:t>
            </w:r>
          </w:p>
        </w:tc>
        <w:tc>
          <w:tcPr>
            <w:tcW w:w="0" w:type="dxa"/>
            <w:vAlign w:val="bottom"/>
          </w:tcPr>
          <w:p>
            <w:pPr>
              <w:spacing w:after="0"/>
              <w:rPr>
                <w:sz w:val="1"/>
                <w:szCs w:val="1"/>
                <w:color w:val="auto"/>
              </w:rPr>
            </w:pPr>
          </w:p>
        </w:tc>
      </w:tr>
      <w:tr>
        <w:trPr>
          <w:trHeight w:val="22"/>
        </w:trPr>
        <w:tc>
          <w:tcPr>
            <w:tcW w:w="50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Comprehensive income attributable to non-controlling interests increased by $7.4 million for the six months ended June 30, 2023 due to change in net income generated from the non-controlling interests as impacted from foreign exchange rate fluctuations.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first six months of 2023, we funded our technology development and operations principally through our beginning global cash balances, including the cash balances at ACM Shanghai, and borrowings by ACM Shanghai from local financial institutions. Cash and cash equivalents, restricted cash, short-term time deposits and long-term time deposits were $376.1 million at June 30, 2023, compared to $420.9 million at December 31, 2022. The $44.8 million decrease was primarily driven by $24.4 million of cash used in operations, $1.6 million, excluding net cash increase for time deposits, used in investing activities, $3.4 million net cash provided by financing activities, a $16.3 million net decline from the effect of exchange rate on cash, cash equivalents and restricted cash, and a $6.1 million decline from the effect of exchange rate on time deposits.</w:t>
      </w:r>
    </w:p>
    <w:p>
      <w:pPr>
        <w:sectPr>
          <w:pgSz w:w="11900" w:h="16838" w:orient="portrait"/>
          <w:cols w:equalWidth="0" w:num="1">
            <w:col w:w="11280"/>
          </w:cols>
          <w:pgMar w:left="300" w:top="12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Cash and cash equivalents, restricted cash, and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34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34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Short-term time deposits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47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1280" w:type="dxa"/>
            <w:vAlign w:val="bottom"/>
          </w:tcPr>
          <w:p>
            <w:pPr>
              <w:jc w:val="right"/>
              <w:ind w:right="46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309"/>
              <w:spacing w:after="0"/>
              <w:rPr>
                <w:sz w:val="20"/>
                <w:szCs w:val="20"/>
                <w:color w:val="auto"/>
              </w:rPr>
            </w:pPr>
            <w:r>
              <w:rPr>
                <w:rFonts w:ascii="Arial" w:cs="Arial" w:eastAsia="Arial" w:hAnsi="Arial"/>
                <w:sz w:val="14"/>
                <w:szCs w:val="14"/>
                <w:b w:val="1"/>
                <w:bCs w:val="1"/>
                <w:color w:val="auto"/>
                <w:w w:val="87"/>
              </w:rPr>
              <w:t>December 31,</w:t>
            </w:r>
          </w:p>
        </w:tc>
      </w:tr>
      <w:tr>
        <w:trPr>
          <w:trHeight w:val="184"/>
        </w:trPr>
        <w:tc>
          <w:tcPr>
            <w:tcW w:w="320" w:type="dxa"/>
            <w:vAlign w:val="bottom"/>
          </w:tcPr>
          <w:p>
            <w:pPr>
              <w:spacing w:after="0"/>
              <w:rPr>
                <w:sz w:val="16"/>
                <w:szCs w:val="16"/>
                <w:color w:val="auto"/>
              </w:rPr>
            </w:pPr>
          </w:p>
        </w:tc>
        <w:tc>
          <w:tcPr>
            <w:tcW w:w="1280" w:type="dxa"/>
            <w:vAlign w:val="bottom"/>
          </w:tcPr>
          <w:p>
            <w:pPr>
              <w:jc w:val="right"/>
              <w:ind w:right="5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89"/>
              <w:spacing w:after="0"/>
              <w:rPr>
                <w:sz w:val="20"/>
                <w:szCs w:val="20"/>
                <w:color w:val="auto"/>
              </w:rPr>
            </w:pPr>
            <w:r>
              <w:rPr>
                <w:rFonts w:ascii="Arial" w:cs="Arial" w:eastAsia="Arial" w:hAnsi="Arial"/>
                <w:sz w:val="14"/>
                <w:szCs w:val="14"/>
                <w:b w:val="1"/>
                <w:bCs w:val="1"/>
                <w:color w:val="auto"/>
              </w:rPr>
              <w:t>2022</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5"/>
                <w:szCs w:val="15"/>
                <w:color w:val="auto"/>
              </w:rPr>
            </w:pPr>
          </w:p>
        </w:tc>
      </w:tr>
      <w:tr>
        <w:trPr>
          <w:trHeight w:val="424"/>
        </w:trPr>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258,002</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248,451</w:t>
            </w:r>
          </w:p>
        </w:tc>
      </w:tr>
      <w:tr>
        <w:trPr>
          <w:trHeight w:val="212"/>
        </w:trPr>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70,492</w:t>
            </w:r>
          </w:p>
        </w:tc>
      </w:tr>
      <w:tr>
        <w:trPr>
          <w:trHeight w:val="212"/>
        </w:trPr>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101,956</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376,106</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420,899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80"/>
          </w:cols>
          <w:pgMar w:left="300" w:top="126" w:right="319" w:bottom="1440" w:gutter="0" w:footer="0" w:header="0"/>
          <w:type w:val="continuous"/>
        </w:sectPr>
      </w:pP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ACM Shanghai will be sufficient to meet our anticipated cash needs within our longer term planning horizon.</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ACM Shanghai has historically participated in certain PRC government-sponsored grant and subsidy programs, as described under “—PRC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PRC government agency’s defined processes. Periodically, the public relations department researches the availability of these grants and subsidies through the PRC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PRC government agencies based on suitability and the merits of the application. Neither ACM Research, nor ACM Shanghai or any of our other subsidiaries, has any direct relationship with any PRC government agency, and our anticipated cash needs for the next twelve months neither anticipate, nor require, receipt of any PRC government grants or subsidies.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Restrictions under PRC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Factor–Regulatory Risks-The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 in our Annual Report.</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six months ended June 30, 2023 and 2022, with the exception of sales and services-related transfer-pricing payments in the ordinary course of business, no transfers, dividends, or distributions have been made between ACM Research, and its subsidiaries, including ACM Shanghai, or to holders of ACM Research Class A common stock.</w:t>
      </w:r>
    </w:p>
    <w:p>
      <w:pPr>
        <w:spacing w:after="0" w:line="132"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Our cash and cash equivalents at June 30, 2023 were held for working capital purposes and other potential investments. ACM Shanghai, our only direct PRC subsidiary, is, however, subject to PRC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Cash Flow Used in Operating Activities. </w:t>
      </w:r>
      <w:r>
        <w:rPr>
          <w:rFonts w:ascii="Arial" w:cs="Arial" w:eastAsia="Arial" w:hAnsi="Arial"/>
          <w:sz w:val="14"/>
          <w:szCs w:val="14"/>
          <w:color w:val="auto"/>
        </w:rPr>
        <w:t>Net cash used in operating activities of $24.4 million during the six months ended June 30, 2023 consisted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5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212"/>
        </w:trPr>
        <w:tc>
          <w:tcPr>
            <w:tcW w:w="8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8"/>
                <w:szCs w:val="18"/>
                <w:color w:val="auto"/>
              </w:rPr>
            </w:pPr>
          </w:p>
        </w:tc>
      </w:tr>
      <w:tr>
        <w:trPr>
          <w:trHeight w:val="22"/>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5"/>
                <w:szCs w:val="15"/>
                <w:color w:val="auto"/>
              </w:rPr>
            </w:pP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42,560</w:t>
            </w:r>
          </w:p>
        </w:tc>
        <w:tc>
          <w:tcPr>
            <w:tcW w:w="102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9,305</w:t>
            </w: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3,955</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2,555</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disposals of property, plant and equipment</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Realized gain on trading securities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(7,913)</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income in net income of affiliates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Unrealized loss on trading securities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3,109</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4,281</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(4,711)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1,642</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4,085</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3,343</w:t>
            </w:r>
          </w:p>
        </w:tc>
      </w:tr>
      <w:tr>
        <w:trPr>
          <w:trHeight w:val="207"/>
        </w:trPr>
        <w:tc>
          <w:tcPr>
            <w:tcW w:w="8220" w:type="dxa"/>
            <w:vAlign w:val="bottom"/>
          </w:tcPr>
          <w:p>
            <w:pPr>
              <w:ind w:left="20"/>
              <w:spacing w:after="0"/>
              <w:rPr>
                <w:sz w:val="20"/>
                <w:szCs w:val="20"/>
                <w:color w:val="auto"/>
              </w:rPr>
            </w:pPr>
            <w:r>
              <w:rPr>
                <w:rFonts w:ascii="Arial" w:cs="Arial" w:eastAsia="Arial" w:hAnsi="Arial"/>
                <w:sz w:val="14"/>
                <w:szCs w:val="14"/>
                <w:color w:val="auto"/>
              </w:rPr>
              <w:t>Net changes in operating assets and liabilities: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(61,932)</w:t>
            </w: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(82,022)</w:t>
            </w:r>
          </w:p>
        </w:tc>
      </w:tr>
      <w:tr>
        <w:trPr>
          <w:trHeight w:val="228"/>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 used in operating activities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(24,240)</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(61,297)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Significant changes in operating asset and liability accounts included the following uses of cash: an increase of inventories of $77.9 million (Note 5), and an increase of accounts receivable of $17.8 million (Note 4). The uses of cash are offset by the following significant sources of cash: an increase in advances from customers of $41.7 million (Note 3), and an increase in accounts payable of $5.1 million. As described under “PRC Government Research and Development Funding,” ACM Shanghai has received research and development grants from local and central PRC governmental authorities. ACM Shanghai received $25,000 payments related to such grants in the first six months of 2023, as compared to no cash receipts in the same period of 2022.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Cash Flow Used in Investing Activities. </w:t>
      </w:r>
      <w:r>
        <w:rPr>
          <w:rFonts w:ascii="Arial" w:cs="Arial" w:eastAsia="Arial" w:hAnsi="Arial"/>
          <w:sz w:val="14"/>
          <w:szCs w:val="14"/>
          <w:color w:val="auto"/>
        </w:rPr>
        <w:t>Net cash used in investing activities, excluding net cash increase for time deposits, for the six-months ended June 30, 2023 was $1.6 million, primarily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consisting of $22.9 million purchase of property and intangible assets and $1.5 million purchase of long-term investment, offset by $17.7 million in proceeds from selling trading securities (Note 15), and $5.1 million in dividends received from investments in affiliates (note 14).</w:t>
      </w:r>
    </w:p>
    <w:p>
      <w:pPr>
        <w:spacing w:after="0" w:line="142"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 xml:space="preserve">Cash Flow Provided by Financing Activities. </w:t>
      </w:r>
      <w:r>
        <w:rPr>
          <w:rFonts w:ascii="Arial" w:cs="Arial" w:eastAsia="Arial" w:hAnsi="Arial"/>
          <w:sz w:val="12"/>
          <w:szCs w:val="12"/>
          <w:color w:val="auto"/>
        </w:rPr>
        <w:t>Net cash provided by financing activities for the six months ended June 30, 2023 was $3.4 million, primarily consisting of $1.1 million net repayment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long-term borrowings, offset by $4.5 million in proceeds from the exercise of stock options related to shares of ACM Shanghai and stock options related to shares of ACM Research, Inc. (note 18).</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ACM Shanghai, together with its subsidiaries, has short-term and long-term borrowings with five banks,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center"/>
              <w:ind w:right="189"/>
              <w:spacing w:after="0"/>
              <w:rPr>
                <w:sz w:val="20"/>
                <w:szCs w:val="20"/>
                <w:color w:val="auto"/>
              </w:rPr>
            </w:pPr>
            <w:r>
              <w:rPr>
                <w:rFonts w:ascii="Arial" w:cs="Arial" w:eastAsia="Arial" w:hAnsi="Arial"/>
                <w:sz w:val="14"/>
                <w:szCs w:val="14"/>
                <w:b w:val="1"/>
                <w:bCs w:val="1"/>
                <w:color w:val="242424"/>
                <w:w w:val="94"/>
              </w:rPr>
              <w:t>Amount</w:t>
            </w:r>
          </w:p>
        </w:tc>
      </w:tr>
      <w:tr>
        <w:trPr>
          <w:trHeight w:val="170"/>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80" w:type="dxa"/>
            <w:vAlign w:val="bottom"/>
          </w:tcPr>
          <w:p>
            <w:pPr>
              <w:spacing w:after="0"/>
              <w:rPr>
                <w:sz w:val="14"/>
                <w:szCs w:val="14"/>
                <w:color w:val="auto"/>
              </w:rPr>
            </w:pPr>
          </w:p>
        </w:tc>
        <w:tc>
          <w:tcPr>
            <w:tcW w:w="1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9"/>
              </w:rPr>
              <w:t>Maximum Borrowing</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center"/>
              <w:ind w:right="169"/>
              <w:spacing w:after="0"/>
              <w:rPr>
                <w:sz w:val="20"/>
                <w:szCs w:val="20"/>
                <w:color w:val="auto"/>
              </w:rPr>
            </w:pPr>
            <w:r>
              <w:rPr>
                <w:rFonts w:ascii="Arial" w:cs="Arial" w:eastAsia="Arial" w:hAnsi="Arial"/>
                <w:sz w:val="14"/>
                <w:szCs w:val="14"/>
                <w:b w:val="1"/>
                <w:bCs w:val="1"/>
                <w:color w:val="242424"/>
                <w:w w:val="92"/>
              </w:rPr>
              <w:t>Outstanding</w:t>
            </w:r>
          </w:p>
        </w:tc>
      </w:tr>
      <w:tr>
        <w:trPr>
          <w:trHeight w:val="184"/>
        </w:trPr>
        <w:tc>
          <w:tcPr>
            <w:tcW w:w="2040" w:type="dxa"/>
            <w:vAlign w:val="bottom"/>
          </w:tcPr>
          <w:p>
            <w:pPr>
              <w:ind w:left="800"/>
              <w:spacing w:after="0"/>
              <w:rPr>
                <w:sz w:val="20"/>
                <w:szCs w:val="20"/>
                <w:color w:val="auto"/>
              </w:rPr>
            </w:pPr>
            <w:r>
              <w:rPr>
                <w:rFonts w:ascii="Arial" w:cs="Arial" w:eastAsia="Arial" w:hAnsi="Arial"/>
                <w:sz w:val="14"/>
                <w:szCs w:val="14"/>
                <w:b w:val="1"/>
                <w:bCs w:val="1"/>
                <w:color w:val="auto"/>
              </w:rPr>
              <w:t>Lender</w:t>
            </w:r>
          </w:p>
        </w:tc>
        <w:tc>
          <w:tcPr>
            <w:tcW w:w="80" w:type="dxa"/>
            <w:vAlign w:val="bottom"/>
          </w:tcPr>
          <w:p>
            <w:pPr>
              <w:spacing w:after="0"/>
              <w:rPr>
                <w:sz w:val="16"/>
                <w:szCs w:val="16"/>
                <w:color w:val="auto"/>
              </w:rPr>
            </w:pPr>
          </w:p>
        </w:tc>
        <w:tc>
          <w:tcPr>
            <w:tcW w:w="1920" w:type="dxa"/>
            <w:vAlign w:val="bottom"/>
          </w:tcPr>
          <w:p>
            <w:pPr>
              <w:ind w:left="480"/>
              <w:spacing w:after="0"/>
              <w:rPr>
                <w:sz w:val="20"/>
                <w:szCs w:val="20"/>
                <w:color w:val="auto"/>
              </w:rPr>
            </w:pPr>
            <w:r>
              <w:rPr>
                <w:rFonts w:ascii="Arial" w:cs="Arial" w:eastAsia="Arial" w:hAnsi="Arial"/>
                <w:sz w:val="14"/>
                <w:szCs w:val="14"/>
                <w:b w:val="1"/>
                <w:bCs w:val="1"/>
                <w:color w:val="auto"/>
              </w:rPr>
              <w:t>Agreement Date</w:t>
            </w:r>
          </w:p>
        </w:tc>
        <w:tc>
          <w:tcPr>
            <w:tcW w:w="80" w:type="dxa"/>
            <w:vAlign w:val="bottom"/>
          </w:tcPr>
          <w:p>
            <w:pPr>
              <w:spacing w:after="0"/>
              <w:rPr>
                <w:sz w:val="16"/>
                <w:szCs w:val="16"/>
                <w:color w:val="auto"/>
              </w:rPr>
            </w:pPr>
          </w:p>
        </w:tc>
        <w:tc>
          <w:tcPr>
            <w:tcW w:w="2020" w:type="dxa"/>
            <w:vAlign w:val="bottom"/>
          </w:tcPr>
          <w:p>
            <w:pPr>
              <w:ind w:left="58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29"/>
              <w:spacing w:after="0"/>
              <w:rPr>
                <w:sz w:val="20"/>
                <w:szCs w:val="20"/>
                <w:color w:val="auto"/>
              </w:rPr>
            </w:pPr>
            <w:r>
              <w:rPr>
                <w:rFonts w:ascii="Arial" w:cs="Arial" w:eastAsia="Arial" w:hAnsi="Arial"/>
                <w:sz w:val="14"/>
                <w:szCs w:val="14"/>
                <w:b w:val="1"/>
                <w:bCs w:val="1"/>
                <w:color w:val="auto"/>
              </w:rPr>
              <w:t>Amount(1)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center"/>
              <w:ind w:right="169"/>
              <w:spacing w:after="0"/>
              <w:rPr>
                <w:sz w:val="20"/>
                <w:szCs w:val="20"/>
                <w:color w:val="auto"/>
              </w:rPr>
            </w:pPr>
            <w:r>
              <w:rPr>
                <w:rFonts w:ascii="Arial" w:cs="Arial" w:eastAsia="Arial" w:hAnsi="Arial"/>
                <w:sz w:val="14"/>
                <w:szCs w:val="14"/>
                <w:b w:val="1"/>
                <w:bCs w:val="1"/>
                <w:color w:val="242424"/>
                <w:w w:val="89"/>
              </w:rPr>
              <w:t>at June 30, 2023</w:t>
            </w:r>
          </w:p>
        </w:tc>
      </w:tr>
      <w:tr>
        <w:trPr>
          <w:trHeight w:val="22"/>
        </w:trPr>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181"/>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right"/>
              <w:ind w:right="1189"/>
              <w:spacing w:after="0"/>
              <w:rPr>
                <w:sz w:val="20"/>
                <w:szCs w:val="20"/>
                <w:color w:val="auto"/>
              </w:rPr>
            </w:pPr>
            <w:r>
              <w:rPr>
                <w:rFonts w:ascii="Arial" w:cs="Arial" w:eastAsia="Arial" w:hAnsi="Arial"/>
                <w:sz w:val="14"/>
                <w:szCs w:val="14"/>
                <w:i w:val="1"/>
                <w:iCs w:val="1"/>
                <w:color w:val="auto"/>
              </w:rPr>
              <w:t>(in thousands)</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China Everbright Bank</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July 2021</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2023</w:t>
            </w:r>
          </w:p>
        </w:tc>
        <w:tc>
          <w:tcPr>
            <w:tcW w:w="1680" w:type="dxa"/>
            <w:vAlign w:val="bottom"/>
            <w:tcBorders>
              <w:bottom w:val="single" w:sz="8" w:color="CCEEFF"/>
            </w:tcBorders>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3.00%~3.60%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RMB150,000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RMB150,000</w:t>
            </w: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20,760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20,760</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Bank of Communications</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August 2022</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2023</w:t>
            </w:r>
          </w:p>
        </w:tc>
        <w:tc>
          <w:tcPr>
            <w:tcW w:w="1680" w:type="dxa"/>
            <w:vAlign w:val="bottom"/>
            <w:tcBorders>
              <w:bottom w:val="single" w:sz="8" w:color="CCEEFF"/>
            </w:tcBorders>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3.50%~3.60%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RMB100,000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RMB100,000</w:t>
            </w: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13,840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13,840</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Bank of China</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August 2022</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August 2023</w:t>
            </w:r>
          </w:p>
        </w:tc>
        <w:tc>
          <w:tcPr>
            <w:tcW w:w="1680" w:type="dxa"/>
            <w:vAlign w:val="bottom"/>
            <w:tcBorders>
              <w:bottom w:val="single" w:sz="8" w:color="CCEEFF"/>
            </w:tcBorders>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3.15%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RMB40,000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RMB40,000</w:t>
            </w: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5,536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5,536</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China Merchants Bank</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October 2021</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2023</w:t>
            </w:r>
          </w:p>
        </w:tc>
        <w:tc>
          <w:tcPr>
            <w:tcW w:w="1680" w:type="dxa"/>
            <w:vAlign w:val="bottom"/>
            <w:tcBorders>
              <w:bottom w:val="single" w:sz="8" w:color="CCEEFF"/>
            </w:tcBorders>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3.50%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RMB100,000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RMB100,000</w:t>
            </w: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13,840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13,840</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 Merchants Bank</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November 2020</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Repayable by installments and the</w:t>
            </w:r>
          </w:p>
        </w:tc>
        <w:tc>
          <w:tcPr>
            <w:tcW w:w="16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3.95%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RMB128,500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RMB103,428</w:t>
            </w:r>
          </w:p>
        </w:tc>
      </w:tr>
      <w:tr>
        <w:trPr>
          <w:trHeight w:val="170"/>
        </w:trPr>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last installments repayable in</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2"/>
        </w:trPr>
        <w:tc>
          <w:tcPr>
            <w:tcW w:w="2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November 2030</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17,784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13,914</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of China</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2021</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Repayable by installments and the</w:t>
            </w:r>
          </w:p>
        </w:tc>
        <w:tc>
          <w:tcPr>
            <w:tcW w:w="16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2.60%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RMB10,000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RMB8,500</w:t>
            </w:r>
          </w:p>
        </w:tc>
      </w:tr>
      <w:tr>
        <w:trPr>
          <w:trHeight w:val="170"/>
        </w:trPr>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last installments repayable in June</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2"/>
        </w:trPr>
        <w:tc>
          <w:tcPr>
            <w:tcW w:w="2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1,107</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of China</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2021</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Repayable by installments and the</w:t>
            </w:r>
          </w:p>
        </w:tc>
        <w:tc>
          <w:tcPr>
            <w:tcW w:w="16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2.60%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RMB35,000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RMB29,750</w:t>
            </w:r>
          </w:p>
        </w:tc>
      </w:tr>
      <w:tr>
        <w:trPr>
          <w:trHeight w:val="170"/>
        </w:trPr>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last installments repayable in</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2"/>
        </w:trPr>
        <w:tc>
          <w:tcPr>
            <w:tcW w:w="2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2024</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1"/>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4,844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4,117</w:t>
            </w:r>
          </w:p>
        </w:tc>
      </w:tr>
      <w:tr>
        <w:trPr>
          <w:trHeight w:val="22"/>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77,988</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73,114</w:t>
            </w:r>
          </w:p>
        </w:tc>
      </w:tr>
      <w:tr>
        <w:trPr>
          <w:trHeight w:val="20"/>
        </w:trPr>
        <w:tc>
          <w:tcPr>
            <w:tcW w:w="2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ind w:left="380" w:hanging="375"/>
        <w:spacing w:after="0" w:line="28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Converted from RMB to dollars as of June 30, 2023. The loan from China Merchants Bank is secured by a pledge of the property of ACM Lingang and guaranteed by ACM Shanghai, as described above under “—Contractual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 xml:space="preserve">Effect of exchange rate changes on cash, cash equivalents and restricted cash. </w:t>
      </w:r>
      <w:r>
        <w:rPr>
          <w:rFonts w:ascii="Arial" w:cs="Arial" w:eastAsia="Arial" w:hAnsi="Arial"/>
          <w:sz w:val="13"/>
          <w:szCs w:val="13"/>
          <w:color w:val="auto"/>
        </w:rPr>
        <w:t>The effect of exchange rate cash, and cash equivalents was ($16.1 million) during the first six months of 2023.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impact of fluctuations of the RMB to U.S. dollar currency exchange rate on a significant balance of these items held in RMB-denominated accounts (Note 2) contributed to the change.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Grant Contract for State-owned Construction Land Use Right in Shanghai City</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32" w:lineRule="exact"/>
        <w:rPr>
          <w:sz w:val="20"/>
          <w:szCs w:val="20"/>
          <w:color w:val="auto"/>
        </w:rPr>
      </w:pPr>
    </w:p>
    <w:p>
      <w:pPr>
        <w:ind w:left="520" w:hanging="51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start of construction within 6 months after the Delivery Date (60% of the performance deposit), or Construction Start Milestone;</w:t>
      </w:r>
    </w:p>
    <w:p>
      <w:pPr>
        <w:spacing w:after="0" w:line="19" w:lineRule="exact"/>
        <w:rPr>
          <w:rFonts w:ascii="Arial" w:cs="Arial" w:eastAsia="Arial" w:hAnsi="Arial"/>
          <w:sz w:val="14"/>
          <w:szCs w:val="14"/>
          <w:color w:val="auto"/>
        </w:rPr>
      </w:pPr>
    </w:p>
    <w:p>
      <w:pPr>
        <w:ind w:left="520" w:hanging="51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completion of construction within 30 months after the Delivery Date (20% of the performance deposit), or Construction Completion Milestone; and</w:t>
      </w:r>
    </w:p>
    <w:p>
      <w:pPr>
        <w:spacing w:after="0" w:line="8" w:lineRule="exact"/>
        <w:rPr>
          <w:rFonts w:ascii="Arial" w:cs="Arial" w:eastAsia="Arial" w:hAnsi="Arial"/>
          <w:sz w:val="14"/>
          <w:szCs w:val="14"/>
          <w:color w:val="auto"/>
        </w:rPr>
      </w:pPr>
    </w:p>
    <w:p>
      <w:pPr>
        <w:ind w:left="520" w:hanging="51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start of production within 42 months after the Delivery Date (20% of the performance deposit), or Production Start Milestone.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status of the performance milestones for the period ended June 30, 2023 is as follows:</w:t>
      </w:r>
    </w:p>
    <w:p>
      <w:pPr>
        <w:spacing w:after="0" w:line="179" w:lineRule="exact"/>
        <w:rPr>
          <w:sz w:val="20"/>
          <w:szCs w:val="20"/>
          <w:color w:val="auto"/>
        </w:rPr>
      </w:pPr>
    </w:p>
    <w:p>
      <w:pPr>
        <w:ind w:left="900" w:hanging="513"/>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ACM Lingang achieved the Construction Start Milestone and 60% of the performance deposit was refunded to ACM Shanghai in 2020.</w:t>
      </w:r>
    </w:p>
    <w:p>
      <w:pPr>
        <w:spacing w:after="0" w:line="19" w:lineRule="exact"/>
        <w:rPr>
          <w:rFonts w:ascii="Arial" w:cs="Arial" w:eastAsia="Arial" w:hAnsi="Arial"/>
          <w:sz w:val="14"/>
          <w:szCs w:val="14"/>
          <w:color w:val="auto"/>
        </w:rPr>
      </w:pPr>
    </w:p>
    <w:p>
      <w:pPr>
        <w:jc w:val="both"/>
        <w:ind w:left="900" w:hanging="513"/>
        <w:spacing w:after="0" w:line="259" w:lineRule="auto"/>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Construction Completion Milestone is now required to be met by January 9, 2024. The Construction Completion Milestone was originally required to be met prior to January 9, 2023, but due to COVID-related delays, ACM filed multiple requests for extensions, the latest of which was granted on July 7, 2023. We cannot guarantee that ACM Lingang will meet the extended deadline or be refunded this 20% portion of the performance deposit.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Contractual penalties in the case of a delay of Construction Completion Milestone</w:t>
      </w:r>
      <w:r>
        <w:rPr>
          <w:rFonts w:ascii="Arial" w:cs="Arial" w:eastAsia="Arial" w:hAnsi="Arial"/>
          <w:sz w:val="14"/>
          <w:szCs w:val="14"/>
          <w:color w:val="auto"/>
        </w:rPr>
        <w:t>:</w:t>
      </w:r>
    </w:p>
    <w:p>
      <w:pPr>
        <w:spacing w:after="0" w:line="179" w:lineRule="exact"/>
        <w:rPr>
          <w:sz w:val="20"/>
          <w:szCs w:val="20"/>
          <w:color w:val="auto"/>
        </w:rPr>
      </w:pPr>
    </w:p>
    <w:p>
      <w:pPr>
        <w:ind w:left="900" w:hanging="513"/>
        <w:spacing w:after="0" w:line="260" w:lineRule="auto"/>
        <w:tabs>
          <w:tab w:leader="none" w:pos="9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ind w:left="900" w:hanging="513"/>
        <w:spacing w:after="0" w:line="253" w:lineRule="auto"/>
        <w:tabs>
          <w:tab w:leader="none" w:pos="917"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jc w:val="both"/>
        <w:ind w:left="900" w:hanging="513"/>
        <w:spacing w:after="0" w:line="259" w:lineRule="auto"/>
        <w:tabs>
          <w:tab w:leader="none" w:pos="9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spacing w:after="0" w:line="169" w:lineRule="exact"/>
        <w:rPr>
          <w:sz w:val="20"/>
          <w:szCs w:val="20"/>
          <w:color w:val="auto"/>
        </w:rPr>
      </w:pPr>
    </w:p>
    <w:p>
      <w:pPr>
        <w:ind w:left="900" w:hanging="513"/>
        <w:spacing w:after="0" w:line="281" w:lineRule="auto"/>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Production Start Milestone is now required to be met by January 9, 2025. The Production Start Milestone was originally required to be met prior to January 9, 2024, but due to COVID-related delays,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left="900"/>
        <w:spacing w:after="0" w:line="281" w:lineRule="auto"/>
        <w:rPr>
          <w:sz w:val="20"/>
          <w:szCs w:val="20"/>
          <w:color w:val="auto"/>
        </w:rPr>
      </w:pPr>
      <w:r>
        <w:rPr>
          <w:rFonts w:ascii="Arial" w:cs="Arial" w:eastAsia="Arial" w:hAnsi="Arial"/>
          <w:sz w:val="14"/>
          <w:szCs w:val="14"/>
          <w:color w:val="auto"/>
        </w:rPr>
        <w:t>ACM filed multiple requests for extensions, the latest of which was granted on July 7, 2023. We cannot guarantee that ACM Lingang will meet any extended deadline or be refunded this 20% portion of the performance deposit.</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Contractual penalties in the case of a delay of Production Start Milestone</w:t>
      </w:r>
      <w:r>
        <w:rPr>
          <w:rFonts w:ascii="Arial" w:cs="Arial" w:eastAsia="Arial" w:hAnsi="Arial"/>
          <w:sz w:val="14"/>
          <w:szCs w:val="14"/>
          <w:color w:val="auto"/>
        </w:rPr>
        <w:t>:</w:t>
      </w:r>
    </w:p>
    <w:p>
      <w:pPr>
        <w:spacing w:after="0" w:line="179" w:lineRule="exact"/>
        <w:rPr>
          <w:sz w:val="20"/>
          <w:szCs w:val="20"/>
          <w:color w:val="auto"/>
        </w:rPr>
      </w:pPr>
    </w:p>
    <w:p>
      <w:pPr>
        <w:ind w:left="900" w:hanging="513"/>
        <w:spacing w:after="0" w:line="260" w:lineRule="auto"/>
        <w:tabs>
          <w:tab w:leader="none" w:pos="9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ind w:left="900" w:hanging="513"/>
        <w:spacing w:after="0" w:line="350" w:lineRule="auto"/>
        <w:tabs>
          <w:tab w:leader="none" w:pos="901" w:val="left"/>
        </w:tabs>
        <w:numPr>
          <w:ilvl w:val="0"/>
          <w:numId w:val="17"/>
        </w:numPr>
        <w:rPr>
          <w:rFonts w:ascii="Arial" w:cs="Arial" w:eastAsia="Arial" w:hAnsi="Arial"/>
          <w:sz w:val="12"/>
          <w:szCs w:val="12"/>
          <w:color w:val="auto"/>
        </w:rPr>
      </w:pPr>
      <w:r>
        <w:rPr>
          <w:rFonts w:ascii="Arial" w:cs="Arial" w:eastAsia="Arial" w:hAnsi="Arial"/>
          <w:sz w:val="12"/>
          <w:szCs w:val="12"/>
          <w:color w:val="auto"/>
        </w:rPr>
        <w:t>If ACM Lingang fails to commence production pursuant to the extended commencement of production date, the Grantor is entitled to terminate the Grant Agreement and take back the Land Use Right. In such case, the Grantor shall refund the Grant Fees for the remaining land use term after deducting the deposit agreed under the Grant Agreement to ACM Lingang.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milestones, covenants in the Grant Agreement require that, among other things, ACM Lingang will be required to pay liquidated damages in the event that:</w:t>
      </w:r>
    </w:p>
    <w:p>
      <w:pPr>
        <w:spacing w:after="0" w:line="179" w:lineRule="exact"/>
        <w:rPr>
          <w:sz w:val="20"/>
          <w:szCs w:val="20"/>
          <w:color w:val="auto"/>
        </w:rPr>
      </w:pPr>
    </w:p>
    <w:p>
      <w:pPr>
        <w:jc w:val="both"/>
        <w:ind w:left="520" w:hanging="515"/>
        <w:spacing w:after="0" w:line="258"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it does not make a total investment (including the costs of construction, fixtures, equipment and grant fees) of at least RMB 450.0 million ($63.4 million). ACM Lingang shall pay the liquidated damages equal to the same proportion of the Grant Fees as the proportion of the actual shortfall amount of investment in the total agreed investment amount or the investment intensity.</w:t>
      </w:r>
    </w:p>
    <w:p>
      <w:pPr>
        <w:jc w:val="both"/>
        <w:ind w:left="520" w:hanging="515"/>
        <w:spacing w:after="0" w:line="259"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within six years after the Delivery Date, or prior to July 9, 2026, it does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this Contract, take back the Land Use Right, and shall refund the Grant Fees for the remaining Land Use Term to ACM Lingang.</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amounted to $95.4 million and $102.9 million at June 30, 2023 and December 31,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We Evaluate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We present information below with respect to four measures of financial performance:</w:t>
      </w:r>
    </w:p>
    <w:p>
      <w:pPr>
        <w:spacing w:after="0" w:line="179" w:lineRule="exact"/>
        <w:rPr>
          <w:sz w:val="20"/>
          <w:szCs w:val="20"/>
          <w:color w:val="auto"/>
        </w:rPr>
      </w:pPr>
    </w:p>
    <w:p>
      <w:pPr>
        <w:jc w:val="both"/>
        <w:ind w:left="520" w:hanging="515"/>
        <w:spacing w:after="0" w:line="25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“shipments” of tools to include (a) a “repeat” shipment to a customer of a type of tool that the customer has previously accepted, for which we recognize revenue upon delivery, and (b) a “first-time” shipment of a “first tool” to a customer on an approval basis, for which we may recognize revenue in the future if contractual conditions are met, or if a purchase order is received.</w:t>
      </w:r>
    </w:p>
    <w:p>
      <w:pPr>
        <w:ind w:left="520" w:hanging="515"/>
        <w:spacing w:after="0" w:line="253"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“adjusted EBITDA” as net income excluding interest expense (net), income tax benefit (expense), depreciation and amortization, unrealized (gain) loss on trading securities, and stock-based compensation. We define adjusted EBITDA to also exclude restructuring costs, although we have not incurred any such costs to date.</w:t>
      </w:r>
    </w:p>
    <w:p>
      <w:pPr>
        <w:ind w:left="520" w:hanging="51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“free cash flow” as net cash provided by operating activities less purchases of property and equipment (net of proceeds from disposals).</w:t>
      </w:r>
    </w:p>
    <w:p>
      <w:pPr>
        <w:spacing w:after="0" w:line="8" w:lineRule="exact"/>
        <w:rPr>
          <w:rFonts w:ascii="Arial" w:cs="Arial" w:eastAsia="Arial" w:hAnsi="Arial"/>
          <w:sz w:val="14"/>
          <w:szCs w:val="14"/>
          <w:color w:val="auto"/>
        </w:rPr>
      </w:pPr>
    </w:p>
    <w:p>
      <w:pPr>
        <w:ind w:left="520" w:hanging="51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“adjusted operating income (loss)” as our income (loss) from operations excluding stock-based compensation.</w:t>
      </w:r>
    </w:p>
    <w:p>
      <w:pPr>
        <w:spacing w:after="0" w:line="16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Shipments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consider shipments a key operating metric as it reflects the total value of products delivered to customers and prospective customers by our productive assets.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Shipments consist of two components:</w:t>
      </w:r>
    </w:p>
    <w:p>
      <w:pPr>
        <w:spacing w:after="0" w:line="179"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shipment to a customer of a type of tool that the customer has previously accepted, for which we recognize revenue when the tool is delivered; and</w:t>
      </w:r>
    </w:p>
    <w:p>
      <w:pPr>
        <w:spacing w:after="0" w:line="19" w:lineRule="exact"/>
        <w:rPr>
          <w:rFonts w:ascii="Arial" w:cs="Arial" w:eastAsia="Arial" w:hAnsi="Arial"/>
          <w:sz w:val="14"/>
          <w:szCs w:val="14"/>
          <w:color w:val="auto"/>
        </w:rPr>
      </w:pPr>
    </w:p>
    <w:p>
      <w:pPr>
        <w:jc w:val="both"/>
        <w:ind w:left="520" w:hanging="515"/>
        <w:spacing w:after="0" w:line="259"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Shipments in the three and six months ended June 30, 2023 totaled $153.4 million and $242.6 million, as compared to $111.6 million and $178.6 million for the same periods in 2022. Repeat tool shipments in the three and six months ended June 30, 2023 totaled $61.4 million and $109.1 million, as compared to $80.1 million and $110.3 million for the same periods in 2022. First tool shipments in the three and six months ended June 30, 2023 totaled $92.0 million and 142.3 million, as compared to $44.9 million and $81.7 million for the same periods in 2022.</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Adjusted EBITDA</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There are a number of limitations related to the use of adjusted EBITDA rather than net income (loss), which is the nearest GAAP equivalent. Some of these limitations are:</w:t>
      </w:r>
    </w:p>
    <w:p>
      <w:pPr>
        <w:spacing w:after="0" w:line="179"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excludes depreciation and amortization and, although these are non-cash expenses, the assets being depreciated or amortized may have to be replaced in the future;</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both"/>
        <w:ind w:left="520" w:hanging="515"/>
        <w:spacing w:after="0" w:line="258"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ind w:left="520" w:hanging="515"/>
        <w:spacing w:after="0" w:line="253"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does not reflect changes in, or cash requirements for, working capital needs;</w:t>
      </w:r>
    </w:p>
    <w:p>
      <w:pPr>
        <w:spacing w:after="0" w:line="8"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does not reflect interest expense, or the requirements necessary to service interest or principal payments on debt;</w:t>
      </w:r>
    </w:p>
    <w:p>
      <w:pPr>
        <w:spacing w:after="0" w:line="8"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does not reflect income tax expense (benefit) or the cash requirements to pay taxes;</w:t>
      </w:r>
    </w:p>
    <w:p>
      <w:pPr>
        <w:spacing w:after="0" w:line="8"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does not reflect historical cash expenditures or future requirements for capital expenditures or contractual commitments;</w:t>
      </w:r>
    </w:p>
    <w:p>
      <w:pPr>
        <w:spacing w:after="0" w:line="8" w:lineRule="exact"/>
        <w:rPr>
          <w:rFonts w:ascii="Arial" w:cs="Arial" w:eastAsia="Arial" w:hAnsi="Arial"/>
          <w:sz w:val="14"/>
          <w:szCs w:val="14"/>
          <w:color w:val="auto"/>
        </w:rPr>
      </w:pPr>
    </w:p>
    <w:p>
      <w:pPr>
        <w:ind w:left="520" w:hanging="515"/>
        <w:spacing w:after="0" w:line="253"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520" w:hanging="515"/>
        <w:spacing w:after="0" w:line="259"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net income, the most directly comparable GAAP financial measure, to adjusted EBITDA: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jc w:val="right"/>
              <w:ind w:right="1089"/>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8"/>
        </w:trPr>
        <w:tc>
          <w:tcPr>
            <w:tcW w:w="4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60" w:type="dxa"/>
            <w:vAlign w:val="bottom"/>
          </w:tcPr>
          <w:p>
            <w:pPr>
              <w:jc w:val="right"/>
              <w:ind w:right="549"/>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7"/>
                <w:szCs w:val="17"/>
                <w:color w:val="auto"/>
              </w:rPr>
            </w:pPr>
          </w:p>
        </w:tc>
        <w:tc>
          <w:tcPr>
            <w:tcW w:w="1400" w:type="dxa"/>
            <w:vAlign w:val="bottom"/>
          </w:tcPr>
          <w:p>
            <w:pPr>
              <w:jc w:val="right"/>
              <w:ind w:right="189"/>
              <w:spacing w:after="0"/>
              <w:rPr>
                <w:sz w:val="20"/>
                <w:szCs w:val="20"/>
                <w:color w:val="auto"/>
              </w:rPr>
            </w:pPr>
            <w:r>
              <w:rPr>
                <w:rFonts w:ascii="Arial" w:cs="Arial" w:eastAsia="Arial" w:hAnsi="Arial"/>
                <w:sz w:val="14"/>
                <w:szCs w:val="14"/>
                <w:b w:val="1"/>
                <w:bCs w:val="1"/>
                <w:color w:val="auto"/>
                <w:w w:val="97"/>
              </w:rPr>
              <w:t>Absolute Change</w:t>
            </w:r>
          </w:p>
        </w:tc>
      </w:tr>
      <w:tr>
        <w:trPr>
          <w:trHeight w:val="184"/>
        </w:trPr>
        <w:tc>
          <w:tcPr>
            <w:tcW w:w="4160" w:type="dxa"/>
            <w:vAlign w:val="bottom"/>
          </w:tcPr>
          <w:p>
            <w:pPr>
              <w:spacing w:after="0"/>
              <w:rPr>
                <w:sz w:val="16"/>
                <w:szCs w:val="16"/>
                <w:color w:val="auto"/>
              </w:rPr>
            </w:pPr>
          </w:p>
        </w:tc>
        <w:tc>
          <w:tcPr>
            <w:tcW w:w="1200" w:type="dxa"/>
            <w:vAlign w:val="bottom"/>
          </w:tcPr>
          <w:p>
            <w:pPr>
              <w:jc w:val="right"/>
              <w:ind w:right="89"/>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30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860" w:type="dxa"/>
            <w:vAlign w:val="bottom"/>
          </w:tcPr>
          <w:p>
            <w:pPr>
              <w:jc w:val="right"/>
              <w:ind w:right="489"/>
              <w:spacing w:after="0"/>
              <w:rPr>
                <w:sz w:val="20"/>
                <w:szCs w:val="20"/>
                <w:color w:val="auto"/>
              </w:rPr>
            </w:pPr>
            <w:r>
              <w:rPr>
                <w:rFonts w:ascii="Arial" w:cs="Arial" w:eastAsia="Arial" w:hAnsi="Arial"/>
                <w:sz w:val="14"/>
                <w:szCs w:val="14"/>
                <w:b w:val="1"/>
                <w:bCs w:val="1"/>
                <w:color w:val="auto"/>
              </w:rPr>
              <w:t>2023 v 2022</w:t>
            </w:r>
          </w:p>
        </w:tc>
        <w:tc>
          <w:tcPr>
            <w:tcW w:w="160" w:type="dxa"/>
            <w:vAlign w:val="bottom"/>
          </w:tcPr>
          <w:p>
            <w:pPr>
              <w:spacing w:after="0"/>
              <w:rPr>
                <w:sz w:val="16"/>
                <w:szCs w:val="16"/>
                <w:color w:val="auto"/>
              </w:rPr>
            </w:pPr>
          </w:p>
        </w:tc>
        <w:tc>
          <w:tcPr>
            <w:tcW w:w="140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 v 2022</w:t>
            </w:r>
          </w:p>
        </w:tc>
      </w:tr>
      <w:tr>
        <w:trPr>
          <w:trHeight w:val="22"/>
        </w:trPr>
        <w:tc>
          <w:tcPr>
            <w:tcW w:w="4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4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00" w:type="dxa"/>
            <w:vAlign w:val="bottom"/>
            <w:gridSpan w:val="3"/>
          </w:tcPr>
          <w:p>
            <w:pPr>
              <w:jc w:val="right"/>
              <w:ind w:right="749"/>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Data:</w:t>
            </w: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0" w:type="dxa"/>
            <w:vAlign w:val="bottom"/>
          </w:tcPr>
          <w:p>
            <w:pPr>
              <w:jc w:val="right"/>
              <w:ind w:right="104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42,560</w:t>
            </w:r>
          </w:p>
        </w:tc>
        <w:tc>
          <w:tcPr>
            <w:tcW w:w="1300" w:type="dxa"/>
            <w:vAlign w:val="bottom"/>
            <w:gridSpan w:val="2"/>
          </w:tcPr>
          <w:p>
            <w:pPr>
              <w:jc w:val="right"/>
              <w:ind w:right="10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9,305</w:t>
            </w:r>
          </w:p>
        </w:tc>
        <w:tc>
          <w:tcPr>
            <w:tcW w:w="1860" w:type="dxa"/>
            <w:vAlign w:val="bottom"/>
          </w:tcPr>
          <w:p>
            <w:pPr>
              <w:jc w:val="right"/>
              <w:ind w:right="49"/>
              <w:spacing w:after="0"/>
              <w:rPr>
                <w:sz w:val="20"/>
                <w:szCs w:val="20"/>
                <w:color w:val="auto"/>
              </w:rPr>
            </w:pPr>
            <w:r>
              <w:rPr>
                <w:rFonts w:ascii="Arial" w:cs="Arial" w:eastAsia="Arial" w:hAnsi="Arial"/>
                <w:sz w:val="14"/>
                <w:szCs w:val="14"/>
                <w:color w:val="auto"/>
              </w:rPr>
              <w:t>357.4 %</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33,255</w:t>
            </w:r>
          </w:p>
        </w:tc>
      </w:tr>
      <w:tr>
        <w:trPr>
          <w:trHeight w:val="22"/>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-17.6 %</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w:t>
            </w: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10,517</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3,668</w:t>
            </w:r>
          </w:p>
        </w:tc>
        <w:tc>
          <w:tcPr>
            <w:tcW w:w="1860" w:type="dxa"/>
            <w:vAlign w:val="bottom"/>
          </w:tcPr>
          <w:p>
            <w:pPr>
              <w:jc w:val="right"/>
              <w:ind w:right="49"/>
              <w:spacing w:after="0"/>
              <w:rPr>
                <w:sz w:val="20"/>
                <w:szCs w:val="20"/>
                <w:color w:val="auto"/>
              </w:rPr>
            </w:pPr>
            <w:r>
              <w:rPr>
                <w:rFonts w:ascii="Arial" w:cs="Arial" w:eastAsia="Arial" w:hAnsi="Arial"/>
                <w:sz w:val="14"/>
                <w:szCs w:val="14"/>
                <w:color w:val="auto"/>
              </w:rPr>
              <w:t>186.7 %</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6,849</w:t>
            </w:r>
          </w:p>
        </w:tc>
      </w:tr>
      <w:tr>
        <w:trPr>
          <w:trHeight w:val="22"/>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1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54.8 %</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9"/>
              <w:spacing w:after="0"/>
              <w:rPr>
                <w:sz w:val="20"/>
                <w:szCs w:val="20"/>
                <w:color w:val="auto"/>
              </w:rPr>
            </w:pPr>
            <w:r>
              <w:rPr>
                <w:rFonts w:ascii="Arial" w:cs="Arial" w:eastAsia="Arial" w:hAnsi="Arial"/>
                <w:sz w:val="14"/>
                <w:szCs w:val="14"/>
                <w:color w:val="auto"/>
              </w:rPr>
              <w:t>100.0 %</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2"/>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4,085</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1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22.2 %</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207"/>
        </w:trPr>
        <w:tc>
          <w:tcPr>
            <w:tcW w:w="4160" w:type="dxa"/>
            <w:vAlign w:val="bottom"/>
          </w:tcPr>
          <w:p>
            <w:pPr>
              <w:ind w:left="20"/>
              <w:spacing w:after="0"/>
              <w:rPr>
                <w:sz w:val="20"/>
                <w:szCs w:val="20"/>
                <w:color w:val="auto"/>
              </w:rPr>
            </w:pPr>
            <w:r>
              <w:rPr>
                <w:rFonts w:ascii="Arial" w:cs="Arial" w:eastAsia="Arial" w:hAnsi="Arial"/>
                <w:sz w:val="14"/>
                <w:szCs w:val="14"/>
                <w:color w:val="auto"/>
              </w:rPr>
              <w:t>Unrealized loss on trading securities</w:t>
            </w:r>
          </w:p>
        </w:tc>
        <w:tc>
          <w:tcPr>
            <w:tcW w:w="1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4,281</w:t>
            </w:r>
          </w:p>
        </w:tc>
        <w:tc>
          <w:tcPr>
            <w:tcW w:w="1860" w:type="dxa"/>
            <w:vAlign w:val="bottom"/>
          </w:tcPr>
          <w:p>
            <w:pPr>
              <w:jc w:val="right"/>
              <w:ind w:right="49"/>
              <w:spacing w:after="0"/>
              <w:rPr>
                <w:sz w:val="20"/>
                <w:szCs w:val="20"/>
                <w:color w:val="auto"/>
              </w:rPr>
            </w:pPr>
            <w:r>
              <w:rPr>
                <w:rFonts w:ascii="Arial" w:cs="Arial" w:eastAsia="Arial" w:hAnsi="Arial"/>
                <w:sz w:val="14"/>
                <w:szCs w:val="14"/>
                <w:color w:val="auto"/>
              </w:rPr>
              <w:t>-27.4 %</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w:t>
            </w:r>
          </w:p>
        </w:tc>
      </w:tr>
      <w:tr>
        <w:trPr>
          <w:trHeight w:val="228"/>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200" w:type="dxa"/>
            <w:vAlign w:val="bottom"/>
            <w:shd w:val="clear" w:color="auto" w:fill="CCEEFF"/>
          </w:tcPr>
          <w:p>
            <w:pPr>
              <w:jc w:val="right"/>
              <w:ind w:right="104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61,935</w:t>
            </w:r>
          </w:p>
        </w:tc>
        <w:tc>
          <w:tcPr>
            <w:tcW w:w="1300" w:type="dxa"/>
            <w:vAlign w:val="bottom"/>
            <w:gridSpan w:val="2"/>
            <w:shd w:val="clear" w:color="auto" w:fill="CCEEFF"/>
          </w:tcPr>
          <w:p>
            <w:pPr>
              <w:jc w:val="right"/>
              <w:ind w:right="104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19,770</w:t>
            </w:r>
          </w:p>
        </w:tc>
        <w:tc>
          <w:tcPr>
            <w:tcW w:w="1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213.3 %</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42,165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$42.2 million increase in adjusted EBITDA for the six months ended June 30, 2023 as compared to the same period in 2022 reflected a $33.3 million increase in net income, a $6.9 million impact from a change in income tax expense, a $1.4 million increase in depreciation and amortization, a $0.7 million increase in stock based compensation, a $0.6 million in interest income, net, and a $0.5 million increase in bad debt expense, partly offset by a $1.2 million decrease in unrealized loss on trading securities.</w:t>
      </w:r>
    </w:p>
    <w:p>
      <w:pPr>
        <w:spacing w:after="0" w:line="16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“—PRC Government Research and Development Funding.”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8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Free Cash Flow</w:t>
            </w: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9520" w:type="dxa"/>
            <w:vAlign w:val="bottom"/>
            <w:gridSpan w:val="8"/>
          </w:tcPr>
          <w:p>
            <w:pPr>
              <w:spacing w:after="0"/>
              <w:rPr>
                <w:sz w:val="20"/>
                <w:szCs w:val="20"/>
                <w:color w:val="auto"/>
              </w:rPr>
            </w:pPr>
            <w:r>
              <w:rPr>
                <w:rFonts w:ascii="Arial" w:cs="Arial" w:eastAsia="Arial" w:hAnsi="Arial"/>
                <w:sz w:val="14"/>
                <w:szCs w:val="14"/>
                <w:color w:val="auto"/>
                <w:w w:val="99"/>
              </w:rPr>
              <w:t>The following table reconciles net cash provided by (used in) operating activities, the most directly comparable GAAP financial measure, to free cash flow:</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2"/>
        </w:trPr>
        <w:tc>
          <w:tcPr>
            <w:tcW w:w="3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60" w:type="dxa"/>
            <w:vAlign w:val="bottom"/>
            <w:gridSpan w:val="3"/>
          </w:tcPr>
          <w:p>
            <w:pPr>
              <w:jc w:val="right"/>
              <w:ind w:right="102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8"/>
        </w:trPr>
        <w:tc>
          <w:tcPr>
            <w:tcW w:w="3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jc w:val="right"/>
              <w:ind w:right="529"/>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49"/>
              <w:spacing w:after="0"/>
              <w:rPr>
                <w:sz w:val="20"/>
                <w:szCs w:val="20"/>
                <w:color w:val="auto"/>
              </w:rPr>
            </w:pPr>
            <w:r>
              <w:rPr>
                <w:rFonts w:ascii="Arial" w:cs="Arial" w:eastAsia="Arial" w:hAnsi="Arial"/>
                <w:sz w:val="14"/>
                <w:szCs w:val="14"/>
                <w:b w:val="1"/>
                <w:bCs w:val="1"/>
                <w:color w:val="auto"/>
                <w:w w:val="98"/>
              </w:rPr>
              <w:t>Absolute Change</w:t>
            </w:r>
          </w:p>
        </w:tc>
      </w:tr>
      <w:tr>
        <w:trPr>
          <w:trHeight w:val="184"/>
        </w:trPr>
        <w:tc>
          <w:tcPr>
            <w:tcW w:w="388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6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40" w:type="dxa"/>
            <w:vAlign w:val="bottom"/>
          </w:tcPr>
          <w:p>
            <w:pPr>
              <w:jc w:val="right"/>
              <w:ind w:right="489"/>
              <w:spacing w:after="0"/>
              <w:rPr>
                <w:sz w:val="20"/>
                <w:szCs w:val="20"/>
                <w:color w:val="auto"/>
              </w:rPr>
            </w:pPr>
            <w:r>
              <w:rPr>
                <w:rFonts w:ascii="Arial" w:cs="Arial" w:eastAsia="Arial" w:hAnsi="Arial"/>
                <w:sz w:val="14"/>
                <w:szCs w:val="14"/>
                <w:b w:val="1"/>
                <w:bCs w:val="1"/>
                <w:color w:val="auto"/>
              </w:rPr>
              <w:t>2023 v 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409"/>
              <w:spacing w:after="0"/>
              <w:rPr>
                <w:sz w:val="20"/>
                <w:szCs w:val="20"/>
                <w:color w:val="auto"/>
              </w:rPr>
            </w:pPr>
            <w:r>
              <w:rPr>
                <w:rFonts w:ascii="Arial" w:cs="Arial" w:eastAsia="Arial" w:hAnsi="Arial"/>
                <w:sz w:val="14"/>
                <w:szCs w:val="14"/>
                <w:b w:val="1"/>
                <w:bCs w:val="1"/>
                <w:color w:val="auto"/>
              </w:rPr>
              <w:t>2023 v 2022</w:t>
            </w:r>
          </w:p>
        </w:tc>
      </w:tr>
      <w:tr>
        <w:trPr>
          <w:trHeight w:val="22"/>
        </w:trPr>
        <w:tc>
          <w:tcPr>
            <w:tcW w:w="3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3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(in thousands)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
        </w:trPr>
        <w:tc>
          <w:tcPr>
            <w:tcW w:w="3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 Data:</w:t>
            </w:r>
          </w:p>
        </w:tc>
        <w:tc>
          <w:tcPr>
            <w:tcW w:w="1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388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1180" w:type="dxa"/>
            <w:vAlign w:val="bottom"/>
          </w:tcPr>
          <w:p>
            <w:pPr>
              <w:jc w:val="right"/>
              <w:ind w:right="100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(24,240)</w:t>
            </w:r>
          </w:p>
        </w:tc>
        <w:tc>
          <w:tcPr>
            <w:tcW w:w="6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(61,297)</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(60.5 %)</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37,057</w:t>
            </w:r>
          </w:p>
        </w:tc>
      </w:tr>
      <w:tr>
        <w:trPr>
          <w:trHeight w:val="22"/>
        </w:trPr>
        <w:tc>
          <w:tcPr>
            <w:tcW w:w="3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1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(21,633)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(5,256)</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311.6 %</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(16,377)</w:t>
            </w:r>
          </w:p>
        </w:tc>
      </w:tr>
      <w:tr>
        <w:trPr>
          <w:trHeight w:val="207"/>
        </w:trPr>
        <w:tc>
          <w:tcPr>
            <w:tcW w:w="3880" w:type="dxa"/>
            <w:vAlign w:val="bottom"/>
          </w:tcPr>
          <w:p>
            <w:pPr>
              <w:ind w:left="20"/>
              <w:spacing w:after="0"/>
              <w:rPr>
                <w:sz w:val="20"/>
                <w:szCs w:val="20"/>
                <w:color w:val="auto"/>
              </w:rPr>
            </w:pPr>
            <w:r>
              <w:rPr>
                <w:rFonts w:ascii="Arial" w:cs="Arial" w:eastAsia="Arial" w:hAnsi="Arial"/>
                <w:sz w:val="14"/>
                <w:szCs w:val="14"/>
                <w:color w:val="auto"/>
              </w:rPr>
              <w:t>Purchase of trading securities</w:t>
            </w: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r>
      <w:tr>
        <w:trPr>
          <w:trHeight w:val="228"/>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(47,326)</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(66,553)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$19.1 million increase in free cash flow for the six months ended June 30, 2023 as compared to the same period in 2022 reflected the factors driving net cash used in operating activities, an increase of purchases of property and equipment and intangible assets and trading securities. Consistent with our methodology for calculating adjusted EBITDA, we do not adjust free cash flow for the effects of PRC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Operating Income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jc w:val="right"/>
              <w:ind w:right="38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7"/>
        </w:trPr>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149"/>
              <w:spacing w:after="0"/>
              <w:rPr>
                <w:sz w:val="20"/>
                <w:szCs w:val="20"/>
                <w:color w:val="auto"/>
              </w:rPr>
            </w:pPr>
            <w:r>
              <w:rPr>
                <w:rFonts w:ascii="Arial" w:cs="Arial" w:eastAsia="Arial" w:hAnsi="Arial"/>
                <w:sz w:val="14"/>
                <w:szCs w:val="14"/>
                <w:b w:val="1"/>
                <w:bCs w:val="1"/>
                <w:color w:val="auto"/>
                <w:w w:val="93"/>
              </w:rPr>
              <w:t>Adjusted</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3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Actual</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149"/>
              <w:spacing w:after="0"/>
              <w:rPr>
                <w:sz w:val="20"/>
                <w:szCs w:val="20"/>
                <w:color w:val="auto"/>
              </w:rPr>
            </w:pPr>
            <w:r>
              <w:rPr>
                <w:rFonts w:ascii="Arial" w:cs="Arial" w:eastAsia="Arial" w:hAnsi="Arial"/>
                <w:sz w:val="14"/>
                <w:szCs w:val="14"/>
                <w:b w:val="1"/>
                <w:bCs w:val="1"/>
                <w:color w:val="auto"/>
                <w:w w:val="98"/>
              </w:rPr>
              <w:t>(Non-</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Actual</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Adjusted</w:t>
            </w:r>
          </w:p>
        </w:tc>
      </w:tr>
      <w:tr>
        <w:trPr>
          <w:trHeight w:val="206"/>
        </w:trPr>
        <w:tc>
          <w:tcPr>
            <w:tcW w:w="3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4"/>
                <w:szCs w:val="14"/>
                <w:b w:val="1"/>
                <w:bCs w:val="1"/>
                <w:color w:val="auto"/>
              </w:rPr>
              <w:t>SBC</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right="149"/>
              <w:spacing w:after="0"/>
              <w:rPr>
                <w:sz w:val="20"/>
                <w:szCs w:val="20"/>
                <w:color w:val="auto"/>
              </w:rPr>
            </w:pPr>
            <w:r>
              <w:rPr>
                <w:rFonts w:ascii="Arial" w:cs="Arial" w:eastAsia="Arial" w:hAnsi="Arial"/>
                <w:sz w:val="14"/>
                <w:szCs w:val="14"/>
                <w:b w:val="1"/>
                <w:bCs w:val="1"/>
                <w:color w:val="auto"/>
                <w:w w:val="97"/>
              </w:rPr>
              <w:t>GAAP)</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(GAAP)</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auto"/>
              </w:rPr>
              <w:t>SBC</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(Non-GAAP)</w:t>
            </w:r>
          </w:p>
        </w:tc>
      </w:tr>
      <w:tr>
        <w:trPr>
          <w:trHeight w:val="181"/>
        </w:trPr>
        <w:tc>
          <w:tcPr>
            <w:tcW w:w="3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gridSpan w:val="4"/>
          </w:tcPr>
          <w:p>
            <w:pPr>
              <w:jc w:val="right"/>
              <w:ind w:right="809"/>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218,833</w:t>
            </w:r>
          </w:p>
        </w:tc>
        <w:tc>
          <w:tcPr>
            <w:tcW w:w="38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218,833</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146,581</w:t>
            </w:r>
          </w:p>
        </w:tc>
        <w:tc>
          <w:tcPr>
            <w:tcW w:w="36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146,581</w:t>
            </w:r>
          </w:p>
        </w:tc>
      </w:tr>
      <w:tr>
        <w:trPr>
          <w:trHeight w:val="191"/>
        </w:trPr>
        <w:tc>
          <w:tcPr>
            <w:tcW w:w="34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(110,208)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(109,958)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(82,738)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(82,485)</w:t>
            </w: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108,625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108,875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63,843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64,096</w:t>
            </w:r>
          </w:p>
        </w:tc>
      </w:tr>
      <w:tr>
        <w:trPr>
          <w:trHeight w:val="191"/>
        </w:trPr>
        <w:tc>
          <w:tcPr>
            <w:tcW w:w="3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(20,776)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(19,914)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(13,433)</w:t>
            </w:r>
          </w:p>
        </w:tc>
      </w:tr>
      <w:tr>
        <w:trPr>
          <w:trHeight w:val="191"/>
        </w:trPr>
        <w:tc>
          <w:tcPr>
            <w:tcW w:w="34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(34,093)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(32,683)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(27,646)</w:t>
            </w:r>
          </w:p>
        </w:tc>
      </w:tr>
      <w:tr>
        <w:trPr>
          <w:trHeight w:val="22"/>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(8,945)</w:t>
            </w:r>
          </w:p>
        </w:tc>
      </w:tr>
      <w:tr>
        <w:trPr>
          <w:trHeight w:val="203"/>
        </w:trPr>
        <w:tc>
          <w:tcPr>
            <w:tcW w:w="342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39,292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43,377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14,072</w:t>
            </w: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82"/>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3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Adjusted operating income for the six months ended June 30, 2023 increased by $29.3 million, as compared with the same period in 2022, due to a $28.6 million increase in income from operations and a $0.7 million increase in stock-based compensation expense.</w:t>
      </w:r>
    </w:p>
    <w:p>
      <w:pPr>
        <w:spacing w:after="0" w:line="12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market risks and the ways we manage them are summarized in the section captioned “Part II, Item 7A. Quantitative and Qualitative Disclosures About Market Risk” in our Annual Report. There have been no material changes in the first three months of 2023 to our market risks or to our management of such risks.</w:t>
      </w:r>
    </w:p>
    <w:p>
      <w:pPr>
        <w:spacing w:after="0" w:line="12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200" w:lineRule="exact"/>
        <w:rPr>
          <w:sz w:val="20"/>
          <w:szCs w:val="20"/>
          <w:color w:val="auto"/>
        </w:rPr>
      </w:pPr>
    </w:p>
    <w:p>
      <w:pPr>
        <w:jc w:val="both"/>
        <w:spacing w:after="0" w:line="171" w:lineRule="exact"/>
        <w:rPr>
          <w:sz w:val="20"/>
          <w:szCs w:val="20"/>
          <w:color w:val="auto"/>
        </w:rPr>
      </w:pPr>
      <w:r>
        <w:rPr>
          <w:rFonts w:ascii="Arial" w:cs="Arial" w:eastAsia="Arial" w:hAnsi="Arial"/>
          <w:sz w:val="13"/>
          <w:szCs w:val="13"/>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June 30, 2023.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in 2021, 2022 and 2023,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3"/>
          <w:szCs w:val="13"/>
          <w:color w:val="auto"/>
        </w:rPr>
        <w:t>‑</w:t>
      </w:r>
      <w:r>
        <w:rPr>
          <w:rFonts w:ascii="Arial" w:cs="Arial" w:eastAsia="Arial" w:hAnsi="Arial"/>
          <w:sz w:val="13"/>
          <w:szCs w:val="13"/>
          <w:color w:val="auto"/>
        </w:rPr>
        <w:t>19 pandemic increases.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Based on that evaluation, and as a result of the material weaknesses in internal control over financial reporting described in our Annual Report, our Chief Executive Officer and Chief Financial Officer concluded that, as of June 30, 2023, our company’s disclosure controls and procedures were not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Notwithstanding the material weaknesses in internal control over financial reporting described in our Annual Report, our management, including our Chief Executive Officer and Chief Financial Officer, believes that our consolidated financial statements included in this report present fairly, in all material respects, our financial position, results of operations and cash flows as of and for the periods presented, in conformity with GAAP.</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Material Weaknesses in Internal Control Over Financial Reporting</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disclosed in our Annual Report, management identified the following material weaknesses during its assessment of internal controls over financial reporting as of December 31, 2022, and is in the process of remediating them as of June 30, 2023:</w:t>
      </w:r>
    </w:p>
    <w:p>
      <w:pPr>
        <w:spacing w:after="0" w:line="185" w:lineRule="exact"/>
        <w:rPr>
          <w:sz w:val="20"/>
          <w:szCs w:val="20"/>
          <w:color w:val="auto"/>
        </w:rPr>
      </w:pPr>
    </w:p>
    <w:p>
      <w:pPr>
        <w:jc w:val="both"/>
        <w:ind w:firstLine="5"/>
        <w:spacing w:after="0" w:line="267" w:lineRule="auto"/>
        <w:tabs>
          <w:tab w:leader="none" w:pos="104"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Management did not design and maintain effective risk assessment procedures, and monitoring activities. These deficiencies were attributed to insufficient identification and assessment of risks impacting the design, implementation, and operating effectiveness of internal control over financial reporting, and insufficient evaluation and determination as to whether components of internal control were present and functioning.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1" w:name="page62"/>
    <w:bookmarkEnd w:id="61"/>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5"/>
        <w:spacing w:after="0" w:line="262" w:lineRule="auto"/>
        <w:tabs>
          <w:tab w:leader="none" w:pos="102"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Management did not design and maintain effective information technology controls related to (a) user access controls to ensure appropriate segregation of duties and adequately restrict user and privileged access to financial applications, programs, and data to appropriate personnel, (b) computer operations controls to ensure that critical information is monitored, and data backups are authorized and monitored, (c) appropriate controls to evaluate automated controls, and (d) appropriate controls to validate the completeness and accuracy of key reports used within controls across substantially all financial statement areas.</w:t>
      </w:r>
    </w:p>
    <w:p>
      <w:pPr>
        <w:spacing w:after="0" w:line="167"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Although these material weaknesses did not result in any material misstatement of our consolidated financial statements, there is a reasonable possibility that a material misstatement of our consolidated financial statements will not be prevented or detected on a timely basis. Accordingly, management has concluded that these control deficiencies constitute material weaknesses.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Remediation Efforts</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have begun the process of, and are focused on, designing and implementing effective internal control measures to improve our internal control over financial reporting and remediate the material weaknesses. Our internal control remediation efforts include the following:</w:t>
      </w:r>
    </w:p>
    <w:p>
      <w:pPr>
        <w:spacing w:after="0" w:line="185" w:lineRule="exact"/>
        <w:rPr>
          <w:sz w:val="20"/>
          <w:szCs w:val="20"/>
          <w:color w:val="auto"/>
        </w:rPr>
      </w:pPr>
    </w:p>
    <w:p>
      <w:pPr>
        <w:jc w:val="both"/>
        <w:ind w:firstLine="5"/>
        <w:spacing w:after="0" w:line="262" w:lineRule="auto"/>
        <w:tabs>
          <w:tab w:leader="none" w:pos="1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Continue engagement with an outside firm to assist management with (i) designing and maintaining effective risk assessment procedures and monitoring activities, (ii) reviewing our current processes, procedures, and systems and assessing the design of controls to identify opportunities to enhance the design of controls that would address relevant risks identified by management to assure the operating effectiveness of internal control over financial reporting, and (iii) enhancing and implementing protocols to retain sufficient documentary evidence of operating effectiveness of such controls.</w:t>
      </w:r>
    </w:p>
    <w:p>
      <w:pPr>
        <w:spacing w:after="0" w:line="7" w:lineRule="exact"/>
        <w:rPr>
          <w:rFonts w:ascii="Arial" w:cs="Arial" w:eastAsia="Arial" w:hAnsi="Arial"/>
          <w:sz w:val="14"/>
          <w:szCs w:val="14"/>
          <w:color w:val="auto"/>
        </w:rPr>
      </w:pPr>
    </w:p>
    <w:p>
      <w:pPr>
        <w:ind w:firstLine="5"/>
        <w:spacing w:after="0" w:line="284" w:lineRule="auto"/>
        <w:tabs>
          <w:tab w:leader="none" w:pos="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Continue to recruit qualified individuals for key positions within our accounting and other support functions that will further enhance internal control capabilities, allow for appropriate segregation of duties, and provide appropriate oversight and reviews.</w:t>
      </w:r>
    </w:p>
    <w:p>
      <w:pPr>
        <w:ind w:firstLine="5"/>
        <w:spacing w:after="0" w:line="276" w:lineRule="auto"/>
        <w:tabs>
          <w:tab w:leader="none" w:pos="94"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Complete the implementation of our new enterprise reporting software and other system integrations and establish effective general controls over these systems to ensure that our automated process level controls and information produced and maintained in our IT systems is relevant and reliable.</w:t>
      </w:r>
    </w:p>
    <w:p>
      <w:pPr>
        <w:spacing w:after="0" w:line="1" w:lineRule="exact"/>
        <w:rPr>
          <w:rFonts w:ascii="Arial" w:cs="Arial" w:eastAsia="Arial" w:hAnsi="Arial"/>
          <w:sz w:val="14"/>
          <w:szCs w:val="14"/>
          <w:color w:val="auto"/>
        </w:rPr>
      </w:pPr>
    </w:p>
    <w:p>
      <w:pPr>
        <w:jc w:val="both"/>
        <w:ind w:firstLine="5"/>
        <w:spacing w:after="0" w:line="297" w:lineRule="auto"/>
        <w:tabs>
          <w:tab w:leader="none" w:pos="97"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Restrict and monitor user access controls to ensure appropriate segregation of duties and adequately restrict user and privileged access of applications, programs, and data to appropriate personnel, implement computer operations controls to ensure that critical information is monitored, and data backups are authorized and monitored, establish appropriate controls to evaluate automated controls, and design and monitor appropriate controls to validate the completeness and accuracy of key reports used within controls across substantially all financial statement areas.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committed to ensuring that our internal controls over financial reporting are designed and operating effectively. Management believes the planned remediation will improve the effectiveness of our internal control over financial reporting. While these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 and Remediation Efforts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There were no changes in our internal control over financial reporting during the six months ended June 30, 2023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2" w:name="page63"/>
    <w:bookmarkEnd w:id="62"/>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PART II.</w:t>
        <w:tab/>
        <w:t>OTHER INFORMATION</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8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Risks</w:t>
      </w:r>
    </w:p>
    <w:p>
      <w:pPr>
        <w:spacing w:after="0" w:line="204"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b w:val="1"/>
          <w:bCs w:val="1"/>
          <w:i w:val="1"/>
          <w:iCs w:val="1"/>
          <w:color w:val="auto"/>
        </w:rPr>
        <w:t>Our ability to sell our tools to customers in the PRC has been impacted, and will likely continue to be materially and adversely impacted, by export license requirements, other regulatory changes, or other actions taken by the U.S. or other governmental agencies.</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the PRC, including restrictions targeting the semiconductor manufacturing industry in the PRC. Many of these restrictions were imposed through licensing requirements with a presumption of denial. These types of restrictions may impact the operations of ACM Shanghai.</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part of the new regulations, BIS imposed a series of restrictions on exports of designated products and exports for specified end uses and end users in connection with the supercomputer, artificial intelligence, integrated circuit (IC) and semiconductor manufacturing sectors in the PRC. These new restrictions have impacted the procurement by ACM Shanghai of certain items from the United States, and of certain items subject to U.S. export controls from outside the</w:t>
      </w:r>
    </w:p>
    <w:p>
      <w:pPr>
        <w:jc w:val="both"/>
        <w:spacing w:after="0" w:line="266" w:lineRule="auto"/>
        <w:rPr>
          <w:sz w:val="20"/>
          <w:szCs w:val="20"/>
          <w:color w:val="auto"/>
        </w:rPr>
      </w:pPr>
      <w:r>
        <w:rPr>
          <w:rFonts w:ascii="Arial" w:cs="Arial" w:eastAsia="Arial" w:hAnsi="Arial"/>
          <w:sz w:val="14"/>
          <w:szCs w:val="14"/>
          <w:color w:val="auto"/>
        </w:rPr>
        <w:t>United States, for use in manufacturing its products and, depending on the details of the final implementation of these new restrictions and associated licensing policies, will likely continue to limit to an undetermined extent ACM Shanghai’s ability to supply its products to certain end users and for certain end uses in the PRC.</w:t>
      </w:r>
    </w:p>
    <w:p>
      <w:pPr>
        <w:spacing w:after="0" w:line="163"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Alongside these new restrictions, BIS has also continued to designate additional PRC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now require an export license from BIS before they can be supplied to the newly listed PRC entities, regardless of their export classification. In December 2020, SMIC, one of the largest chip manufacturers in the PRC and one of our key customers, was one of numerous entities added to the Entity List. Challenges faced by SMIC and its key suppliers as a result of the listing have indirectly impacted SMIC’s demand for, and ACM Shanghai’s ability to supply, ACM Shanghai products. More recently, in October 2022, YMTC, a leading PRC memory chip company and one of our key customers,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Also in October 2022, BIS announced new rules that significantly expanded U.S. export controls as applied to advanced IC products, related manufacturing equipment and technology, and supercomputers, where the destination or ultimate end user is based in the PRC. In the case of semiconductor manufacturing equipment, the new rules require an export license for the export, re-export, or transfer to or within the PRC of additional types of semiconductor manufacturing equipment, items for use in manufacturing designated types of semiconductor manufacturing equipment (along with other items subject to the</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EAR, for use in the development or production of ICs), and semiconductor manufacturing equipment for use at certain IC manufacturing and development facilities in the PRC. In most cases,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PRC fabrication facilities meeting specified criteria, even if no items subject to the EAR are involved.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ACM Shanghai has determined that several of its customers have PRC-based facilities that meet the restricted criteria, and</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has also determined that several of its products, and/or components,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parts from the United States or parts subject to U.S. export controls from outside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undertaking measures in connection with their supply chains more broadly to comply with the new regulations.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and the six months ended June 30, 2023. We anticipate these factors will continue to have an adverse impact on ACM Shanghai’s shipments and sales in future periods.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cannot be certain what additional actions the U.S. government may take with respect to PRC entities, or whether such actions will impact our relationships with our PRC-based customers. Additional actions could take the form of further revisions to the Entity List or Unverified List, new export restrictions, additional tariffs or other trade restrictions. It is also possible that other countries could adopt similar semiconductor-focused export controls to align with the October 2022 U.S. actions.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and six months ended June 30, 2023, two prominent exporters of advanced semiconductor manufacturing equipment, the Netherlands and Japan, announced and began to implement plans to join the United States in imposing semiconductor-focused export controls.</w:t>
      </w:r>
    </w:p>
    <w:p>
      <w:pPr>
        <w:spacing w:after="0" w:line="153"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On May 23, 2023, the Japanese government issued the final amendment to an ordinance implementing new export controls to require licensing for export of certain advanced semiconductor manufacturing equipment, effective as of July 23, 2023. The amendment expands the scope of export controls to prohibit (1) exporting 23 additional categories of items relating to semiconductor</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manufacturing and (2) providing technology relating to manufacturing, development or use of these categories of items, in both cases, without an advance license. 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the PRC by a limited general license or specific license, if at all.</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Likewise, on June 30, 2023, the Government of the Netherlands published additional export control measures for advanced semiconductor manufacturing equipment. The Regulation on Advanced Semiconductor Manufacturing Equipment will enter into force on September 1, 2023. From that point on, the export of certain advanced semiconductor manufacturing equipment, as specified in the Annex to the Regulation, will be subject to a national export license authorization requirement by the Dutch Central Import and Export Service.</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result of the new restrictions, the ability of ACM Shanghai to acquire such parts from Japan and the Netherlands to fulfill customer requirements, and the ability of ACM Shanghai’s customers in the PRC to scale their production, could be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further negatively impacted by these additional controls. The introduction of additional multilateral semiconductor-focused export controls could further negatively impact ACM Shanghai’s supply arrangements. The United States reportedly also is considering additional export controls measures, which could be imposed on items, technologies, or software that are relevant to our business and future growth.</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are unable to predict the duration of the restrictions imposed by the U.S. government, Japan and the Netherlands or the</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effects of any future governmental actions by the U.S., Japan, the Netherlands or other countries that may impact our relationships with our PRC-based customers, any of which could have a long-term adverse effect on our business, operating results and financial condition.</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six months ended June 30, 2023, ACM Research issued, pursuant to the exercise of stock options at a per share exercise price of $0.50 per share, an aggregate of 153,660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80" w:type="dxa"/>
            <w:vAlign w:val="bottom"/>
          </w:tcPr>
          <w:p>
            <w:pPr>
              <w:jc w:val="center"/>
              <w:spacing w:after="0"/>
              <w:rPr>
                <w:sz w:val="20"/>
                <w:szCs w:val="20"/>
                <w:color w:val="auto"/>
              </w:rPr>
            </w:pPr>
            <w:r>
              <w:rPr>
                <w:rFonts w:ascii="Arial" w:cs="Arial" w:eastAsia="Arial" w:hAnsi="Arial"/>
                <w:sz w:val="14"/>
                <w:szCs w:val="14"/>
                <w:b w:val="1"/>
                <w:bCs w:val="1"/>
                <w:color w:val="auto"/>
                <w:w w:val="88"/>
              </w:rPr>
              <w:t>Sale Date</w:t>
            </w:r>
          </w:p>
        </w:tc>
        <w:tc>
          <w:tcPr>
            <w:tcW w:w="26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Exercised Shares (Net)</w:t>
            </w:r>
          </w:p>
        </w:tc>
      </w:tr>
      <w:tr>
        <w:trPr>
          <w:trHeight w:val="22"/>
        </w:trPr>
        <w:tc>
          <w:tcPr>
            <w:tcW w:w="8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8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January 10, 2023</w:t>
            </w:r>
          </w:p>
        </w:tc>
        <w:tc>
          <w:tcPr>
            <w:tcW w:w="1660" w:type="dxa"/>
            <w:vAlign w:val="bottom"/>
            <w:tcBorders>
              <w:bottom w:val="single" w:sz="8" w:color="CCEEFF"/>
            </w:tcBorders>
            <w:gridSpan w:val="3"/>
            <w:shd w:val="clear" w:color="auto" w:fill="CCEEFF"/>
          </w:tcPr>
          <w:p>
            <w:pPr>
              <w:jc w:val="center"/>
              <w:ind w:left="429"/>
              <w:spacing w:after="0"/>
              <w:rPr>
                <w:sz w:val="20"/>
                <w:szCs w:val="20"/>
                <w:color w:val="auto"/>
              </w:rPr>
            </w:pPr>
            <w:r>
              <w:rPr>
                <w:rFonts w:ascii="Arial" w:cs="Arial" w:eastAsia="Arial" w:hAnsi="Arial"/>
                <w:sz w:val="14"/>
                <w:szCs w:val="14"/>
                <w:color w:val="auto"/>
                <w:w w:val="93"/>
              </w:rPr>
              <w:t>25,975</w:t>
            </w:r>
          </w:p>
        </w:tc>
        <w:tc>
          <w:tcPr>
            <w:tcW w:w="240" w:type="dxa"/>
            <w:vAlign w:val="bottom"/>
            <w:tcBorders>
              <w:bottom w:val="single" w:sz="8" w:color="CCEEFF"/>
            </w:tcBorders>
            <w:shd w:val="clear" w:color="auto" w:fill="CCEEFF"/>
          </w:tcPr>
          <w:p>
            <w:pPr>
              <w:spacing w:after="0"/>
              <w:rPr>
                <w:sz w:val="15"/>
                <w:szCs w:val="15"/>
                <w:color w:val="auto"/>
              </w:rPr>
            </w:pPr>
          </w:p>
        </w:tc>
      </w:tr>
      <w:tr>
        <w:trPr>
          <w:trHeight w:val="191"/>
        </w:trPr>
        <w:tc>
          <w:tcPr>
            <w:tcW w:w="8780" w:type="dxa"/>
            <w:vAlign w:val="bottom"/>
          </w:tcPr>
          <w:p>
            <w:pPr>
              <w:jc w:val="center"/>
              <w:spacing w:after="0"/>
              <w:rPr>
                <w:sz w:val="20"/>
                <w:szCs w:val="20"/>
                <w:color w:val="auto"/>
              </w:rPr>
            </w:pPr>
            <w:r>
              <w:rPr>
                <w:rFonts w:ascii="Arial" w:cs="Arial" w:eastAsia="Arial" w:hAnsi="Arial"/>
                <w:sz w:val="14"/>
                <w:szCs w:val="14"/>
                <w:color w:val="auto"/>
                <w:w w:val="90"/>
              </w:rPr>
              <w:t>March 10, 2023</w:t>
            </w:r>
          </w:p>
        </w:tc>
        <w:tc>
          <w:tcPr>
            <w:tcW w:w="1660" w:type="dxa"/>
            <w:vAlign w:val="bottom"/>
            <w:gridSpan w:val="3"/>
          </w:tcPr>
          <w:p>
            <w:pPr>
              <w:jc w:val="center"/>
              <w:ind w:left="429"/>
              <w:spacing w:after="0"/>
              <w:rPr>
                <w:sz w:val="20"/>
                <w:szCs w:val="20"/>
                <w:color w:val="auto"/>
              </w:rPr>
            </w:pPr>
            <w:r>
              <w:rPr>
                <w:rFonts w:ascii="Arial" w:cs="Arial" w:eastAsia="Arial" w:hAnsi="Arial"/>
                <w:sz w:val="14"/>
                <w:szCs w:val="14"/>
                <w:color w:val="auto"/>
                <w:w w:val="93"/>
              </w:rPr>
              <w:t>26,420</w:t>
            </w:r>
          </w:p>
        </w:tc>
        <w:tc>
          <w:tcPr>
            <w:tcW w:w="240" w:type="dxa"/>
            <w:vAlign w:val="bottom"/>
          </w:tcPr>
          <w:p>
            <w:pPr>
              <w:spacing w:after="0"/>
              <w:rPr>
                <w:sz w:val="16"/>
                <w:szCs w:val="16"/>
                <w:color w:val="auto"/>
              </w:rPr>
            </w:pPr>
          </w:p>
        </w:tc>
      </w:tr>
      <w:tr>
        <w:trPr>
          <w:trHeight w:val="22"/>
        </w:trPr>
        <w:tc>
          <w:tcPr>
            <w:tcW w:w="8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2"/>
        </w:trPr>
        <w:tc>
          <w:tcPr>
            <w:tcW w:w="8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March 16, 2023</w:t>
            </w:r>
          </w:p>
        </w:tc>
        <w:tc>
          <w:tcPr>
            <w:tcW w:w="1660" w:type="dxa"/>
            <w:vAlign w:val="bottom"/>
            <w:tcBorders>
              <w:bottom w:val="single" w:sz="8" w:color="CCEEFF"/>
            </w:tcBorders>
            <w:gridSpan w:val="3"/>
            <w:shd w:val="clear" w:color="auto" w:fill="CCEEFF"/>
          </w:tcPr>
          <w:p>
            <w:pPr>
              <w:jc w:val="center"/>
              <w:ind w:left="429"/>
              <w:spacing w:after="0"/>
              <w:rPr>
                <w:sz w:val="20"/>
                <w:szCs w:val="20"/>
                <w:color w:val="auto"/>
              </w:rPr>
            </w:pPr>
            <w:r>
              <w:rPr>
                <w:rFonts w:ascii="Arial" w:cs="Arial" w:eastAsia="Arial" w:hAnsi="Arial"/>
                <w:sz w:val="14"/>
                <w:szCs w:val="14"/>
                <w:color w:val="auto"/>
                <w:w w:val="93"/>
              </w:rPr>
              <w:t>37,500</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91"/>
        </w:trPr>
        <w:tc>
          <w:tcPr>
            <w:tcW w:w="8780" w:type="dxa"/>
            <w:vAlign w:val="bottom"/>
          </w:tcPr>
          <w:p>
            <w:pPr>
              <w:jc w:val="center"/>
              <w:spacing w:after="0"/>
              <w:rPr>
                <w:sz w:val="20"/>
                <w:szCs w:val="20"/>
                <w:color w:val="auto"/>
              </w:rPr>
            </w:pPr>
            <w:r>
              <w:rPr>
                <w:rFonts w:ascii="Arial" w:cs="Arial" w:eastAsia="Arial" w:hAnsi="Arial"/>
                <w:sz w:val="14"/>
                <w:szCs w:val="14"/>
                <w:color w:val="auto"/>
                <w:w w:val="94"/>
              </w:rPr>
              <w:t>May 10, 2023</w:t>
            </w:r>
          </w:p>
        </w:tc>
        <w:tc>
          <w:tcPr>
            <w:tcW w:w="1660" w:type="dxa"/>
            <w:vAlign w:val="bottom"/>
            <w:gridSpan w:val="3"/>
          </w:tcPr>
          <w:p>
            <w:pPr>
              <w:jc w:val="center"/>
              <w:ind w:left="429"/>
              <w:spacing w:after="0"/>
              <w:rPr>
                <w:sz w:val="20"/>
                <w:szCs w:val="20"/>
                <w:color w:val="auto"/>
              </w:rPr>
            </w:pPr>
            <w:r>
              <w:rPr>
                <w:rFonts w:ascii="Arial" w:cs="Arial" w:eastAsia="Arial" w:hAnsi="Arial"/>
                <w:sz w:val="14"/>
                <w:szCs w:val="14"/>
                <w:color w:val="auto"/>
                <w:w w:val="93"/>
              </w:rPr>
              <w:t>26,265</w:t>
            </w:r>
          </w:p>
        </w:tc>
        <w:tc>
          <w:tcPr>
            <w:tcW w:w="240" w:type="dxa"/>
            <w:vAlign w:val="bottom"/>
          </w:tcPr>
          <w:p>
            <w:pPr>
              <w:spacing w:after="0"/>
              <w:rPr>
                <w:sz w:val="16"/>
                <w:szCs w:val="16"/>
                <w:color w:val="auto"/>
              </w:rPr>
            </w:pPr>
          </w:p>
        </w:tc>
      </w:tr>
      <w:tr>
        <w:trPr>
          <w:trHeight w:val="22"/>
        </w:trPr>
        <w:tc>
          <w:tcPr>
            <w:tcW w:w="8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7"/>
        </w:trPr>
        <w:tc>
          <w:tcPr>
            <w:tcW w:w="8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June 1, 2023</w:t>
            </w:r>
          </w:p>
        </w:tc>
        <w:tc>
          <w:tcPr>
            <w:tcW w:w="500" w:type="dxa"/>
            <w:vAlign w:val="bottom"/>
            <w:tcBorders>
              <w:bottom w:val="single" w:sz="8" w:color="CCEEFF"/>
            </w:tcBorders>
            <w:gridSpan w:val="2"/>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37,500</w:t>
            </w:r>
          </w:p>
        </w:tc>
        <w:tc>
          <w:tcPr>
            <w:tcW w:w="240" w:type="dxa"/>
            <w:vAlign w:val="bottom"/>
          </w:tcPr>
          <w:p>
            <w:pPr>
              <w:spacing w:after="0"/>
              <w:rPr>
                <w:sz w:val="18"/>
                <w:szCs w:val="18"/>
                <w:color w:val="auto"/>
              </w:rPr>
            </w:pPr>
          </w:p>
        </w:tc>
      </w:tr>
      <w:tr>
        <w:trPr>
          <w:trHeight w:val="181"/>
        </w:trPr>
        <w:tc>
          <w:tcPr>
            <w:tcW w:w="8780" w:type="dxa"/>
            <w:vAlign w:val="bottom"/>
            <w:tcBorders>
              <w:top w:val="single" w:sz="8" w:color="CCEEFF"/>
            </w:tcBorders>
          </w:tcPr>
          <w:p>
            <w:pPr>
              <w:ind w:left="6040"/>
              <w:spacing w:after="0"/>
              <w:rPr>
                <w:sz w:val="20"/>
                <w:szCs w:val="20"/>
                <w:color w:val="auto"/>
              </w:rPr>
            </w:pPr>
            <w:r>
              <w:rPr>
                <w:rFonts w:ascii="Arial" w:cs="Arial" w:eastAsia="Arial" w:hAnsi="Arial"/>
                <w:sz w:val="14"/>
                <w:szCs w:val="14"/>
                <w:color w:val="auto"/>
              </w:rPr>
              <w:t>Total</w:t>
            </w:r>
          </w:p>
        </w:tc>
        <w:tc>
          <w:tcPr>
            <w:tcW w:w="500" w:type="dxa"/>
            <w:vAlign w:val="bottom"/>
            <w:tcBorders>
              <w:top w:val="single" w:sz="8" w:color="CCEEFF"/>
            </w:tcBorders>
            <w:gridSpan w:val="2"/>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153,660</w:t>
            </w:r>
          </w:p>
        </w:tc>
        <w:tc>
          <w:tcPr>
            <w:tcW w:w="240" w:type="dxa"/>
            <w:vAlign w:val="bottom"/>
          </w:tcPr>
          <w:p>
            <w:pPr>
              <w:spacing w:after="0"/>
              <w:rPr>
                <w:sz w:val="15"/>
                <w:szCs w:val="15"/>
                <w:color w:val="auto"/>
              </w:rPr>
            </w:pPr>
          </w:p>
        </w:tc>
      </w:tr>
      <w:tr>
        <w:trPr>
          <w:trHeight w:val="22"/>
        </w:trPr>
        <w:tc>
          <w:tcPr>
            <w:tcW w:w="8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 Upon Senior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12, 2023, Fuping Chen, Vice President, Sales—China of ACM Research (Shanghai), Inc., adopted a Rule 10b5-1 trading arrangement (the “Chen Plan”) that is intended to satisfy the affirmative defense of Rule 10b5-1(c) of the Exchange Act. The Chen Plan allows for the contemporaneous exercise of options and sale of up to 105,000 shares of Class A Common Stock, at specific market prices, commencing on August 11, 2023, and continuing until (i) all such options are exercised and the underlying shares are sold, (ii) March 8, 2024, or (iii) such date that the Chen Plan is otherwise terminated according to its terms, whichever comes first.</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17, 2023, Haiping Dun, a member of the Board of Directors of the Company, adopted a Rule 10b5-1 trading arrangement (the “Dun Plan”) that is intended to satisfy the affirmative defense of Rule 10b5-1(c) of the Exchange Act. The Dun Plan allows for the contemporaneous exercise of options and sale of up to 235,531 shares of Class A Common Stock, at specific market prices, commencing on August 22, 2023, and continuing until (i) all such options are exercised and the underlying shares are sold, (ii) April 30, 2025, or (iii) such date that the Dun Plan is otherwise terminated according to its terms, whichever comes first. The options were granted in May 2015 with a ten-year expiration date.</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June 13, 2023, David Wang, President and Chief Executive Officer of the Company, adopted a Rule 10b5-1 trading arrangement (the “Wang Plan”) that is intended to satisfy the affirmative defense of Rule 10b5-1(c) of the Exchange Act. The Wang Plan allows for the contemporaneous exercise of options and sale of up to 720,000 shares of Class A Common Stock, at specific market prices, commencing on September 12, 2023, and continuing until (i) all such options are exercised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and the underlying shares are sold, (ii) June 13, 2024, or (iii) such date that the Wang Plan is otherwise terminated according to its terms, whichever comes first. The options were granted in May 2015 with a ten-year expiration date.</w:t>
      </w:r>
    </w:p>
    <w:p>
      <w:pPr>
        <w:spacing w:after="0" w:line="12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are filed as part of this report:</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260" w:type="dxa"/>
            <w:vAlign w:val="bottom"/>
          </w:tcPr>
          <w:p>
            <w:pPr>
              <w:jc w:val="center"/>
              <w:ind w:right="269"/>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184"/>
        </w:trPr>
        <w:tc>
          <w:tcPr>
            <w:tcW w:w="340" w:type="dxa"/>
            <w:vAlign w:val="bottom"/>
          </w:tcPr>
          <w:p>
            <w:pPr>
              <w:spacing w:after="0"/>
              <w:rPr>
                <w:sz w:val="16"/>
                <w:szCs w:val="16"/>
                <w:color w:val="auto"/>
              </w:rPr>
            </w:pPr>
          </w:p>
        </w:tc>
        <w:tc>
          <w:tcPr>
            <w:tcW w:w="1260" w:type="dxa"/>
            <w:vAlign w:val="bottom"/>
          </w:tcPr>
          <w:p>
            <w:pPr>
              <w:jc w:val="center"/>
              <w:ind w:right="269"/>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6"/>
                <w:szCs w:val="16"/>
                <w:color w:val="auto"/>
              </w:rPr>
            </w:pPr>
          </w:p>
        </w:tc>
        <w:tc>
          <w:tcPr>
            <w:tcW w:w="9580" w:type="dxa"/>
            <w:vAlign w:val="bottom"/>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23"/>
        </w:trPr>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tcBorders>
              <w:bottom w:val="single" w:sz="8" w:color="auto"/>
            </w:tcBorders>
          </w:tcPr>
          <w:p>
            <w:pPr>
              <w:spacing w:after="0" w:line="20" w:lineRule="exact"/>
              <w:rPr>
                <w:sz w:val="1"/>
                <w:szCs w:val="1"/>
                <w:color w:val="auto"/>
              </w:rPr>
            </w:pPr>
          </w:p>
        </w:tc>
      </w:tr>
      <w:tr>
        <w:trPr>
          <w:trHeight w:val="202"/>
        </w:trPr>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80" w:type="dxa"/>
            <w:vAlign w:val="bottom"/>
          </w:tcPr>
          <w:p>
            <w:pPr>
              <w:spacing w:after="0"/>
              <w:rPr>
                <w:sz w:val="17"/>
                <w:szCs w:val="17"/>
                <w:color w:val="auto"/>
              </w:rPr>
            </w:pPr>
          </w:p>
        </w:tc>
      </w:tr>
      <w:tr>
        <w:trPr>
          <w:trHeight w:val="159"/>
        </w:trPr>
        <w:tc>
          <w:tcPr>
            <w:tcW w:w="340" w:type="dxa"/>
            <w:vAlign w:val="bottom"/>
            <w:tcBorders>
              <w:left w:val="single" w:sz="8" w:color="CCEEFF"/>
            </w:tcBorders>
            <w:shd w:val="clear" w:color="auto" w:fill="CCEEFF"/>
          </w:tcPr>
          <w:p>
            <w:pPr>
              <w:ind w:left="20"/>
              <w:spacing w:after="0" w:line="159" w:lineRule="exact"/>
              <w:rPr>
                <w:rFonts w:ascii="Arial" w:cs="Arial" w:eastAsia="Arial" w:hAnsi="Arial"/>
                <w:sz w:val="14"/>
                <w:szCs w:val="14"/>
                <w:color w:val="0000FF"/>
                <w:w w:val="85"/>
              </w:rPr>
            </w:pPr>
            <w:hyperlink r:id="rId108">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01</w:t>
              </w:r>
            </w:hyperlink>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5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3"/>
              </w:rPr>
              <w:t>Unofficial English Translation of RMB Working Capital Loan Contract dated as of July 25, 2023, by and between ACM Research, Inc. and China CITIC Bank Co., Ltd.</w:t>
            </w:r>
          </w:p>
        </w:tc>
      </w:tr>
      <w:tr>
        <w:trPr>
          <w:trHeight w:val="181"/>
        </w:trPr>
        <w:tc>
          <w:tcPr>
            <w:tcW w:w="340" w:type="dxa"/>
            <w:vAlign w:val="bottom"/>
            <w:tcBorders>
              <w:top w:val="single" w:sz="8" w:color="0000FF"/>
              <w:left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Shanghai Bank (incorporated herein by reference to Exhibit 10.01 to the Current Report on Form 8-K filed on July 31, 2023)</w:t>
            </w:r>
          </w:p>
        </w:tc>
      </w:tr>
      <w:tr>
        <w:trPr>
          <w:trHeight w:val="181"/>
        </w:trPr>
        <w:tc>
          <w:tcPr>
            <w:tcW w:w="3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02</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4"/>
                <w:szCs w:val="14"/>
                <w:color w:val="auto"/>
              </w:rPr>
              <w:t>Lease Agreement dated March 6, 2023, by and between Hillsboro 229, LLC and ACM Research, Inc.</w:t>
            </w:r>
          </w:p>
        </w:tc>
      </w:tr>
      <w:tr>
        <w:trPr>
          <w:trHeight w:val="20"/>
        </w:trPr>
        <w:tc>
          <w:tcPr>
            <w:tcW w:w="340" w:type="dxa"/>
            <w:vAlign w:val="bottom"/>
            <w:tcBorders>
              <w:left w:val="single" w:sz="8" w:color="CCEEFF"/>
            </w:tcBorders>
            <w:shd w:val="clear" w:color="auto" w:fill="0000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580" w:type="dxa"/>
            <w:vAlign w:val="bottom"/>
            <w:shd w:val="clear" w:color="auto" w:fill="CCEEFF"/>
          </w:tcPr>
          <w:p>
            <w:pPr>
              <w:spacing w:after="0" w:line="20" w:lineRule="exact"/>
              <w:rPr>
                <w:sz w:val="1"/>
                <w:szCs w:val="1"/>
                <w:color w:val="auto"/>
              </w:rPr>
            </w:pPr>
          </w:p>
        </w:tc>
      </w:tr>
      <w:tr>
        <w:trPr>
          <w:trHeight w:val="192"/>
        </w:trPr>
        <w:tc>
          <w:tcPr>
            <w:tcW w:w="3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0000EE"/>
                <w:w w:val="85"/>
              </w:rPr>
              <w:t>31.</w:t>
            </w:r>
            <w:r>
              <w:rPr>
                <w:rFonts w:ascii="Arial" w:cs="Arial" w:eastAsia="Arial" w:hAnsi="Arial"/>
                <w:sz w:val="14"/>
                <w:szCs w:val="14"/>
                <w:u w:val="single" w:color="auto"/>
                <w:color w:val="0000EE"/>
                <w:w w:val="85"/>
              </w:rPr>
              <w:t>01</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4"/>
                <w:szCs w:val="14"/>
                <w:color w:val="auto"/>
                <w:w w:val="92"/>
              </w:rPr>
              <w:t>Certification of Principal Executive Officer Pursuant to Rules 13a-14(a) and 15d-14(a) under the Securities Exchange Act of 1934, as Adopted Pursuant to Section 302</w:t>
            </w:r>
          </w:p>
        </w:tc>
      </w:tr>
      <w:tr>
        <w:trPr>
          <w:trHeight w:val="183"/>
        </w:trPr>
        <w:tc>
          <w:tcPr>
            <w:tcW w:w="340" w:type="dxa"/>
            <w:vAlign w:val="bottom"/>
            <w:tcBorders>
              <w:top w:val="single" w:sz="8" w:color="0000EE"/>
              <w:left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of the Sarbanes-Oxley Act of 2002</w:t>
            </w:r>
          </w:p>
        </w:tc>
      </w:tr>
      <w:tr>
        <w:trPr>
          <w:trHeight w:val="159"/>
        </w:trPr>
        <w:tc>
          <w:tcPr>
            <w:tcW w:w="340" w:type="dxa"/>
            <w:vAlign w:val="bottom"/>
          </w:tcPr>
          <w:p>
            <w:pPr>
              <w:ind w:left="20"/>
              <w:spacing w:after="0" w:line="159" w:lineRule="exact"/>
              <w:rPr>
                <w:sz w:val="20"/>
                <w:szCs w:val="20"/>
                <w:color w:val="auto"/>
              </w:rPr>
            </w:pPr>
            <w:r>
              <w:rPr>
                <w:rFonts w:ascii="Arial" w:cs="Arial" w:eastAsia="Arial" w:hAnsi="Arial"/>
                <w:sz w:val="14"/>
                <w:szCs w:val="14"/>
                <w:color w:val="0000EE"/>
                <w:w w:val="85"/>
              </w:rPr>
              <w:t>31.</w:t>
            </w:r>
            <w:r>
              <w:rPr>
                <w:rFonts w:ascii="Arial" w:cs="Arial" w:eastAsia="Arial" w:hAnsi="Arial"/>
                <w:sz w:val="14"/>
                <w:szCs w:val="14"/>
                <w:u w:val="single" w:color="auto"/>
                <w:color w:val="0000EE"/>
                <w:w w:val="85"/>
              </w:rPr>
              <w:t>02</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80" w:type="dxa"/>
            <w:vAlign w:val="bottom"/>
          </w:tcPr>
          <w:p>
            <w:pPr>
              <w:spacing w:after="0" w:line="159" w:lineRule="exact"/>
              <w:rPr>
                <w:sz w:val="20"/>
                <w:szCs w:val="20"/>
                <w:color w:val="auto"/>
              </w:rPr>
            </w:pPr>
            <w:r>
              <w:rPr>
                <w:rFonts w:ascii="Arial" w:cs="Arial" w:eastAsia="Arial" w:hAnsi="Arial"/>
                <w:sz w:val="14"/>
                <w:szCs w:val="14"/>
                <w:color w:val="auto"/>
                <w:w w:val="91"/>
              </w:rPr>
              <w:t>Certification of Principal Financial Officer Pursuant to Rules 13a-14(a) and 15d-14(a) under the Securities Exchange Act of 1934, as Adopted Pursuant to Section 302 of</w:t>
            </w:r>
          </w:p>
        </w:tc>
      </w:tr>
      <w:tr>
        <w:trPr>
          <w:trHeight w:val="181"/>
        </w:trPr>
        <w:tc>
          <w:tcPr>
            <w:tcW w:w="340" w:type="dxa"/>
            <w:vAlign w:val="bottom"/>
            <w:tcBorders>
              <w:top w:val="single" w:sz="8" w:color="0000EE"/>
            </w:tcBorders>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Pr>
          <w:p>
            <w:pPr>
              <w:spacing w:after="0"/>
              <w:rPr>
                <w:sz w:val="20"/>
                <w:szCs w:val="20"/>
                <w:color w:val="auto"/>
              </w:rPr>
            </w:pPr>
            <w:r>
              <w:rPr>
                <w:rFonts w:ascii="Arial" w:cs="Arial" w:eastAsia="Arial" w:hAnsi="Arial"/>
                <w:sz w:val="14"/>
                <w:szCs w:val="14"/>
                <w:color w:val="auto"/>
              </w:rPr>
              <w:t>the Sarbanes-Oxley Act of 2002</w:t>
            </w:r>
          </w:p>
        </w:tc>
      </w:tr>
      <w:tr>
        <w:trPr>
          <w:trHeight w:val="22"/>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159"/>
        </w:trPr>
        <w:tc>
          <w:tcPr>
            <w:tcW w:w="340" w:type="dxa"/>
            <w:vAlign w:val="bottom"/>
            <w:tcBorders>
              <w:left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0000EE"/>
                <w:w w:val="85"/>
              </w:rPr>
              <w:t>32.</w:t>
            </w:r>
            <w:r>
              <w:rPr>
                <w:rFonts w:ascii="Arial" w:cs="Arial" w:eastAsia="Arial" w:hAnsi="Arial"/>
                <w:sz w:val="14"/>
                <w:szCs w:val="14"/>
                <w:u w:val="single" w:color="auto"/>
                <w:color w:val="0000EE"/>
                <w:w w:val="85"/>
              </w:rPr>
              <w:t>01</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5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4"/>
              </w:rPr>
              <w:t>Certification of Principal Executive Officer and Principal Financial Officer Pursuant to 18 U.S.C. Section 1350, as Adopted Pursuant to Section 906 of the Sarbanes-</w:t>
            </w:r>
          </w:p>
        </w:tc>
      </w:tr>
      <w:tr>
        <w:trPr>
          <w:trHeight w:val="183"/>
        </w:trPr>
        <w:tc>
          <w:tcPr>
            <w:tcW w:w="340" w:type="dxa"/>
            <w:vAlign w:val="bottom"/>
            <w:tcBorders>
              <w:top w:val="single" w:sz="8" w:color="0000EE"/>
              <w:left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Oxley Act of 2002</w:t>
            </w:r>
          </w:p>
        </w:tc>
      </w:tr>
      <w:tr>
        <w:trPr>
          <w:trHeight w:val="180"/>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100" w:type="dxa"/>
            <w:vAlign w:val="bottom"/>
          </w:tcPr>
          <w:p>
            <w:pPr>
              <w:spacing w:after="0"/>
              <w:rPr>
                <w:sz w:val="15"/>
                <w:szCs w:val="15"/>
                <w:color w:val="auto"/>
              </w:rPr>
            </w:pPr>
          </w:p>
        </w:tc>
        <w:tc>
          <w:tcPr>
            <w:tcW w:w="9580" w:type="dxa"/>
            <w:vAlign w:val="bottom"/>
          </w:tcPr>
          <w:p>
            <w:pPr>
              <w:spacing w:after="0"/>
              <w:rPr>
                <w:sz w:val="20"/>
                <w:szCs w:val="20"/>
                <w:color w:val="auto"/>
              </w:rPr>
            </w:pPr>
            <w:r>
              <w:rPr>
                <w:rFonts w:ascii="Arial" w:cs="Arial" w:eastAsia="Arial" w:hAnsi="Arial"/>
                <w:sz w:val="14"/>
                <w:szCs w:val="14"/>
                <w:color w:val="auto"/>
                <w:w w:val="95"/>
              </w:rPr>
              <w:t>Inline XBRL Instance Document (the instance document does not appear in the Interactive Data File because its XBRL tags are embedded within the Inline XBRL</w:t>
            </w:r>
          </w:p>
        </w:tc>
      </w:tr>
      <w:tr>
        <w:trPr>
          <w:trHeight w:val="180"/>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Pr>
          <w:p>
            <w:pPr>
              <w:spacing w:after="0"/>
              <w:rPr>
                <w:sz w:val="20"/>
                <w:szCs w:val="20"/>
                <w:color w:val="auto"/>
              </w:rPr>
            </w:pPr>
            <w:r>
              <w:rPr>
                <w:rFonts w:ascii="Arial" w:cs="Arial" w:eastAsia="Arial" w:hAnsi="Arial"/>
                <w:sz w:val="14"/>
                <w:szCs w:val="14"/>
                <w:color w:val="auto"/>
              </w:rPr>
              <w:t>document)</w:t>
            </w:r>
          </w:p>
        </w:tc>
      </w:tr>
      <w:tr>
        <w:trPr>
          <w:trHeight w:val="22"/>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192"/>
        </w:trPr>
        <w:tc>
          <w:tcPr>
            <w:tcW w:w="16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100" w:type="dxa"/>
            <w:vAlign w:val="bottom"/>
            <w:tcBorders>
              <w:bottom w:val="single" w:sz="8" w:color="CCEEFF"/>
            </w:tcBorders>
            <w:shd w:val="clear" w:color="auto" w:fill="CCEEFF"/>
          </w:tcPr>
          <w:p>
            <w:pPr>
              <w:spacing w:after="0"/>
              <w:rPr>
                <w:sz w:val="16"/>
                <w:szCs w:val="16"/>
                <w:color w:val="auto"/>
              </w:rPr>
            </w:pPr>
          </w:p>
        </w:tc>
        <w:tc>
          <w:tcPr>
            <w:tcW w:w="9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91"/>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100" w:type="dxa"/>
            <w:vAlign w:val="bottom"/>
          </w:tcPr>
          <w:p>
            <w:pPr>
              <w:spacing w:after="0"/>
              <w:rPr>
                <w:sz w:val="16"/>
                <w:szCs w:val="16"/>
                <w:color w:val="auto"/>
              </w:rPr>
            </w:pPr>
          </w:p>
        </w:tc>
        <w:tc>
          <w:tcPr>
            <w:tcW w:w="9580" w:type="dxa"/>
            <w:vAlign w:val="bottom"/>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2"/>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192"/>
        </w:trPr>
        <w:tc>
          <w:tcPr>
            <w:tcW w:w="16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100" w:type="dxa"/>
            <w:vAlign w:val="bottom"/>
            <w:tcBorders>
              <w:bottom w:val="single" w:sz="8" w:color="CCEEFF"/>
            </w:tcBorders>
            <w:shd w:val="clear" w:color="auto" w:fill="CCEEFF"/>
          </w:tcPr>
          <w:p>
            <w:pPr>
              <w:spacing w:after="0"/>
              <w:rPr>
                <w:sz w:val="16"/>
                <w:szCs w:val="16"/>
                <w:color w:val="auto"/>
              </w:rPr>
            </w:pPr>
          </w:p>
        </w:tc>
        <w:tc>
          <w:tcPr>
            <w:tcW w:w="9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91"/>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100" w:type="dxa"/>
            <w:vAlign w:val="bottom"/>
          </w:tcPr>
          <w:p>
            <w:pPr>
              <w:spacing w:after="0"/>
              <w:rPr>
                <w:sz w:val="16"/>
                <w:szCs w:val="16"/>
                <w:color w:val="auto"/>
              </w:rPr>
            </w:pPr>
          </w:p>
        </w:tc>
        <w:tc>
          <w:tcPr>
            <w:tcW w:w="9580" w:type="dxa"/>
            <w:vAlign w:val="bottom"/>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2"/>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192"/>
        </w:trPr>
        <w:tc>
          <w:tcPr>
            <w:tcW w:w="16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100" w:type="dxa"/>
            <w:vAlign w:val="bottom"/>
            <w:tcBorders>
              <w:bottom w:val="single" w:sz="8" w:color="CCEEFF"/>
            </w:tcBorders>
            <w:shd w:val="clear" w:color="auto" w:fill="CCEEFF"/>
          </w:tcPr>
          <w:p>
            <w:pPr>
              <w:spacing w:after="0"/>
              <w:rPr>
                <w:sz w:val="16"/>
                <w:szCs w:val="16"/>
                <w:color w:val="auto"/>
              </w:rPr>
            </w:pPr>
          </w:p>
        </w:tc>
        <w:tc>
          <w:tcPr>
            <w:tcW w:w="9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191"/>
        </w:trPr>
        <w:tc>
          <w:tcPr>
            <w:tcW w:w="340" w:type="dxa"/>
            <w:vAlign w:val="bottom"/>
          </w:tcPr>
          <w:p>
            <w:pPr>
              <w:ind w:left="20"/>
              <w:spacing w:after="0"/>
              <w:rPr>
                <w:sz w:val="20"/>
                <w:szCs w:val="20"/>
                <w:color w:val="auto"/>
              </w:rPr>
            </w:pPr>
            <w:r>
              <w:rPr>
                <w:rFonts w:ascii="Arial" w:cs="Arial" w:eastAsia="Arial" w:hAnsi="Arial"/>
                <w:sz w:val="14"/>
                <w:szCs w:val="14"/>
                <w:color w:val="auto"/>
              </w:rPr>
              <w:t>104</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80" w:type="dxa"/>
            <w:vAlign w:val="bottom"/>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6" w:name="page67"/>
    <w:bookmarkEnd w:id="66"/>
    <w:p>
      <w:pPr>
        <w:spacing w:after="0"/>
        <w:rPr>
          <w:sz w:val="20"/>
          <w:szCs w:val="20"/>
          <w:color w:val="auto"/>
        </w:rPr>
      </w:pPr>
      <w:r>
        <w:rPr>
          <w:rFonts w:ascii="Arial" w:cs="Arial" w:eastAsia="Arial" w:hAnsi="Arial"/>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ACM RESEARCH, INC.</w:t>
      </w:r>
    </w:p>
    <w:p>
      <w:pPr>
        <w:spacing w:after="0" w:line="51" w:lineRule="exact"/>
        <w:rPr>
          <w:sz w:val="20"/>
          <w:szCs w:val="20"/>
          <w:color w:val="auto"/>
        </w:rPr>
      </w:pPr>
    </w:p>
    <w:p>
      <w:pPr>
        <w:ind w:left="20"/>
        <w:spacing w:after="0"/>
        <w:tabs>
          <w:tab w:leader="none" w:pos="4720" w:val="left"/>
          <w:tab w:leader="none" w:pos="5480" w:val="left"/>
        </w:tabs>
        <w:rPr>
          <w:sz w:val="20"/>
          <w:szCs w:val="20"/>
          <w:color w:val="auto"/>
        </w:rPr>
      </w:pPr>
      <w:r>
        <w:rPr>
          <w:rFonts w:ascii="Arial" w:cs="Arial" w:eastAsia="Arial" w:hAnsi="Arial"/>
          <w:sz w:val="14"/>
          <w:szCs w:val="14"/>
          <w:color w:val="auto"/>
        </w:rPr>
        <w:t>Date: August 7,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26035</wp:posOffset>
            </wp:positionV>
            <wp:extent cx="368554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685540" cy="13335"/>
                    </a:xfrm>
                    <a:prstGeom prst="rect">
                      <a:avLst/>
                    </a:prstGeom>
                    <a:noFill/>
                  </pic:spPr>
                </pic:pic>
              </a:graphicData>
            </a:graphic>
          </wp:anchor>
        </w:drawing>
      </w:r>
    </w:p>
    <w:p>
      <w:pPr>
        <w:spacing w:after="0" w:line="5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Mark McKechnie</w:t>
      </w:r>
    </w:p>
    <w:p>
      <w:pPr>
        <w:spacing w:after="0" w:line="5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Chief Financial Officer, Executive Vice President and</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Treasurer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4"/>
          <w:szCs w:val="14"/>
          <w:i w:val="1"/>
          <w:iCs w:val="1"/>
          <w:color w:val="auto"/>
        </w:rPr>
        <w:t>(Principal Financial Officer)</w:t>
      </w:r>
    </w:p>
    <w:p>
      <w:pPr>
        <w:spacing w:after="0" w:line="200" w:lineRule="exact"/>
        <w:rPr>
          <w:sz w:val="20"/>
          <w:szCs w:val="20"/>
          <w:color w:val="auto"/>
        </w:rPr>
      </w:pPr>
    </w:p>
    <w:p>
      <w:pPr>
        <w:spacing w:after="0" w:line="361"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860"/>
          </w:cols>
          <w:pgMar w:left="300" w:top="126" w:right="73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10730"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107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10730"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107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ind w:left="10480"/>
        <w:spacing w:after="0"/>
        <w:rPr>
          <w:sz w:val="20"/>
          <w:szCs w:val="20"/>
          <w:color w:val="auto"/>
        </w:rPr>
      </w:pPr>
      <w:r>
        <w:rPr>
          <w:rFonts w:ascii="Arial" w:cs="Arial" w:eastAsia="Arial" w:hAnsi="Arial"/>
          <w:sz w:val="13"/>
          <w:szCs w:val="13"/>
          <w:b w:val="1"/>
          <w:bCs w:val="1"/>
          <w:color w:val="auto"/>
        </w:rPr>
        <w:t>Exhibit 31.01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David H. Wang, certify that:</w:t>
      </w:r>
    </w:p>
    <w:p>
      <w:pPr>
        <w:spacing w:after="0" w:line="179"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ACM Research, Inc.</w:t>
      </w:r>
    </w:p>
    <w:p>
      <w:pPr>
        <w:spacing w:after="0" w:line="178"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2"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left="260" w:hanging="255"/>
        <w:spacing w:after="0" w:line="321" w:lineRule="auto"/>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3"/>
          <w:szCs w:val="13"/>
          <w:color w:val="auto"/>
        </w:rPr>
      </w:pPr>
    </w:p>
    <w:p>
      <w:pPr>
        <w:ind w:left="260" w:hanging="255"/>
        <w:spacing w:after="0" w:line="321" w:lineRule="auto"/>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sz w:val="20"/>
          <w:szCs w:val="20"/>
          <w:color w:val="auto"/>
        </w:rPr>
      </w:pPr>
    </w:p>
    <w:p>
      <w:pPr>
        <w:ind w:left="260" w:hanging="255"/>
        <w:spacing w:after="0" w:line="28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left="260" w:hanging="255"/>
        <w:spacing w:after="0" w:line="281"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260" w:hanging="25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4"/>
          <w:szCs w:val="14"/>
          <w:color w:val="auto"/>
        </w:rPr>
        <w:t>Date: August 7, 2023</w:t>
      </w:r>
      <w:r>
        <w:rPr>
          <w:sz w:val="20"/>
          <w:szCs w:val="20"/>
          <w:color w:val="auto"/>
        </w:rPr>
        <w:tab/>
      </w:r>
      <w:r>
        <w:rPr>
          <w:rFonts w:ascii="Arial" w:cs="Arial" w:eastAsia="Arial" w:hAnsi="Arial"/>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3833495"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David H. Wang</w:t>
      </w:r>
    </w:p>
    <w:p>
      <w:pPr>
        <w:spacing w:after="0" w:line="4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Chief Executive Officer and President</w:t>
      </w:r>
    </w:p>
    <w:p>
      <w:pPr>
        <w:spacing w:after="0" w:line="51" w:lineRule="exact"/>
        <w:rPr>
          <w:sz w:val="20"/>
          <w:szCs w:val="20"/>
          <w:color w:val="auto"/>
        </w:rPr>
      </w:pPr>
    </w:p>
    <w:p>
      <w:pPr>
        <w:ind w:left="526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61" w:right="319" w:bottom="1440" w:gutter="0" w:footer="0" w:header="0"/>
        </w:sectPr>
      </w:pPr>
    </w:p>
    <w:bookmarkStart w:id="112" w:name="page113"/>
    <w:bookmarkEnd w:id="112"/>
    <w:p>
      <w:pPr>
        <w:ind w:left="10480"/>
        <w:spacing w:after="0"/>
        <w:rPr>
          <w:sz w:val="20"/>
          <w:szCs w:val="20"/>
          <w:color w:val="auto"/>
        </w:rPr>
      </w:pPr>
      <w:r>
        <w:rPr>
          <w:rFonts w:ascii="Arial" w:cs="Arial" w:eastAsia="Arial" w:hAnsi="Arial"/>
          <w:sz w:val="13"/>
          <w:szCs w:val="13"/>
          <w:b w:val="1"/>
          <w:bCs w:val="1"/>
          <w:color w:val="auto"/>
        </w:rPr>
        <w:t>Exhibit 31.02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Mark McKechnie, certify that:</w:t>
      </w:r>
    </w:p>
    <w:p>
      <w:pPr>
        <w:spacing w:after="0" w:line="179"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ACM Research, Inc.</w:t>
      </w:r>
    </w:p>
    <w:p>
      <w:pPr>
        <w:spacing w:after="0" w:line="178"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2"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left="260" w:hanging="255"/>
        <w:spacing w:after="0" w:line="321" w:lineRule="auto"/>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3"/>
          <w:szCs w:val="13"/>
          <w:color w:val="auto"/>
        </w:rPr>
      </w:pPr>
    </w:p>
    <w:p>
      <w:pPr>
        <w:ind w:left="260" w:hanging="255"/>
        <w:spacing w:after="0" w:line="321" w:lineRule="auto"/>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sz w:val="20"/>
          <w:szCs w:val="20"/>
          <w:color w:val="auto"/>
        </w:rPr>
      </w:pPr>
    </w:p>
    <w:p>
      <w:pPr>
        <w:ind w:left="26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2" w:lineRule="exact"/>
        <w:rPr>
          <w:sz w:val="20"/>
          <w:szCs w:val="20"/>
          <w:color w:val="auto"/>
        </w:rPr>
      </w:pPr>
    </w:p>
    <w:p>
      <w:pPr>
        <w:ind w:left="260" w:hanging="255"/>
        <w:spacing w:after="0" w:line="281"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4"/>
          <w:szCs w:val="14"/>
          <w:color w:val="auto"/>
        </w:rPr>
        <w:t>Date: August 7, 2023</w:t>
      </w:r>
      <w:r>
        <w:rPr>
          <w:sz w:val="20"/>
          <w:szCs w:val="20"/>
          <w:color w:val="auto"/>
        </w:rPr>
        <w:tab/>
      </w:r>
      <w:r>
        <w:rPr>
          <w:rFonts w:ascii="Arial" w:cs="Arial" w:eastAsia="Arial" w:hAnsi="Arial"/>
          <w:sz w:val="13"/>
          <w:szCs w:val="13"/>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19050</wp:posOffset>
            </wp:positionV>
            <wp:extent cx="382651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826510"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Mark McKechnie</w:t>
      </w:r>
    </w:p>
    <w:p>
      <w:pPr>
        <w:spacing w:after="0" w:line="4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Chief Financial Officer, Executive Vice President and Treasurer</w:t>
      </w:r>
    </w:p>
    <w:p>
      <w:pPr>
        <w:spacing w:after="0" w:line="51" w:lineRule="exact"/>
        <w:rPr>
          <w:sz w:val="20"/>
          <w:szCs w:val="20"/>
          <w:color w:val="auto"/>
        </w:rPr>
      </w:pPr>
    </w:p>
    <w:p>
      <w:pPr>
        <w:ind w:left="526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931"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32.01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Quarterly Report on Form 10-Q of ACM Research, Inc. for the quarterly period ended June 30, 2023,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42"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ACM Research, Inc. for the period presented therein.</w:t>
      </w:r>
    </w:p>
    <w:p>
      <w:pPr>
        <w:spacing w:after="0" w:line="232"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4"/>
          <w:szCs w:val="14"/>
          <w:color w:val="auto"/>
        </w:rPr>
        <w:t>Date: August 7, 2023</w:t>
      </w:r>
      <w:r>
        <w:rPr>
          <w:sz w:val="20"/>
          <w:szCs w:val="20"/>
          <w:color w:val="auto"/>
        </w:rPr>
        <w:tab/>
      </w:r>
      <w:r>
        <w:rPr>
          <w:rFonts w:ascii="Arial" w:cs="Arial" w:eastAsia="Arial" w:hAnsi="Arial"/>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3833495"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David H. Wang</w:t>
      </w:r>
    </w:p>
    <w:p>
      <w:pPr>
        <w:spacing w:after="0" w:line="4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Chief Executive Officer and President</w:t>
      </w:r>
    </w:p>
    <w:p>
      <w:pPr>
        <w:spacing w:after="0" w:line="51" w:lineRule="exact"/>
        <w:rPr>
          <w:sz w:val="20"/>
          <w:szCs w:val="20"/>
          <w:color w:val="auto"/>
        </w:rPr>
      </w:pPr>
    </w:p>
    <w:p>
      <w:pPr>
        <w:ind w:left="5260"/>
        <w:spacing w:after="0"/>
        <w:rPr>
          <w:sz w:val="20"/>
          <w:szCs w:val="20"/>
          <w:color w:val="auto"/>
        </w:rPr>
      </w:pPr>
      <w:r>
        <w:rPr>
          <w:rFonts w:ascii="Arial" w:cs="Arial" w:eastAsia="Arial" w:hAnsi="Arial"/>
          <w:sz w:val="14"/>
          <w:szCs w:val="14"/>
          <w:i w:val="1"/>
          <w:iCs w:val="1"/>
          <w:color w:val="auto"/>
        </w:rPr>
        <w:t>(Principal Executive Officer)</w:t>
      </w:r>
    </w:p>
    <w:p>
      <w:pPr>
        <w:spacing w:after="0" w:line="25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4"/>
          <w:szCs w:val="14"/>
          <w:color w:val="auto"/>
        </w:rPr>
        <w:t>Date: August 7, 2023</w:t>
      </w:r>
      <w:r>
        <w:rPr>
          <w:sz w:val="20"/>
          <w:szCs w:val="20"/>
          <w:color w:val="auto"/>
        </w:rPr>
        <w:tab/>
      </w:r>
      <w:r>
        <w:rPr>
          <w:rFonts w:ascii="Arial" w:cs="Arial" w:eastAsia="Arial" w:hAnsi="Arial"/>
          <w:sz w:val="13"/>
          <w:szCs w:val="13"/>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383349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833495" cy="13335"/>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Mark McKechnie</w:t>
      </w:r>
    </w:p>
    <w:p>
      <w:pPr>
        <w:spacing w:after="0" w:line="4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Chief Financial Officer, Executive Vice President and Treasurer</w:t>
      </w:r>
    </w:p>
    <w:p>
      <w:pPr>
        <w:spacing w:after="0" w:line="41" w:lineRule="exact"/>
        <w:rPr>
          <w:sz w:val="20"/>
          <w:szCs w:val="20"/>
          <w:color w:val="auto"/>
        </w:rPr>
      </w:pPr>
    </w:p>
    <w:p>
      <w:pPr>
        <w:ind w:left="5260"/>
        <w:spacing w:after="0"/>
        <w:rPr>
          <w:sz w:val="20"/>
          <w:szCs w:val="20"/>
          <w:color w:val="auto"/>
        </w:rPr>
      </w:pPr>
      <w:r>
        <w:rPr>
          <w:rFonts w:ascii="Arial" w:cs="Arial" w:eastAsia="Arial" w:hAnsi="Arial"/>
          <w:sz w:val="14"/>
          <w:szCs w:val="14"/>
          <w:i w:val="1"/>
          <w:iCs w:val="1"/>
          <w:color w:val="auto"/>
        </w:rPr>
        <w:t>(Principal Financial Officer)</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 1350 and is not being filed as part of the Report or as a separate disclosure document.</w:t>
      </w:r>
    </w:p>
    <w:sectPr>
      <w:pgSz w:w="11900" w:h="16838" w:orient="portrait"/>
      <w:cols w:equalWidth="0" w:num="1">
        <w:col w:w="11280"/>
      </w:cols>
      <w:pgMar w:left="300" w:top="9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08" Type="http://schemas.openxmlformats.org/officeDocument/2006/relationships/hyperlink" Target="https://www.sec.gov/Archives/edgar/data/1680062/000114036123037101/brhc20055674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2023-08-07T15:30:00Z</dcterms:created>
  <dcterms:modified xsi:type="dcterms:W3CDTF">2023-08-07T15:30:00Z</dcterms:modified>
</cp:coreProperties>
</file>